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6946" w:type="dxa"/>
        <w:tblLook w:val="04A0" w:firstRow="1" w:lastRow="0" w:firstColumn="1" w:lastColumn="0" w:noHBand="0" w:noVBand="1"/>
      </w:tblPr>
      <w:tblGrid>
        <w:gridCol w:w="6946"/>
      </w:tblGrid>
      <w:tr w:rsidR="00B201CB" w14:paraId="696CB5E2" w14:textId="77777777" w:rsidTr="0010536C">
        <w:trPr>
          <w:cnfStyle w:val="100000000000" w:firstRow="1" w:lastRow="0" w:firstColumn="0" w:lastColumn="0" w:oddVBand="0" w:evenVBand="0" w:oddHBand="0" w:evenHBand="0" w:firstRowFirstColumn="0" w:firstRowLastColumn="0" w:lastRowFirstColumn="0" w:lastRowLastColumn="0"/>
          <w:trHeight w:val="11341"/>
        </w:trPr>
        <w:tc>
          <w:tcPr>
            <w:tcW w:w="6946" w:type="dxa"/>
          </w:tcPr>
          <w:p w14:paraId="4579B6F5" w14:textId="503BAD32" w:rsidR="00B201CB" w:rsidRDefault="00DB3FC8" w:rsidP="00A31EF9">
            <w:pPr>
              <w:rPr>
                <w:rFonts w:asciiTheme="majorHAnsi" w:hAnsiTheme="majorHAnsi"/>
                <w:sz w:val="17"/>
                <w:szCs w:val="17"/>
              </w:rPr>
            </w:pPr>
            <w:bookmarkStart w:id="0" w:name="_GoBack"/>
            <w:bookmarkEnd w:id="0"/>
            <w:r>
              <w:rPr>
                <w:rFonts w:asciiTheme="majorHAnsi" w:hAnsiTheme="majorHAnsi"/>
                <w:noProof/>
                <w:sz w:val="17"/>
                <w:szCs w:val="17"/>
              </w:rPr>
              <w:drawing>
                <wp:anchor distT="0" distB="0" distL="114300" distR="114300" simplePos="0" relativeHeight="251658240" behindDoc="1" locked="0" layoutInCell="1" allowOverlap="1" wp14:anchorId="0CBD92DA" wp14:editId="56B78B53">
                  <wp:simplePos x="0" y="0"/>
                  <wp:positionH relativeFrom="page">
                    <wp:posOffset>-431800</wp:posOffset>
                  </wp:positionH>
                  <wp:positionV relativeFrom="paragraph">
                    <wp:posOffset>-1257300</wp:posOffset>
                  </wp:positionV>
                  <wp:extent cx="7575928" cy="10717619"/>
                  <wp:effectExtent l="0" t="0" r="6350" b="7620"/>
                  <wp:wrapNone/>
                  <wp:docPr id="18" name="Picture 18" descr="Deloitte Access Economic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is cov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5928" cy="10717619"/>
                          </a:xfrm>
                          <a:prstGeom prst="rect">
                            <a:avLst/>
                          </a:prstGeom>
                        </pic:spPr>
                      </pic:pic>
                    </a:graphicData>
                  </a:graphic>
                  <wp14:sizeRelH relativeFrom="margin">
                    <wp14:pctWidth>0</wp14:pctWidth>
                  </wp14:sizeRelH>
                  <wp14:sizeRelV relativeFrom="margin">
                    <wp14:pctHeight>0</wp14:pctHeight>
                  </wp14:sizeRelV>
                </wp:anchor>
              </w:drawing>
            </w:r>
          </w:p>
        </w:tc>
      </w:tr>
      <w:tr w:rsidR="00B201CB" w14:paraId="02422E32" w14:textId="77777777" w:rsidTr="0010536C">
        <w:trPr>
          <w:trHeight w:val="2269"/>
        </w:trPr>
        <w:tc>
          <w:tcPr>
            <w:tcW w:w="6946" w:type="dxa"/>
          </w:tcPr>
          <w:bookmarkStart w:id="1" w:name="start" w:displacedByCustomXml="next"/>
          <w:sdt>
            <w:sdtPr>
              <w:rPr>
                <w:color w:val="FFFFFF" w:themeColor="background1"/>
              </w:rPr>
              <w:alias w:val="Titel"/>
              <w:id w:val="-749505301"/>
              <w:dataBinding w:prefixMappings="xmlns:ns0='http://purl.org/dc/elements/1.1/' xmlns:ns1='http://schemas.openxmlformats.org/package/2006/metadata/core-properties' " w:xpath="/ns1:coreProperties[1]/ns0:title[1]" w:storeItemID="{6C3C8BC8-F283-45AE-878A-BAB7291924A1}"/>
              <w:text/>
            </w:sdtPr>
            <w:sdtEndPr/>
            <w:sdtContent>
              <w:p w14:paraId="3B2E9BDD" w14:textId="19CA7014" w:rsidR="0085053E" w:rsidRPr="00590C51" w:rsidRDefault="0085053E" w:rsidP="0085053E">
                <w:pPr>
                  <w:pStyle w:val="Documenttitle"/>
                  <w:rPr>
                    <w:color w:val="FFFFFF" w:themeColor="background1"/>
                  </w:rPr>
                </w:pPr>
                <w:r w:rsidRPr="007105E4">
                  <w:rPr>
                    <w:color w:val="FFFFFF" w:themeColor="background1"/>
                  </w:rPr>
                  <w:t xml:space="preserve">Regulatory Impact Statement: Public Health and Wellbeing </w:t>
                </w:r>
                <w:r>
                  <w:rPr>
                    <w:color w:val="FFFFFF" w:themeColor="background1"/>
                  </w:rPr>
                  <w:t>(</w:t>
                </w:r>
                <w:r w:rsidRPr="009F4DD0">
                  <w:rPr>
                    <w:color w:val="FFFFFF" w:themeColor="background1"/>
                  </w:rPr>
                  <w:t xml:space="preserve">Prescribed Accommodation) </w:t>
                </w:r>
                <w:r w:rsidRPr="007105E4">
                  <w:rPr>
                    <w:color w:val="FFFFFF" w:themeColor="background1"/>
                  </w:rPr>
                  <w:t>Regulations 20</w:t>
                </w:r>
                <w:r>
                  <w:rPr>
                    <w:color w:val="FFFFFF" w:themeColor="background1"/>
                  </w:rPr>
                  <w:t>20</w:t>
                </w:r>
              </w:p>
            </w:sdtContent>
          </w:sdt>
          <w:bookmarkEnd w:id="1" w:displacedByCustomXml="prev"/>
          <w:p w14:paraId="0490660B" w14:textId="77777777" w:rsidR="00E8007B" w:rsidRPr="00590C51" w:rsidRDefault="00E8007B" w:rsidP="00E8007B">
            <w:pPr>
              <w:pStyle w:val="Documentsubtitle"/>
              <w:rPr>
                <w:color w:val="FFFFFF" w:themeColor="background1"/>
              </w:rPr>
            </w:pPr>
            <w:r w:rsidRPr="00590C51">
              <w:rPr>
                <w:color w:val="FFFFFF" w:themeColor="background1"/>
              </w:rPr>
              <w:t xml:space="preserve">Department of </w:t>
            </w:r>
            <w:r>
              <w:rPr>
                <w:color w:val="FFFFFF" w:themeColor="background1"/>
              </w:rPr>
              <w:t>Health and Human Services</w:t>
            </w:r>
          </w:p>
          <w:p w14:paraId="0A8A99FD" w14:textId="32A76DF4" w:rsidR="00B201CB" w:rsidRDefault="00E8007B" w:rsidP="00E8007B">
            <w:pPr>
              <w:rPr>
                <w:rFonts w:asciiTheme="majorHAnsi" w:hAnsiTheme="majorHAnsi"/>
                <w:sz w:val="17"/>
                <w:szCs w:val="17"/>
              </w:rPr>
            </w:pPr>
            <w:r>
              <w:rPr>
                <w:color w:val="FFFFFF" w:themeColor="background1"/>
              </w:rPr>
              <w:t>September</w:t>
            </w:r>
            <w:r w:rsidRPr="00590C51">
              <w:rPr>
                <w:color w:val="FFFFFF" w:themeColor="background1"/>
              </w:rPr>
              <w:t xml:space="preserve"> 20</w:t>
            </w:r>
            <w:r>
              <w:rPr>
                <w:color w:val="FFFFFF" w:themeColor="background1"/>
              </w:rPr>
              <w:t>20</w:t>
            </w:r>
          </w:p>
        </w:tc>
      </w:tr>
    </w:tbl>
    <w:p w14:paraId="2A9221C2" w14:textId="4A3AE3A2" w:rsidR="001E349B" w:rsidRPr="00806743" w:rsidRDefault="001E349B" w:rsidP="00A31EF9">
      <w:pPr>
        <w:rPr>
          <w:rFonts w:asciiTheme="majorHAnsi" w:hAnsiTheme="majorHAnsi"/>
          <w:sz w:val="17"/>
          <w:szCs w:val="17"/>
        </w:rPr>
      </w:pPr>
    </w:p>
    <w:p w14:paraId="2A9221C3" w14:textId="77777777" w:rsidR="00D96296" w:rsidRPr="00806743" w:rsidRDefault="00D96296" w:rsidP="008C16DC">
      <w:pPr>
        <w:pageBreakBefore/>
        <w:rPr>
          <w:rFonts w:asciiTheme="majorHAnsi" w:hAnsiTheme="majorHAnsi"/>
          <w:sz w:val="17"/>
          <w:szCs w:val="17"/>
        </w:rPr>
        <w:sectPr w:rsidR="00D96296" w:rsidRPr="00806743" w:rsidSect="00372238">
          <w:headerReference w:type="even" r:id="rId12"/>
          <w:headerReference w:type="default" r:id="rId13"/>
          <w:footerReference w:type="even" r:id="rId14"/>
          <w:footerReference w:type="default" r:id="rId15"/>
          <w:headerReference w:type="first" r:id="rId16"/>
          <w:footerReference w:type="first" r:id="rId17"/>
          <w:pgSz w:w="11906" w:h="16838" w:code="9"/>
          <w:pgMar w:top="1985" w:right="4281" w:bottom="1134" w:left="680" w:header="680" w:footer="425" w:gutter="0"/>
          <w:cols w:space="284"/>
          <w:docGrid w:linePitch="360"/>
        </w:sectPr>
      </w:pPr>
    </w:p>
    <w:p w14:paraId="2A9221C4" w14:textId="10F01994" w:rsidR="002268CC" w:rsidRPr="00806743" w:rsidRDefault="002268CC" w:rsidP="00876F66">
      <w:pPr>
        <w:pStyle w:val="Heading1un-numbered"/>
      </w:pPr>
      <w:bookmarkStart w:id="2" w:name="LAN_ContentsRP"/>
      <w:bookmarkStart w:id="3" w:name="_Toc9366976"/>
      <w:bookmarkStart w:id="4" w:name="_Toc10111293"/>
      <w:bookmarkStart w:id="5" w:name="_Toc17892112"/>
      <w:bookmarkStart w:id="6" w:name="_Toc49460270"/>
      <w:r w:rsidRPr="00806743">
        <w:lastRenderedPageBreak/>
        <w:t>Contents</w:t>
      </w:r>
      <w:bookmarkEnd w:id="2"/>
      <w:bookmarkEnd w:id="3"/>
      <w:bookmarkEnd w:id="4"/>
      <w:bookmarkEnd w:id="5"/>
      <w:bookmarkEnd w:id="6"/>
    </w:p>
    <w:p w14:paraId="49DA96BA" w14:textId="3E9D892F" w:rsidR="00F56177" w:rsidRDefault="0063508B">
      <w:pPr>
        <w:pStyle w:val="TOC1"/>
        <w:rPr>
          <w:rFonts w:asciiTheme="minorHAnsi" w:eastAsiaTheme="minorEastAsia" w:hAnsiTheme="minorHAnsi"/>
          <w:noProof/>
          <w:sz w:val="22"/>
          <w:szCs w:val="22"/>
          <w:lang w:eastAsia="en-AU"/>
        </w:rPr>
      </w:pPr>
      <w:r>
        <w:rPr>
          <w:rFonts w:asciiTheme="majorHAnsi" w:hAnsiTheme="majorHAnsi"/>
          <w:sz w:val="17"/>
          <w:szCs w:val="17"/>
        </w:rPr>
        <w:fldChar w:fldCharType="begin"/>
      </w:r>
      <w:r>
        <w:rPr>
          <w:rFonts w:asciiTheme="majorHAnsi" w:hAnsiTheme="majorHAnsi"/>
          <w:sz w:val="17"/>
          <w:szCs w:val="17"/>
        </w:rPr>
        <w:instrText xml:space="preserve"> TOC \o "1-2" \h \z \u </w:instrText>
      </w:r>
      <w:r>
        <w:rPr>
          <w:rFonts w:asciiTheme="majorHAnsi" w:hAnsiTheme="majorHAnsi"/>
          <w:sz w:val="17"/>
          <w:szCs w:val="17"/>
        </w:rPr>
        <w:fldChar w:fldCharType="separate"/>
      </w:r>
      <w:hyperlink w:anchor="_Toc49460270" w:history="1">
        <w:r w:rsidR="00F56177" w:rsidRPr="00500D86">
          <w:rPr>
            <w:rStyle w:val="Hyperlink"/>
            <w:noProof/>
          </w:rPr>
          <w:t>Contents</w:t>
        </w:r>
        <w:r w:rsidR="00F56177">
          <w:rPr>
            <w:noProof/>
            <w:webHidden/>
          </w:rPr>
          <w:tab/>
        </w:r>
        <w:r w:rsidR="00F56177">
          <w:rPr>
            <w:noProof/>
            <w:webHidden/>
          </w:rPr>
          <w:fldChar w:fldCharType="begin"/>
        </w:r>
        <w:r w:rsidR="00F56177">
          <w:rPr>
            <w:noProof/>
            <w:webHidden/>
          </w:rPr>
          <w:instrText xml:space="preserve"> PAGEREF _Toc49460270 \h </w:instrText>
        </w:r>
        <w:r w:rsidR="00F56177">
          <w:rPr>
            <w:noProof/>
            <w:webHidden/>
          </w:rPr>
        </w:r>
        <w:r w:rsidR="00F56177">
          <w:rPr>
            <w:noProof/>
            <w:webHidden/>
          </w:rPr>
          <w:fldChar w:fldCharType="separate"/>
        </w:r>
        <w:r w:rsidR="00795309">
          <w:rPr>
            <w:noProof/>
            <w:webHidden/>
          </w:rPr>
          <w:t>3</w:t>
        </w:r>
        <w:r w:rsidR="00F56177">
          <w:rPr>
            <w:noProof/>
            <w:webHidden/>
          </w:rPr>
          <w:fldChar w:fldCharType="end"/>
        </w:r>
      </w:hyperlink>
    </w:p>
    <w:p w14:paraId="61D530E4" w14:textId="1187E52B" w:rsidR="00F56177" w:rsidRDefault="007C0DB9">
      <w:pPr>
        <w:pStyle w:val="TOC1"/>
        <w:rPr>
          <w:rFonts w:asciiTheme="minorHAnsi" w:eastAsiaTheme="minorEastAsia" w:hAnsiTheme="minorHAnsi"/>
          <w:noProof/>
          <w:sz w:val="22"/>
          <w:szCs w:val="22"/>
          <w:lang w:eastAsia="en-AU"/>
        </w:rPr>
      </w:pPr>
      <w:hyperlink w:anchor="_Toc49460271" w:history="1">
        <w:r w:rsidR="00F56177" w:rsidRPr="00500D86">
          <w:rPr>
            <w:rStyle w:val="Hyperlink"/>
            <w:noProof/>
          </w:rPr>
          <w:t>Glossary</w:t>
        </w:r>
        <w:r w:rsidR="00F56177">
          <w:rPr>
            <w:noProof/>
            <w:webHidden/>
          </w:rPr>
          <w:tab/>
        </w:r>
        <w:r w:rsidR="00F56177">
          <w:rPr>
            <w:noProof/>
            <w:webHidden/>
          </w:rPr>
          <w:fldChar w:fldCharType="begin"/>
        </w:r>
        <w:r w:rsidR="00F56177">
          <w:rPr>
            <w:noProof/>
            <w:webHidden/>
          </w:rPr>
          <w:instrText xml:space="preserve"> PAGEREF _Toc49460271 \h </w:instrText>
        </w:r>
        <w:r w:rsidR="00F56177">
          <w:rPr>
            <w:noProof/>
            <w:webHidden/>
          </w:rPr>
        </w:r>
        <w:r w:rsidR="00F56177">
          <w:rPr>
            <w:noProof/>
            <w:webHidden/>
          </w:rPr>
          <w:fldChar w:fldCharType="separate"/>
        </w:r>
        <w:r w:rsidR="00795309">
          <w:rPr>
            <w:noProof/>
            <w:webHidden/>
          </w:rPr>
          <w:t>i</w:t>
        </w:r>
        <w:r w:rsidR="00F56177">
          <w:rPr>
            <w:noProof/>
            <w:webHidden/>
          </w:rPr>
          <w:fldChar w:fldCharType="end"/>
        </w:r>
      </w:hyperlink>
    </w:p>
    <w:p w14:paraId="4AC17411" w14:textId="3E09EEF1" w:rsidR="00F56177" w:rsidRDefault="007C0DB9">
      <w:pPr>
        <w:pStyle w:val="TOC1"/>
        <w:rPr>
          <w:rFonts w:asciiTheme="minorHAnsi" w:eastAsiaTheme="minorEastAsia" w:hAnsiTheme="minorHAnsi"/>
          <w:noProof/>
          <w:sz w:val="22"/>
          <w:szCs w:val="22"/>
          <w:lang w:eastAsia="en-AU"/>
        </w:rPr>
      </w:pPr>
      <w:hyperlink w:anchor="_Toc49460272" w:history="1">
        <w:r w:rsidR="00F56177" w:rsidRPr="00500D86">
          <w:rPr>
            <w:rStyle w:val="Hyperlink"/>
            <w:noProof/>
          </w:rPr>
          <w:t>Executive summary</w:t>
        </w:r>
        <w:r w:rsidR="00F56177">
          <w:rPr>
            <w:noProof/>
            <w:webHidden/>
          </w:rPr>
          <w:tab/>
        </w:r>
        <w:r w:rsidR="00F56177">
          <w:rPr>
            <w:noProof/>
            <w:webHidden/>
          </w:rPr>
          <w:fldChar w:fldCharType="begin"/>
        </w:r>
        <w:r w:rsidR="00F56177">
          <w:rPr>
            <w:noProof/>
            <w:webHidden/>
          </w:rPr>
          <w:instrText xml:space="preserve"> PAGEREF _Toc49460272 \h </w:instrText>
        </w:r>
        <w:r w:rsidR="00F56177">
          <w:rPr>
            <w:noProof/>
            <w:webHidden/>
          </w:rPr>
        </w:r>
        <w:r w:rsidR="00F56177">
          <w:rPr>
            <w:noProof/>
            <w:webHidden/>
          </w:rPr>
          <w:fldChar w:fldCharType="separate"/>
        </w:r>
        <w:r w:rsidR="00795309">
          <w:rPr>
            <w:noProof/>
            <w:webHidden/>
          </w:rPr>
          <w:t>2</w:t>
        </w:r>
        <w:r w:rsidR="00F56177">
          <w:rPr>
            <w:noProof/>
            <w:webHidden/>
          </w:rPr>
          <w:fldChar w:fldCharType="end"/>
        </w:r>
      </w:hyperlink>
    </w:p>
    <w:p w14:paraId="172AC0A2" w14:textId="5A8D83F8" w:rsidR="00F56177" w:rsidRDefault="007C0DB9">
      <w:pPr>
        <w:pStyle w:val="TOC1"/>
        <w:rPr>
          <w:rFonts w:asciiTheme="minorHAnsi" w:eastAsiaTheme="minorEastAsia" w:hAnsiTheme="minorHAnsi"/>
          <w:noProof/>
          <w:sz w:val="22"/>
          <w:szCs w:val="22"/>
          <w:lang w:eastAsia="en-AU"/>
        </w:rPr>
      </w:pPr>
      <w:hyperlink w:anchor="_Toc49460279" w:history="1">
        <w:r w:rsidR="00F56177" w:rsidRPr="00500D86">
          <w:rPr>
            <w:rStyle w:val="Hyperlink"/>
            <w:noProof/>
          </w:rPr>
          <w:t>1</w:t>
        </w:r>
        <w:r w:rsidR="00F56177">
          <w:rPr>
            <w:rFonts w:asciiTheme="minorHAnsi" w:eastAsiaTheme="minorEastAsia" w:hAnsiTheme="minorHAnsi"/>
            <w:noProof/>
            <w:sz w:val="22"/>
            <w:szCs w:val="22"/>
            <w:lang w:eastAsia="en-AU"/>
          </w:rPr>
          <w:tab/>
        </w:r>
        <w:r w:rsidR="00F56177" w:rsidRPr="00500D86">
          <w:rPr>
            <w:rStyle w:val="Hyperlink"/>
            <w:noProof/>
          </w:rPr>
          <w:t>Background</w:t>
        </w:r>
        <w:r w:rsidR="00F56177">
          <w:rPr>
            <w:noProof/>
            <w:webHidden/>
          </w:rPr>
          <w:tab/>
        </w:r>
        <w:r w:rsidR="00F56177">
          <w:rPr>
            <w:noProof/>
            <w:webHidden/>
          </w:rPr>
          <w:fldChar w:fldCharType="begin"/>
        </w:r>
        <w:r w:rsidR="00F56177">
          <w:rPr>
            <w:noProof/>
            <w:webHidden/>
          </w:rPr>
          <w:instrText xml:space="preserve"> PAGEREF _Toc49460279 \h </w:instrText>
        </w:r>
        <w:r w:rsidR="00F56177">
          <w:rPr>
            <w:noProof/>
            <w:webHidden/>
          </w:rPr>
        </w:r>
        <w:r w:rsidR="00F56177">
          <w:rPr>
            <w:noProof/>
            <w:webHidden/>
          </w:rPr>
          <w:fldChar w:fldCharType="separate"/>
        </w:r>
        <w:r w:rsidR="00795309">
          <w:rPr>
            <w:noProof/>
            <w:webHidden/>
          </w:rPr>
          <w:t>5</w:t>
        </w:r>
        <w:r w:rsidR="00F56177">
          <w:rPr>
            <w:noProof/>
            <w:webHidden/>
          </w:rPr>
          <w:fldChar w:fldCharType="end"/>
        </w:r>
      </w:hyperlink>
    </w:p>
    <w:p w14:paraId="6C595FD3" w14:textId="38EB5122" w:rsidR="00F56177" w:rsidRDefault="007C0DB9">
      <w:pPr>
        <w:pStyle w:val="TOC1"/>
        <w:rPr>
          <w:rFonts w:asciiTheme="minorHAnsi" w:eastAsiaTheme="minorEastAsia" w:hAnsiTheme="minorHAnsi"/>
          <w:noProof/>
          <w:sz w:val="22"/>
          <w:szCs w:val="22"/>
          <w:lang w:eastAsia="en-AU"/>
        </w:rPr>
      </w:pPr>
      <w:hyperlink w:anchor="_Toc49460287" w:history="1">
        <w:r w:rsidR="00F56177" w:rsidRPr="00500D86">
          <w:rPr>
            <w:rStyle w:val="Hyperlink"/>
            <w:noProof/>
          </w:rPr>
          <w:t>2</w:t>
        </w:r>
        <w:r w:rsidR="00F56177">
          <w:rPr>
            <w:rFonts w:asciiTheme="minorHAnsi" w:eastAsiaTheme="minorEastAsia" w:hAnsiTheme="minorHAnsi"/>
            <w:noProof/>
            <w:sz w:val="22"/>
            <w:szCs w:val="22"/>
            <w:lang w:eastAsia="en-AU"/>
          </w:rPr>
          <w:tab/>
        </w:r>
        <w:r w:rsidR="00F56177" w:rsidRPr="00500D86">
          <w:rPr>
            <w:rStyle w:val="Hyperlink"/>
            <w:noProof/>
          </w:rPr>
          <w:t>Problem analysis</w:t>
        </w:r>
        <w:r w:rsidR="00F56177">
          <w:rPr>
            <w:noProof/>
            <w:webHidden/>
          </w:rPr>
          <w:tab/>
        </w:r>
        <w:r w:rsidR="00F56177">
          <w:rPr>
            <w:noProof/>
            <w:webHidden/>
          </w:rPr>
          <w:fldChar w:fldCharType="begin"/>
        </w:r>
        <w:r w:rsidR="00F56177">
          <w:rPr>
            <w:noProof/>
            <w:webHidden/>
          </w:rPr>
          <w:instrText xml:space="preserve"> PAGEREF _Toc49460287 \h </w:instrText>
        </w:r>
        <w:r w:rsidR="00F56177">
          <w:rPr>
            <w:noProof/>
            <w:webHidden/>
          </w:rPr>
        </w:r>
        <w:r w:rsidR="00F56177">
          <w:rPr>
            <w:noProof/>
            <w:webHidden/>
          </w:rPr>
          <w:fldChar w:fldCharType="separate"/>
        </w:r>
        <w:r w:rsidR="00795309">
          <w:rPr>
            <w:noProof/>
            <w:webHidden/>
          </w:rPr>
          <w:t>16</w:t>
        </w:r>
        <w:r w:rsidR="00F56177">
          <w:rPr>
            <w:noProof/>
            <w:webHidden/>
          </w:rPr>
          <w:fldChar w:fldCharType="end"/>
        </w:r>
      </w:hyperlink>
    </w:p>
    <w:p w14:paraId="70907DEC" w14:textId="7634368A" w:rsidR="00F56177" w:rsidRDefault="007C0DB9">
      <w:pPr>
        <w:pStyle w:val="TOC1"/>
        <w:rPr>
          <w:rFonts w:asciiTheme="minorHAnsi" w:eastAsiaTheme="minorEastAsia" w:hAnsiTheme="minorHAnsi"/>
          <w:noProof/>
          <w:sz w:val="22"/>
          <w:szCs w:val="22"/>
          <w:lang w:eastAsia="en-AU"/>
        </w:rPr>
      </w:pPr>
      <w:hyperlink w:anchor="_Toc49460294" w:history="1">
        <w:r w:rsidR="00F56177" w:rsidRPr="00500D86">
          <w:rPr>
            <w:rStyle w:val="Hyperlink"/>
            <w:noProof/>
          </w:rPr>
          <w:t>3</w:t>
        </w:r>
        <w:r w:rsidR="00F56177">
          <w:rPr>
            <w:rFonts w:asciiTheme="minorHAnsi" w:eastAsiaTheme="minorEastAsia" w:hAnsiTheme="minorHAnsi"/>
            <w:noProof/>
            <w:sz w:val="22"/>
            <w:szCs w:val="22"/>
            <w:lang w:eastAsia="en-AU"/>
          </w:rPr>
          <w:tab/>
        </w:r>
        <w:r w:rsidR="00F56177" w:rsidRPr="00500D86">
          <w:rPr>
            <w:rStyle w:val="Hyperlink"/>
            <w:noProof/>
          </w:rPr>
          <w:t>Options</w:t>
        </w:r>
        <w:r w:rsidR="00F56177">
          <w:rPr>
            <w:noProof/>
            <w:webHidden/>
          </w:rPr>
          <w:tab/>
        </w:r>
        <w:r w:rsidR="00F56177">
          <w:rPr>
            <w:noProof/>
            <w:webHidden/>
          </w:rPr>
          <w:fldChar w:fldCharType="begin"/>
        </w:r>
        <w:r w:rsidR="00F56177">
          <w:rPr>
            <w:noProof/>
            <w:webHidden/>
          </w:rPr>
          <w:instrText xml:space="preserve"> PAGEREF _Toc49460294 \h </w:instrText>
        </w:r>
        <w:r w:rsidR="00F56177">
          <w:rPr>
            <w:noProof/>
            <w:webHidden/>
          </w:rPr>
        </w:r>
        <w:r w:rsidR="00F56177">
          <w:rPr>
            <w:noProof/>
            <w:webHidden/>
          </w:rPr>
          <w:fldChar w:fldCharType="separate"/>
        </w:r>
        <w:r w:rsidR="00795309">
          <w:rPr>
            <w:noProof/>
            <w:webHidden/>
          </w:rPr>
          <w:t>29</w:t>
        </w:r>
        <w:r w:rsidR="00F56177">
          <w:rPr>
            <w:noProof/>
            <w:webHidden/>
          </w:rPr>
          <w:fldChar w:fldCharType="end"/>
        </w:r>
      </w:hyperlink>
    </w:p>
    <w:p w14:paraId="06A6A782" w14:textId="1B14B045" w:rsidR="00F56177" w:rsidRDefault="007C0DB9">
      <w:pPr>
        <w:pStyle w:val="TOC1"/>
        <w:rPr>
          <w:rFonts w:asciiTheme="minorHAnsi" w:eastAsiaTheme="minorEastAsia" w:hAnsiTheme="minorHAnsi"/>
          <w:noProof/>
          <w:sz w:val="22"/>
          <w:szCs w:val="22"/>
          <w:lang w:eastAsia="en-AU"/>
        </w:rPr>
      </w:pPr>
      <w:hyperlink w:anchor="_Toc49460298" w:history="1">
        <w:r w:rsidR="00F56177" w:rsidRPr="00500D86">
          <w:rPr>
            <w:rStyle w:val="Hyperlink"/>
            <w:noProof/>
          </w:rPr>
          <w:t>4</w:t>
        </w:r>
        <w:r w:rsidR="00F56177">
          <w:rPr>
            <w:rFonts w:asciiTheme="minorHAnsi" w:eastAsiaTheme="minorEastAsia" w:hAnsiTheme="minorHAnsi"/>
            <w:noProof/>
            <w:sz w:val="22"/>
            <w:szCs w:val="22"/>
            <w:lang w:eastAsia="en-AU"/>
          </w:rPr>
          <w:tab/>
        </w:r>
        <w:r w:rsidR="00F56177" w:rsidRPr="00500D86">
          <w:rPr>
            <w:rStyle w:val="Hyperlink"/>
            <w:noProof/>
          </w:rPr>
          <w:t>Options analysis</w:t>
        </w:r>
        <w:r w:rsidR="00F56177">
          <w:rPr>
            <w:noProof/>
            <w:webHidden/>
          </w:rPr>
          <w:tab/>
        </w:r>
        <w:r w:rsidR="00F56177">
          <w:rPr>
            <w:noProof/>
            <w:webHidden/>
          </w:rPr>
          <w:fldChar w:fldCharType="begin"/>
        </w:r>
        <w:r w:rsidR="00F56177">
          <w:rPr>
            <w:noProof/>
            <w:webHidden/>
          </w:rPr>
          <w:instrText xml:space="preserve"> PAGEREF _Toc49460298 \h </w:instrText>
        </w:r>
        <w:r w:rsidR="00F56177">
          <w:rPr>
            <w:noProof/>
            <w:webHidden/>
          </w:rPr>
        </w:r>
        <w:r w:rsidR="00F56177">
          <w:rPr>
            <w:noProof/>
            <w:webHidden/>
          </w:rPr>
          <w:fldChar w:fldCharType="separate"/>
        </w:r>
        <w:r w:rsidR="00795309">
          <w:rPr>
            <w:noProof/>
            <w:webHidden/>
          </w:rPr>
          <w:t>33</w:t>
        </w:r>
        <w:r w:rsidR="00F56177">
          <w:rPr>
            <w:noProof/>
            <w:webHidden/>
          </w:rPr>
          <w:fldChar w:fldCharType="end"/>
        </w:r>
      </w:hyperlink>
    </w:p>
    <w:p w14:paraId="714A190B" w14:textId="39C27A4B" w:rsidR="00F56177" w:rsidRDefault="007C0DB9">
      <w:pPr>
        <w:pStyle w:val="TOC1"/>
        <w:rPr>
          <w:rFonts w:asciiTheme="minorHAnsi" w:eastAsiaTheme="minorEastAsia" w:hAnsiTheme="minorHAnsi"/>
          <w:noProof/>
          <w:sz w:val="22"/>
          <w:szCs w:val="22"/>
          <w:lang w:eastAsia="en-AU"/>
        </w:rPr>
      </w:pPr>
      <w:hyperlink w:anchor="_Toc49460304" w:history="1">
        <w:r w:rsidR="00F56177" w:rsidRPr="00500D86">
          <w:rPr>
            <w:rStyle w:val="Hyperlink"/>
            <w:noProof/>
          </w:rPr>
          <w:t>5</w:t>
        </w:r>
        <w:r w:rsidR="00F56177">
          <w:rPr>
            <w:rFonts w:asciiTheme="minorHAnsi" w:eastAsiaTheme="minorEastAsia" w:hAnsiTheme="minorHAnsi"/>
            <w:noProof/>
            <w:sz w:val="22"/>
            <w:szCs w:val="22"/>
            <w:lang w:eastAsia="en-AU"/>
          </w:rPr>
          <w:tab/>
        </w:r>
        <w:r w:rsidR="00F56177" w:rsidRPr="00500D86">
          <w:rPr>
            <w:rStyle w:val="Hyperlink"/>
            <w:noProof/>
          </w:rPr>
          <w:t>Implementation, enforcement and evaluation</w:t>
        </w:r>
        <w:r w:rsidR="00F56177">
          <w:rPr>
            <w:noProof/>
            <w:webHidden/>
          </w:rPr>
          <w:tab/>
        </w:r>
        <w:r w:rsidR="00F56177">
          <w:rPr>
            <w:noProof/>
            <w:webHidden/>
          </w:rPr>
          <w:fldChar w:fldCharType="begin"/>
        </w:r>
        <w:r w:rsidR="00F56177">
          <w:rPr>
            <w:noProof/>
            <w:webHidden/>
          </w:rPr>
          <w:instrText xml:space="preserve"> PAGEREF _Toc49460304 \h </w:instrText>
        </w:r>
        <w:r w:rsidR="00F56177">
          <w:rPr>
            <w:noProof/>
            <w:webHidden/>
          </w:rPr>
        </w:r>
        <w:r w:rsidR="00F56177">
          <w:rPr>
            <w:noProof/>
            <w:webHidden/>
          </w:rPr>
          <w:fldChar w:fldCharType="separate"/>
        </w:r>
        <w:r w:rsidR="00795309">
          <w:rPr>
            <w:noProof/>
            <w:webHidden/>
          </w:rPr>
          <w:t>56</w:t>
        </w:r>
        <w:r w:rsidR="00F56177">
          <w:rPr>
            <w:noProof/>
            <w:webHidden/>
          </w:rPr>
          <w:fldChar w:fldCharType="end"/>
        </w:r>
      </w:hyperlink>
    </w:p>
    <w:p w14:paraId="19CDBD6E" w14:textId="7AFE1727" w:rsidR="00F56177" w:rsidRDefault="007C0DB9">
      <w:pPr>
        <w:pStyle w:val="TOC1"/>
        <w:rPr>
          <w:rFonts w:asciiTheme="minorHAnsi" w:eastAsiaTheme="minorEastAsia" w:hAnsiTheme="minorHAnsi"/>
          <w:noProof/>
          <w:sz w:val="22"/>
          <w:szCs w:val="22"/>
          <w:lang w:eastAsia="en-AU"/>
        </w:rPr>
      </w:pPr>
      <w:hyperlink w:anchor="_Toc49460307" w:history="1">
        <w:r w:rsidR="00F56177" w:rsidRPr="00500D86">
          <w:rPr>
            <w:rStyle w:val="Hyperlink"/>
            <w:noProof/>
          </w:rPr>
          <w:t>References</w:t>
        </w:r>
        <w:r w:rsidR="00F56177">
          <w:rPr>
            <w:noProof/>
            <w:webHidden/>
          </w:rPr>
          <w:tab/>
        </w:r>
        <w:r w:rsidR="00F56177">
          <w:rPr>
            <w:noProof/>
            <w:webHidden/>
          </w:rPr>
          <w:fldChar w:fldCharType="begin"/>
        </w:r>
        <w:r w:rsidR="00F56177">
          <w:rPr>
            <w:noProof/>
            <w:webHidden/>
          </w:rPr>
          <w:instrText xml:space="preserve"> PAGEREF _Toc49460307 \h </w:instrText>
        </w:r>
        <w:r w:rsidR="00F56177">
          <w:rPr>
            <w:noProof/>
            <w:webHidden/>
          </w:rPr>
        </w:r>
        <w:r w:rsidR="00F56177">
          <w:rPr>
            <w:noProof/>
            <w:webHidden/>
          </w:rPr>
          <w:fldChar w:fldCharType="separate"/>
        </w:r>
        <w:r w:rsidR="00795309">
          <w:rPr>
            <w:noProof/>
            <w:webHidden/>
          </w:rPr>
          <w:t>58</w:t>
        </w:r>
        <w:r w:rsidR="00F56177">
          <w:rPr>
            <w:noProof/>
            <w:webHidden/>
          </w:rPr>
          <w:fldChar w:fldCharType="end"/>
        </w:r>
      </w:hyperlink>
    </w:p>
    <w:p w14:paraId="04E8F669" w14:textId="0B373B06" w:rsidR="00F56177" w:rsidRDefault="007C0DB9">
      <w:pPr>
        <w:pStyle w:val="TOC1"/>
        <w:rPr>
          <w:rFonts w:asciiTheme="minorHAnsi" w:eastAsiaTheme="minorEastAsia" w:hAnsiTheme="minorHAnsi"/>
          <w:noProof/>
          <w:sz w:val="22"/>
          <w:szCs w:val="22"/>
          <w:lang w:eastAsia="en-AU"/>
        </w:rPr>
      </w:pPr>
      <w:hyperlink w:anchor="_Toc49460308" w:history="1">
        <w:r w:rsidR="00F56177" w:rsidRPr="00500D86">
          <w:rPr>
            <w:rStyle w:val="Hyperlink"/>
            <w:noProof/>
          </w:rPr>
          <w:t>Appendix A: 2009 Regulations Summary</w:t>
        </w:r>
        <w:r w:rsidR="00F56177">
          <w:rPr>
            <w:noProof/>
            <w:webHidden/>
          </w:rPr>
          <w:tab/>
        </w:r>
        <w:r w:rsidR="00F56177">
          <w:rPr>
            <w:noProof/>
            <w:webHidden/>
          </w:rPr>
          <w:fldChar w:fldCharType="begin"/>
        </w:r>
        <w:r w:rsidR="00F56177">
          <w:rPr>
            <w:noProof/>
            <w:webHidden/>
          </w:rPr>
          <w:instrText xml:space="preserve"> PAGEREF _Toc49460308 \h </w:instrText>
        </w:r>
        <w:r w:rsidR="00F56177">
          <w:rPr>
            <w:noProof/>
            <w:webHidden/>
          </w:rPr>
        </w:r>
        <w:r w:rsidR="00F56177">
          <w:rPr>
            <w:noProof/>
            <w:webHidden/>
          </w:rPr>
          <w:fldChar w:fldCharType="separate"/>
        </w:r>
        <w:r w:rsidR="00795309">
          <w:rPr>
            <w:noProof/>
            <w:webHidden/>
          </w:rPr>
          <w:t>61</w:t>
        </w:r>
        <w:r w:rsidR="00F56177">
          <w:rPr>
            <w:noProof/>
            <w:webHidden/>
          </w:rPr>
          <w:fldChar w:fldCharType="end"/>
        </w:r>
      </w:hyperlink>
    </w:p>
    <w:p w14:paraId="7841DEA0" w14:textId="10CF6EA5" w:rsidR="00F56177" w:rsidRDefault="007C0DB9">
      <w:pPr>
        <w:pStyle w:val="TOC1"/>
        <w:rPr>
          <w:rFonts w:asciiTheme="minorHAnsi" w:eastAsiaTheme="minorEastAsia" w:hAnsiTheme="minorHAnsi"/>
          <w:noProof/>
          <w:sz w:val="22"/>
          <w:szCs w:val="22"/>
          <w:lang w:eastAsia="en-AU"/>
        </w:rPr>
      </w:pPr>
      <w:hyperlink w:anchor="_Toc49460309" w:history="1">
        <w:r w:rsidR="00F56177" w:rsidRPr="00500D86">
          <w:rPr>
            <w:rStyle w:val="Hyperlink"/>
            <w:noProof/>
          </w:rPr>
          <w:t>Appendix B: Stakeholder consultation</w:t>
        </w:r>
        <w:r w:rsidR="00F56177">
          <w:rPr>
            <w:noProof/>
            <w:webHidden/>
          </w:rPr>
          <w:tab/>
        </w:r>
        <w:r w:rsidR="00F56177">
          <w:rPr>
            <w:noProof/>
            <w:webHidden/>
          </w:rPr>
          <w:fldChar w:fldCharType="begin"/>
        </w:r>
        <w:r w:rsidR="00F56177">
          <w:rPr>
            <w:noProof/>
            <w:webHidden/>
          </w:rPr>
          <w:instrText xml:space="preserve"> PAGEREF _Toc49460309 \h </w:instrText>
        </w:r>
        <w:r w:rsidR="00F56177">
          <w:rPr>
            <w:noProof/>
            <w:webHidden/>
          </w:rPr>
        </w:r>
        <w:r w:rsidR="00F56177">
          <w:rPr>
            <w:noProof/>
            <w:webHidden/>
          </w:rPr>
          <w:fldChar w:fldCharType="separate"/>
        </w:r>
        <w:r w:rsidR="00795309">
          <w:rPr>
            <w:noProof/>
            <w:webHidden/>
          </w:rPr>
          <w:t>65</w:t>
        </w:r>
        <w:r w:rsidR="00F56177">
          <w:rPr>
            <w:noProof/>
            <w:webHidden/>
          </w:rPr>
          <w:fldChar w:fldCharType="end"/>
        </w:r>
      </w:hyperlink>
    </w:p>
    <w:p w14:paraId="72D5759A" w14:textId="6DFCBCCB" w:rsidR="00F56177" w:rsidRDefault="007C0DB9">
      <w:pPr>
        <w:pStyle w:val="TOC1"/>
        <w:rPr>
          <w:rFonts w:asciiTheme="minorHAnsi" w:eastAsiaTheme="minorEastAsia" w:hAnsiTheme="minorHAnsi"/>
          <w:noProof/>
          <w:sz w:val="22"/>
          <w:szCs w:val="22"/>
          <w:lang w:eastAsia="en-AU"/>
        </w:rPr>
      </w:pPr>
      <w:hyperlink w:anchor="_Toc49460312" w:history="1">
        <w:r w:rsidR="00F56177" w:rsidRPr="00500D86">
          <w:rPr>
            <w:rStyle w:val="Hyperlink"/>
            <w:noProof/>
          </w:rPr>
          <w:t>Appendix C: Cross-portfolio reviews</w:t>
        </w:r>
        <w:r w:rsidR="00F56177">
          <w:rPr>
            <w:noProof/>
            <w:webHidden/>
          </w:rPr>
          <w:tab/>
        </w:r>
        <w:r w:rsidR="00F56177">
          <w:rPr>
            <w:noProof/>
            <w:webHidden/>
          </w:rPr>
          <w:fldChar w:fldCharType="begin"/>
        </w:r>
        <w:r w:rsidR="00F56177">
          <w:rPr>
            <w:noProof/>
            <w:webHidden/>
          </w:rPr>
          <w:instrText xml:space="preserve"> PAGEREF _Toc49460312 \h </w:instrText>
        </w:r>
        <w:r w:rsidR="00F56177">
          <w:rPr>
            <w:noProof/>
            <w:webHidden/>
          </w:rPr>
        </w:r>
        <w:r w:rsidR="00F56177">
          <w:rPr>
            <w:noProof/>
            <w:webHidden/>
          </w:rPr>
          <w:fldChar w:fldCharType="separate"/>
        </w:r>
        <w:r w:rsidR="00795309">
          <w:rPr>
            <w:noProof/>
            <w:webHidden/>
          </w:rPr>
          <w:t>72</w:t>
        </w:r>
        <w:r w:rsidR="00F56177">
          <w:rPr>
            <w:noProof/>
            <w:webHidden/>
          </w:rPr>
          <w:fldChar w:fldCharType="end"/>
        </w:r>
      </w:hyperlink>
    </w:p>
    <w:p w14:paraId="020D892A" w14:textId="1E408E97" w:rsidR="00F56177" w:rsidRDefault="007C0DB9">
      <w:pPr>
        <w:pStyle w:val="TOC1"/>
        <w:rPr>
          <w:rFonts w:asciiTheme="minorHAnsi" w:eastAsiaTheme="minorEastAsia" w:hAnsiTheme="minorHAnsi"/>
          <w:noProof/>
          <w:sz w:val="22"/>
          <w:szCs w:val="22"/>
          <w:lang w:eastAsia="en-AU"/>
        </w:rPr>
      </w:pPr>
      <w:hyperlink w:anchor="_Toc49460313" w:history="1">
        <w:r w:rsidR="00F56177" w:rsidRPr="00500D86">
          <w:rPr>
            <w:rStyle w:val="Hyperlink"/>
            <w:noProof/>
          </w:rPr>
          <w:t>Appendix D: Option 2 changes to regulations</w:t>
        </w:r>
        <w:r w:rsidR="00F56177">
          <w:rPr>
            <w:noProof/>
            <w:webHidden/>
          </w:rPr>
          <w:tab/>
        </w:r>
        <w:r w:rsidR="00F56177">
          <w:rPr>
            <w:noProof/>
            <w:webHidden/>
          </w:rPr>
          <w:fldChar w:fldCharType="begin"/>
        </w:r>
        <w:r w:rsidR="00F56177">
          <w:rPr>
            <w:noProof/>
            <w:webHidden/>
          </w:rPr>
          <w:instrText xml:space="preserve"> PAGEREF _Toc49460313 \h </w:instrText>
        </w:r>
        <w:r w:rsidR="00F56177">
          <w:rPr>
            <w:noProof/>
            <w:webHidden/>
          </w:rPr>
        </w:r>
        <w:r w:rsidR="00F56177">
          <w:rPr>
            <w:noProof/>
            <w:webHidden/>
          </w:rPr>
          <w:fldChar w:fldCharType="separate"/>
        </w:r>
        <w:r w:rsidR="00795309">
          <w:rPr>
            <w:noProof/>
            <w:webHidden/>
          </w:rPr>
          <w:t>74</w:t>
        </w:r>
        <w:r w:rsidR="00F56177">
          <w:rPr>
            <w:noProof/>
            <w:webHidden/>
          </w:rPr>
          <w:fldChar w:fldCharType="end"/>
        </w:r>
      </w:hyperlink>
    </w:p>
    <w:p w14:paraId="5C53B93E" w14:textId="1453895E" w:rsidR="00F56177" w:rsidRDefault="007C0DB9">
      <w:pPr>
        <w:pStyle w:val="TOC1"/>
        <w:rPr>
          <w:rFonts w:asciiTheme="minorHAnsi" w:eastAsiaTheme="minorEastAsia" w:hAnsiTheme="minorHAnsi"/>
          <w:noProof/>
          <w:sz w:val="22"/>
          <w:szCs w:val="22"/>
          <w:lang w:eastAsia="en-AU"/>
        </w:rPr>
      </w:pPr>
      <w:hyperlink w:anchor="_Toc49460314" w:history="1">
        <w:r w:rsidR="00F56177" w:rsidRPr="00500D86">
          <w:rPr>
            <w:rStyle w:val="Hyperlink"/>
            <w:noProof/>
          </w:rPr>
          <w:t>Appendix E: Detailed assumptions</w:t>
        </w:r>
        <w:r w:rsidR="00F56177">
          <w:rPr>
            <w:noProof/>
            <w:webHidden/>
          </w:rPr>
          <w:tab/>
        </w:r>
        <w:r w:rsidR="00F56177">
          <w:rPr>
            <w:noProof/>
            <w:webHidden/>
          </w:rPr>
          <w:fldChar w:fldCharType="begin"/>
        </w:r>
        <w:r w:rsidR="00F56177">
          <w:rPr>
            <w:noProof/>
            <w:webHidden/>
          </w:rPr>
          <w:instrText xml:space="preserve"> PAGEREF _Toc49460314 \h </w:instrText>
        </w:r>
        <w:r w:rsidR="00F56177">
          <w:rPr>
            <w:noProof/>
            <w:webHidden/>
          </w:rPr>
        </w:r>
        <w:r w:rsidR="00F56177">
          <w:rPr>
            <w:noProof/>
            <w:webHidden/>
          </w:rPr>
          <w:fldChar w:fldCharType="separate"/>
        </w:r>
        <w:r w:rsidR="00795309">
          <w:rPr>
            <w:noProof/>
            <w:webHidden/>
          </w:rPr>
          <w:t>79</w:t>
        </w:r>
        <w:r w:rsidR="00F56177">
          <w:rPr>
            <w:noProof/>
            <w:webHidden/>
          </w:rPr>
          <w:fldChar w:fldCharType="end"/>
        </w:r>
      </w:hyperlink>
    </w:p>
    <w:p w14:paraId="12F66714" w14:textId="48F824B3" w:rsidR="00F56177" w:rsidRDefault="007C0DB9">
      <w:pPr>
        <w:pStyle w:val="TOC1"/>
        <w:rPr>
          <w:rFonts w:asciiTheme="minorHAnsi" w:eastAsiaTheme="minorEastAsia" w:hAnsiTheme="minorHAnsi"/>
          <w:noProof/>
          <w:sz w:val="22"/>
          <w:szCs w:val="22"/>
          <w:lang w:eastAsia="en-AU"/>
        </w:rPr>
      </w:pPr>
      <w:hyperlink w:anchor="_Toc49460315" w:history="1">
        <w:r w:rsidR="00F56177" w:rsidRPr="00500D86">
          <w:rPr>
            <w:rStyle w:val="Hyperlink"/>
            <w:noProof/>
          </w:rPr>
          <w:t>Appendix F: Sensitivity analysis</w:t>
        </w:r>
        <w:r w:rsidR="00F56177">
          <w:rPr>
            <w:noProof/>
            <w:webHidden/>
          </w:rPr>
          <w:tab/>
        </w:r>
        <w:r w:rsidR="00F56177">
          <w:rPr>
            <w:noProof/>
            <w:webHidden/>
          </w:rPr>
          <w:fldChar w:fldCharType="begin"/>
        </w:r>
        <w:r w:rsidR="00F56177">
          <w:rPr>
            <w:noProof/>
            <w:webHidden/>
          </w:rPr>
          <w:instrText xml:space="preserve"> PAGEREF _Toc49460315 \h </w:instrText>
        </w:r>
        <w:r w:rsidR="00F56177">
          <w:rPr>
            <w:noProof/>
            <w:webHidden/>
          </w:rPr>
        </w:r>
        <w:r w:rsidR="00F56177">
          <w:rPr>
            <w:noProof/>
            <w:webHidden/>
          </w:rPr>
          <w:fldChar w:fldCharType="separate"/>
        </w:r>
        <w:r w:rsidR="00795309">
          <w:rPr>
            <w:noProof/>
            <w:webHidden/>
          </w:rPr>
          <w:t>81</w:t>
        </w:r>
        <w:r w:rsidR="00F56177">
          <w:rPr>
            <w:noProof/>
            <w:webHidden/>
          </w:rPr>
          <w:fldChar w:fldCharType="end"/>
        </w:r>
      </w:hyperlink>
    </w:p>
    <w:p w14:paraId="11DD35CC" w14:textId="347C8259" w:rsidR="00F56177" w:rsidRDefault="007C0DB9">
      <w:pPr>
        <w:pStyle w:val="TOC1"/>
        <w:rPr>
          <w:rFonts w:asciiTheme="minorHAnsi" w:eastAsiaTheme="minorEastAsia" w:hAnsiTheme="minorHAnsi"/>
          <w:noProof/>
          <w:sz w:val="22"/>
          <w:szCs w:val="22"/>
          <w:lang w:eastAsia="en-AU"/>
        </w:rPr>
      </w:pPr>
      <w:hyperlink w:anchor="_Toc49460316" w:history="1">
        <w:r w:rsidR="00F56177" w:rsidRPr="00500D86">
          <w:rPr>
            <w:rStyle w:val="Hyperlink"/>
            <w:noProof/>
          </w:rPr>
          <w:t>Limitation of our work</w:t>
        </w:r>
        <w:r w:rsidR="00F56177">
          <w:rPr>
            <w:noProof/>
            <w:webHidden/>
          </w:rPr>
          <w:tab/>
        </w:r>
        <w:r w:rsidR="00F56177">
          <w:rPr>
            <w:noProof/>
            <w:webHidden/>
          </w:rPr>
          <w:fldChar w:fldCharType="begin"/>
        </w:r>
        <w:r w:rsidR="00F56177">
          <w:rPr>
            <w:noProof/>
            <w:webHidden/>
          </w:rPr>
          <w:instrText xml:space="preserve"> PAGEREF _Toc49460316 \h </w:instrText>
        </w:r>
        <w:r w:rsidR="00F56177">
          <w:rPr>
            <w:noProof/>
            <w:webHidden/>
          </w:rPr>
        </w:r>
        <w:r w:rsidR="00F56177">
          <w:rPr>
            <w:noProof/>
            <w:webHidden/>
          </w:rPr>
          <w:fldChar w:fldCharType="separate"/>
        </w:r>
        <w:r w:rsidR="00795309">
          <w:rPr>
            <w:noProof/>
            <w:webHidden/>
          </w:rPr>
          <w:t>84</w:t>
        </w:r>
        <w:r w:rsidR="00F56177">
          <w:rPr>
            <w:noProof/>
            <w:webHidden/>
          </w:rPr>
          <w:fldChar w:fldCharType="end"/>
        </w:r>
      </w:hyperlink>
    </w:p>
    <w:p w14:paraId="6E658A2E" w14:textId="76562CF2" w:rsidR="00F56177" w:rsidRDefault="007C0DB9">
      <w:pPr>
        <w:pStyle w:val="TOC2"/>
        <w:rPr>
          <w:rFonts w:asciiTheme="minorHAnsi" w:eastAsiaTheme="minorEastAsia" w:hAnsiTheme="minorHAnsi"/>
          <w:noProof/>
          <w:sz w:val="22"/>
          <w:szCs w:val="22"/>
          <w:lang w:eastAsia="en-AU"/>
        </w:rPr>
      </w:pPr>
      <w:hyperlink w:anchor="_Toc49460317" w:history="1">
        <w:r w:rsidR="00F56177" w:rsidRPr="00500D86">
          <w:rPr>
            <w:rStyle w:val="Hyperlink"/>
            <w:noProof/>
          </w:rPr>
          <w:t>General use restriction</w:t>
        </w:r>
        <w:r w:rsidR="00F56177">
          <w:rPr>
            <w:noProof/>
            <w:webHidden/>
          </w:rPr>
          <w:tab/>
        </w:r>
        <w:r w:rsidR="00F56177">
          <w:rPr>
            <w:noProof/>
            <w:webHidden/>
          </w:rPr>
          <w:fldChar w:fldCharType="begin"/>
        </w:r>
        <w:r w:rsidR="00F56177">
          <w:rPr>
            <w:noProof/>
            <w:webHidden/>
          </w:rPr>
          <w:instrText xml:space="preserve"> PAGEREF _Toc49460317 \h </w:instrText>
        </w:r>
        <w:r w:rsidR="00F56177">
          <w:rPr>
            <w:noProof/>
            <w:webHidden/>
          </w:rPr>
        </w:r>
        <w:r w:rsidR="00F56177">
          <w:rPr>
            <w:noProof/>
            <w:webHidden/>
          </w:rPr>
          <w:fldChar w:fldCharType="separate"/>
        </w:r>
        <w:r w:rsidR="00795309">
          <w:rPr>
            <w:noProof/>
            <w:webHidden/>
          </w:rPr>
          <w:t>84</w:t>
        </w:r>
        <w:r w:rsidR="00F56177">
          <w:rPr>
            <w:noProof/>
            <w:webHidden/>
          </w:rPr>
          <w:fldChar w:fldCharType="end"/>
        </w:r>
      </w:hyperlink>
    </w:p>
    <w:p w14:paraId="2A9221D3" w14:textId="73A5F55C" w:rsidR="00A6563E" w:rsidRPr="00806743" w:rsidRDefault="0063508B" w:rsidP="00805BBD">
      <w:pPr>
        <w:spacing w:after="0"/>
        <w:rPr>
          <w:rFonts w:asciiTheme="majorHAnsi" w:hAnsiTheme="majorHAnsi"/>
          <w:sz w:val="17"/>
          <w:szCs w:val="17"/>
        </w:rPr>
        <w:sectPr w:rsidR="00A6563E" w:rsidRPr="00806743" w:rsidSect="00773D94">
          <w:headerReference w:type="even" r:id="rId18"/>
          <w:headerReference w:type="default" r:id="rId19"/>
          <w:footerReference w:type="default" r:id="rId20"/>
          <w:headerReference w:type="first" r:id="rId21"/>
          <w:pgSz w:w="11906" w:h="16838" w:code="9"/>
          <w:pgMar w:top="1440" w:right="1440" w:bottom="1440" w:left="1440" w:header="680" w:footer="425" w:gutter="0"/>
          <w:cols w:space="284"/>
          <w:docGrid w:linePitch="360"/>
        </w:sectPr>
      </w:pPr>
      <w:r>
        <w:rPr>
          <w:rFonts w:asciiTheme="majorHAnsi" w:hAnsiTheme="majorHAnsi"/>
          <w:sz w:val="17"/>
          <w:szCs w:val="17"/>
        </w:rPr>
        <w:fldChar w:fldCharType="end"/>
      </w:r>
    </w:p>
    <w:p w14:paraId="2A9221D4" w14:textId="2506EB91" w:rsidR="00BF3260" w:rsidRPr="00806743" w:rsidRDefault="00BF3260" w:rsidP="00876F66">
      <w:pPr>
        <w:pStyle w:val="Heading1un-numbered"/>
      </w:pPr>
      <w:bookmarkStart w:id="7" w:name="_Toc462313127"/>
      <w:bookmarkStart w:id="8" w:name="_Toc462317836"/>
      <w:bookmarkStart w:id="9" w:name="_Toc462397801"/>
      <w:bookmarkStart w:id="10" w:name="_Toc463002428"/>
      <w:bookmarkStart w:id="11" w:name="_Toc472586340"/>
      <w:bookmarkStart w:id="12" w:name="_Toc482168118"/>
      <w:bookmarkStart w:id="13" w:name="_Toc482174905"/>
      <w:bookmarkStart w:id="14" w:name="_Toc9366977"/>
      <w:bookmarkStart w:id="15" w:name="_Toc10111294"/>
      <w:bookmarkStart w:id="16" w:name="_Toc17892113"/>
      <w:bookmarkStart w:id="17" w:name="_Toc49460271"/>
      <w:r w:rsidRPr="00876F66">
        <w:lastRenderedPageBreak/>
        <w:t>Glossary</w:t>
      </w:r>
      <w:bookmarkEnd w:id="7"/>
      <w:bookmarkEnd w:id="8"/>
      <w:bookmarkEnd w:id="9"/>
      <w:bookmarkEnd w:id="10"/>
      <w:bookmarkEnd w:id="11"/>
      <w:bookmarkEnd w:id="12"/>
      <w:bookmarkEnd w:id="13"/>
      <w:bookmarkEnd w:id="14"/>
      <w:bookmarkEnd w:id="15"/>
      <w:bookmarkEnd w:id="16"/>
      <w:bookmarkEnd w:id="17"/>
    </w:p>
    <w:tbl>
      <w:tblPr>
        <w:tblStyle w:val="Deloittetable"/>
        <w:tblW w:w="5000" w:type="pct"/>
        <w:tblLook w:val="04A0" w:firstRow="1" w:lastRow="0" w:firstColumn="1" w:lastColumn="0" w:noHBand="0" w:noVBand="1"/>
      </w:tblPr>
      <w:tblGrid>
        <w:gridCol w:w="2771"/>
        <w:gridCol w:w="6255"/>
      </w:tblGrid>
      <w:tr w:rsidR="00BF3260" w:rsidRPr="00806743" w14:paraId="2A9221D7" w14:textId="77777777" w:rsidTr="007854F9">
        <w:trPr>
          <w:cnfStyle w:val="100000000000" w:firstRow="1" w:lastRow="0" w:firstColumn="0" w:lastColumn="0" w:oddVBand="0" w:evenVBand="0" w:oddHBand="0" w:evenHBand="0" w:firstRowFirstColumn="0" w:firstRowLastColumn="0" w:lastRowFirstColumn="0" w:lastRowLastColumn="0"/>
        </w:trPr>
        <w:tc>
          <w:tcPr>
            <w:tcW w:w="1535" w:type="pct"/>
          </w:tcPr>
          <w:p w14:paraId="2A9221D5" w14:textId="77777777" w:rsidR="00BF3260" w:rsidRPr="00914220" w:rsidRDefault="002B4164" w:rsidP="005D550E">
            <w:pPr>
              <w:pStyle w:val="TabletextLeft"/>
              <w:rPr>
                <w:rFonts w:asciiTheme="majorHAnsi" w:hAnsiTheme="majorHAnsi"/>
                <w:b/>
                <w:szCs w:val="17"/>
              </w:rPr>
            </w:pPr>
            <w:r w:rsidRPr="00914220">
              <w:rPr>
                <w:rFonts w:asciiTheme="majorHAnsi" w:hAnsiTheme="majorHAnsi"/>
                <w:b/>
                <w:szCs w:val="17"/>
              </w:rPr>
              <w:t>Acronym</w:t>
            </w:r>
          </w:p>
        </w:tc>
        <w:tc>
          <w:tcPr>
            <w:tcW w:w="3465" w:type="pct"/>
          </w:tcPr>
          <w:p w14:paraId="2A9221D6" w14:textId="77777777" w:rsidR="00BF3260" w:rsidRPr="00914220" w:rsidRDefault="002B4164" w:rsidP="005D550E">
            <w:pPr>
              <w:pStyle w:val="TabletextLeft"/>
              <w:rPr>
                <w:rFonts w:asciiTheme="majorHAnsi" w:hAnsiTheme="majorHAnsi"/>
                <w:b/>
                <w:szCs w:val="17"/>
              </w:rPr>
            </w:pPr>
            <w:r w:rsidRPr="00914220">
              <w:rPr>
                <w:rFonts w:asciiTheme="majorHAnsi" w:hAnsiTheme="majorHAnsi"/>
                <w:b/>
                <w:szCs w:val="17"/>
              </w:rPr>
              <w:t>Full name</w:t>
            </w:r>
          </w:p>
        </w:tc>
      </w:tr>
      <w:tr w:rsidR="00CD5000" w:rsidRPr="00806743" w14:paraId="2A9221DA" w14:textId="77777777" w:rsidTr="007854F9">
        <w:tc>
          <w:tcPr>
            <w:tcW w:w="1535" w:type="pct"/>
          </w:tcPr>
          <w:p w14:paraId="2A9221D8" w14:textId="48545A25" w:rsidR="00CD5000" w:rsidRPr="00914220" w:rsidRDefault="00BD606C" w:rsidP="005D550E">
            <w:pPr>
              <w:pStyle w:val="TabletextLeft"/>
              <w:rPr>
                <w:rFonts w:asciiTheme="majorHAnsi" w:hAnsiTheme="majorHAnsi"/>
                <w:szCs w:val="17"/>
              </w:rPr>
            </w:pPr>
            <w:r>
              <w:rPr>
                <w:rFonts w:asciiTheme="majorHAnsi" w:hAnsiTheme="majorHAnsi"/>
                <w:szCs w:val="17"/>
              </w:rPr>
              <w:t>ABS</w:t>
            </w:r>
          </w:p>
        </w:tc>
        <w:tc>
          <w:tcPr>
            <w:tcW w:w="3465" w:type="pct"/>
          </w:tcPr>
          <w:p w14:paraId="2A9221D9" w14:textId="5428A280" w:rsidR="00CD5000" w:rsidRPr="00914220" w:rsidRDefault="00BD606C" w:rsidP="005D550E">
            <w:pPr>
              <w:pStyle w:val="TabletextLeft"/>
              <w:rPr>
                <w:rFonts w:asciiTheme="majorHAnsi" w:hAnsiTheme="majorHAnsi"/>
                <w:szCs w:val="17"/>
              </w:rPr>
            </w:pPr>
            <w:r>
              <w:rPr>
                <w:rFonts w:asciiTheme="majorHAnsi" w:hAnsiTheme="majorHAnsi"/>
                <w:szCs w:val="17"/>
              </w:rPr>
              <w:t>Australian Bureau of Statistics</w:t>
            </w:r>
          </w:p>
        </w:tc>
      </w:tr>
      <w:tr w:rsidR="000E0C5D" w:rsidRPr="00806743" w14:paraId="7E4B665E" w14:textId="77777777" w:rsidTr="007854F9">
        <w:tc>
          <w:tcPr>
            <w:tcW w:w="1535" w:type="pct"/>
          </w:tcPr>
          <w:p w14:paraId="14BDD77E" w14:textId="7E5096E6" w:rsidR="000E0C5D" w:rsidRPr="00914220" w:rsidRDefault="000E0C5D" w:rsidP="000E0C5D">
            <w:pPr>
              <w:pStyle w:val="TabletextLeft"/>
              <w:rPr>
                <w:rFonts w:asciiTheme="majorHAnsi" w:hAnsiTheme="majorHAnsi"/>
                <w:szCs w:val="17"/>
              </w:rPr>
            </w:pPr>
            <w:r w:rsidRPr="00914220">
              <w:rPr>
                <w:rFonts w:asciiTheme="majorHAnsi" w:hAnsiTheme="majorHAnsi"/>
                <w:szCs w:val="17"/>
              </w:rPr>
              <w:t>BRV</w:t>
            </w:r>
          </w:p>
        </w:tc>
        <w:tc>
          <w:tcPr>
            <w:tcW w:w="3465" w:type="pct"/>
          </w:tcPr>
          <w:p w14:paraId="5200A875" w14:textId="74B9FEAC" w:rsidR="000E0C5D" w:rsidRPr="00914220" w:rsidRDefault="000E0C5D" w:rsidP="000E0C5D">
            <w:pPr>
              <w:pStyle w:val="TabletextLeft"/>
            </w:pPr>
            <w:r w:rsidRPr="00914220">
              <w:rPr>
                <w:rFonts w:asciiTheme="majorHAnsi" w:hAnsiTheme="majorHAnsi"/>
                <w:szCs w:val="17"/>
              </w:rPr>
              <w:t>Better Regulation Victoria</w:t>
            </w:r>
          </w:p>
        </w:tc>
      </w:tr>
      <w:tr w:rsidR="00A73A35" w:rsidRPr="00806743" w14:paraId="2839C6F1" w14:textId="77777777" w:rsidTr="007854F9">
        <w:tc>
          <w:tcPr>
            <w:tcW w:w="1535" w:type="pct"/>
          </w:tcPr>
          <w:p w14:paraId="5A0BE158" w14:textId="2BEFC751" w:rsidR="00A73A35" w:rsidRPr="00914220" w:rsidRDefault="00A73A35" w:rsidP="00A73A35">
            <w:pPr>
              <w:pStyle w:val="TabletextLeft"/>
              <w:rPr>
                <w:rFonts w:asciiTheme="majorHAnsi" w:hAnsiTheme="majorHAnsi"/>
                <w:szCs w:val="17"/>
              </w:rPr>
            </w:pPr>
            <w:r w:rsidRPr="00914220">
              <w:rPr>
                <w:rFonts w:asciiTheme="majorHAnsi" w:hAnsiTheme="majorHAnsi"/>
                <w:szCs w:val="17"/>
              </w:rPr>
              <w:t>DELWP</w:t>
            </w:r>
          </w:p>
        </w:tc>
        <w:tc>
          <w:tcPr>
            <w:tcW w:w="3465" w:type="pct"/>
          </w:tcPr>
          <w:p w14:paraId="14D0C59D" w14:textId="28BE2F17" w:rsidR="00A73A35" w:rsidRPr="00914220" w:rsidRDefault="00A73A35" w:rsidP="00A73A35">
            <w:pPr>
              <w:pStyle w:val="TabletextLeft"/>
              <w:rPr>
                <w:rFonts w:asciiTheme="majorHAnsi" w:hAnsiTheme="majorHAnsi"/>
                <w:szCs w:val="17"/>
              </w:rPr>
            </w:pPr>
            <w:r w:rsidRPr="00914220">
              <w:rPr>
                <w:rFonts w:asciiTheme="majorHAnsi" w:hAnsiTheme="majorHAnsi"/>
                <w:szCs w:val="17"/>
              </w:rPr>
              <w:t>Department of Environment, Land, Water and Planning</w:t>
            </w:r>
          </w:p>
        </w:tc>
      </w:tr>
      <w:tr w:rsidR="00A73A35" w:rsidRPr="00806743" w14:paraId="2A9221DD" w14:textId="77777777" w:rsidTr="007854F9">
        <w:tc>
          <w:tcPr>
            <w:tcW w:w="1535" w:type="pct"/>
          </w:tcPr>
          <w:p w14:paraId="2A9221DB" w14:textId="3A055F01" w:rsidR="00A73A35" w:rsidRPr="00914220" w:rsidRDefault="00A73A35" w:rsidP="00A73A35">
            <w:pPr>
              <w:pStyle w:val="TabletextLeft"/>
              <w:rPr>
                <w:rFonts w:asciiTheme="majorHAnsi" w:hAnsiTheme="majorHAnsi"/>
                <w:szCs w:val="17"/>
              </w:rPr>
            </w:pPr>
            <w:r w:rsidRPr="00914220">
              <w:rPr>
                <w:rFonts w:asciiTheme="majorHAnsi" w:hAnsiTheme="majorHAnsi"/>
                <w:szCs w:val="17"/>
              </w:rPr>
              <w:t>DH</w:t>
            </w:r>
            <w:r>
              <w:rPr>
                <w:rFonts w:asciiTheme="majorHAnsi" w:hAnsiTheme="majorHAnsi"/>
                <w:szCs w:val="17"/>
              </w:rPr>
              <w:t>H</w:t>
            </w:r>
            <w:r w:rsidRPr="00914220">
              <w:rPr>
                <w:rFonts w:asciiTheme="majorHAnsi" w:hAnsiTheme="majorHAnsi"/>
                <w:szCs w:val="17"/>
              </w:rPr>
              <w:t>S</w:t>
            </w:r>
          </w:p>
        </w:tc>
        <w:tc>
          <w:tcPr>
            <w:tcW w:w="3465" w:type="pct"/>
          </w:tcPr>
          <w:p w14:paraId="2A9221DC" w14:textId="54520289" w:rsidR="00A73A35" w:rsidRPr="00914220" w:rsidRDefault="00A73A35" w:rsidP="00A73A35">
            <w:pPr>
              <w:pStyle w:val="TabletextLeft"/>
              <w:rPr>
                <w:rFonts w:asciiTheme="majorHAnsi" w:hAnsiTheme="majorHAnsi"/>
                <w:szCs w:val="17"/>
              </w:rPr>
            </w:pPr>
            <w:r w:rsidRPr="00914220">
              <w:rPr>
                <w:rFonts w:asciiTheme="majorHAnsi" w:hAnsiTheme="majorHAnsi"/>
                <w:szCs w:val="17"/>
              </w:rPr>
              <w:t xml:space="preserve">Department of Health and Human Services </w:t>
            </w:r>
          </w:p>
        </w:tc>
      </w:tr>
      <w:tr w:rsidR="00B9589F" w:rsidRPr="00806743" w14:paraId="3EF394B7" w14:textId="77777777" w:rsidTr="007854F9">
        <w:tc>
          <w:tcPr>
            <w:tcW w:w="1535" w:type="pct"/>
          </w:tcPr>
          <w:p w14:paraId="2490925B" w14:textId="543782BC" w:rsidR="00B9589F" w:rsidRPr="00914220" w:rsidRDefault="00B9589F" w:rsidP="00B9589F">
            <w:pPr>
              <w:pStyle w:val="TabletextLeft"/>
            </w:pPr>
            <w:r w:rsidRPr="00914220">
              <w:rPr>
                <w:rFonts w:asciiTheme="majorHAnsi" w:hAnsiTheme="majorHAnsi"/>
                <w:szCs w:val="17"/>
              </w:rPr>
              <w:t>DJCS</w:t>
            </w:r>
          </w:p>
        </w:tc>
        <w:tc>
          <w:tcPr>
            <w:tcW w:w="3465" w:type="pct"/>
          </w:tcPr>
          <w:p w14:paraId="594B75D0" w14:textId="709F38CA" w:rsidR="00B9589F" w:rsidRPr="00914220" w:rsidRDefault="00B9589F" w:rsidP="00B9589F">
            <w:pPr>
              <w:pStyle w:val="TabletextLeft"/>
              <w:rPr>
                <w:rFonts w:asciiTheme="majorHAnsi" w:hAnsiTheme="majorHAnsi"/>
                <w:szCs w:val="17"/>
              </w:rPr>
            </w:pPr>
            <w:r w:rsidRPr="00914220">
              <w:rPr>
                <w:lang w:val="en-GB"/>
              </w:rPr>
              <w:t>Department of Justice and Community Safety</w:t>
            </w:r>
          </w:p>
        </w:tc>
      </w:tr>
      <w:tr w:rsidR="00B9589F" w:rsidRPr="00806743" w14:paraId="5968A519" w14:textId="77777777" w:rsidTr="007854F9">
        <w:tc>
          <w:tcPr>
            <w:tcW w:w="1535" w:type="pct"/>
          </w:tcPr>
          <w:p w14:paraId="4ED594B2" w14:textId="7D31ABEF" w:rsidR="00B9589F" w:rsidRPr="00914220" w:rsidRDefault="00CA34ED" w:rsidP="00B9589F">
            <w:pPr>
              <w:pStyle w:val="TabletextLeft"/>
              <w:rPr>
                <w:rFonts w:asciiTheme="majorHAnsi" w:hAnsiTheme="majorHAnsi"/>
                <w:szCs w:val="17"/>
              </w:rPr>
            </w:pPr>
            <w:r>
              <w:rPr>
                <w:rFonts w:asciiTheme="majorHAnsi" w:hAnsiTheme="majorHAnsi"/>
                <w:szCs w:val="17"/>
              </w:rPr>
              <w:t>JLL</w:t>
            </w:r>
          </w:p>
        </w:tc>
        <w:tc>
          <w:tcPr>
            <w:tcW w:w="3465" w:type="pct"/>
          </w:tcPr>
          <w:p w14:paraId="72B65F08" w14:textId="1718A082" w:rsidR="00B9589F" w:rsidRPr="00914220" w:rsidRDefault="00CA34ED" w:rsidP="00B9589F">
            <w:pPr>
              <w:pStyle w:val="TabletextLeft"/>
              <w:rPr>
                <w:rFonts w:asciiTheme="majorHAnsi" w:hAnsiTheme="majorHAnsi"/>
                <w:szCs w:val="17"/>
              </w:rPr>
            </w:pPr>
            <w:r>
              <w:rPr>
                <w:rFonts w:asciiTheme="majorHAnsi" w:hAnsiTheme="majorHAnsi"/>
                <w:szCs w:val="17"/>
              </w:rPr>
              <w:t>Jones Lang LaSalle</w:t>
            </w:r>
            <w:r w:rsidR="00CD6F7B">
              <w:rPr>
                <w:rFonts w:asciiTheme="majorHAnsi" w:hAnsiTheme="majorHAnsi"/>
                <w:szCs w:val="17"/>
              </w:rPr>
              <w:t xml:space="preserve"> (real estate company)</w:t>
            </w:r>
          </w:p>
        </w:tc>
      </w:tr>
      <w:tr w:rsidR="00B9589F" w:rsidRPr="00806743" w14:paraId="1B35D53A" w14:textId="77777777" w:rsidTr="007854F9">
        <w:tc>
          <w:tcPr>
            <w:tcW w:w="1535" w:type="pct"/>
          </w:tcPr>
          <w:p w14:paraId="69FE1B66" w14:textId="0AF23D30" w:rsidR="00B9589F" w:rsidRPr="00914220" w:rsidRDefault="00CA30EB" w:rsidP="00B9589F">
            <w:pPr>
              <w:pStyle w:val="TabletextLeft"/>
              <w:rPr>
                <w:rFonts w:asciiTheme="majorHAnsi" w:hAnsiTheme="majorHAnsi"/>
                <w:szCs w:val="17"/>
              </w:rPr>
            </w:pPr>
            <w:r>
              <w:rPr>
                <w:rFonts w:asciiTheme="majorHAnsi" w:hAnsiTheme="majorHAnsi"/>
                <w:szCs w:val="17"/>
              </w:rPr>
              <w:t>LGA</w:t>
            </w:r>
          </w:p>
        </w:tc>
        <w:tc>
          <w:tcPr>
            <w:tcW w:w="3465" w:type="pct"/>
          </w:tcPr>
          <w:p w14:paraId="546E0154" w14:textId="0C7C83A6" w:rsidR="00B9589F" w:rsidRPr="00914220" w:rsidRDefault="00CA30EB" w:rsidP="00B9589F">
            <w:pPr>
              <w:pStyle w:val="TabletextLeft"/>
              <w:rPr>
                <w:rFonts w:asciiTheme="majorHAnsi" w:hAnsiTheme="majorHAnsi"/>
                <w:szCs w:val="17"/>
              </w:rPr>
            </w:pPr>
            <w:r>
              <w:rPr>
                <w:rFonts w:asciiTheme="majorHAnsi" w:hAnsiTheme="majorHAnsi"/>
                <w:szCs w:val="17"/>
              </w:rPr>
              <w:t>Local Government Area</w:t>
            </w:r>
          </w:p>
        </w:tc>
      </w:tr>
      <w:tr w:rsidR="001F2F4F" w:rsidRPr="00806743" w14:paraId="452D2B9A" w14:textId="77777777" w:rsidTr="007854F9">
        <w:tc>
          <w:tcPr>
            <w:tcW w:w="1535" w:type="pct"/>
          </w:tcPr>
          <w:p w14:paraId="390C3389" w14:textId="4717DE03" w:rsidR="001F2F4F" w:rsidRPr="00914220" w:rsidRDefault="001F2F4F" w:rsidP="001F2F4F">
            <w:pPr>
              <w:pStyle w:val="TabletextLeft"/>
              <w:rPr>
                <w:rFonts w:asciiTheme="majorHAnsi" w:hAnsiTheme="majorHAnsi"/>
                <w:szCs w:val="17"/>
              </w:rPr>
            </w:pPr>
            <w:r w:rsidRPr="00914220">
              <w:rPr>
                <w:rFonts w:asciiTheme="majorHAnsi" w:hAnsiTheme="majorHAnsi"/>
                <w:szCs w:val="17"/>
              </w:rPr>
              <w:t>MAV</w:t>
            </w:r>
          </w:p>
        </w:tc>
        <w:tc>
          <w:tcPr>
            <w:tcW w:w="3465" w:type="pct"/>
          </w:tcPr>
          <w:p w14:paraId="2421F127" w14:textId="79ACEC1B" w:rsidR="001F2F4F" w:rsidRPr="00914220" w:rsidRDefault="001F2F4F" w:rsidP="001F2F4F">
            <w:pPr>
              <w:pStyle w:val="TabletextLeft"/>
              <w:rPr>
                <w:rFonts w:asciiTheme="majorHAnsi" w:hAnsiTheme="majorHAnsi"/>
                <w:szCs w:val="17"/>
              </w:rPr>
            </w:pPr>
            <w:r w:rsidRPr="00914220">
              <w:rPr>
                <w:rFonts w:asciiTheme="minorHAnsi" w:hAnsiTheme="minorHAnsi" w:cs="Segoe UI Light"/>
              </w:rPr>
              <w:t>Municipal Association of Victoria</w:t>
            </w:r>
          </w:p>
        </w:tc>
      </w:tr>
      <w:tr w:rsidR="001F2F4F" w:rsidRPr="00806743" w14:paraId="272F8428" w14:textId="77777777" w:rsidTr="007854F9">
        <w:tc>
          <w:tcPr>
            <w:tcW w:w="1535" w:type="pct"/>
          </w:tcPr>
          <w:p w14:paraId="3A61C819" w14:textId="6076C921" w:rsidR="001F2F4F" w:rsidRPr="00914220" w:rsidRDefault="001F2F4F" w:rsidP="001F2F4F">
            <w:pPr>
              <w:pStyle w:val="TabletextLeft"/>
              <w:rPr>
                <w:rFonts w:asciiTheme="majorHAnsi" w:hAnsiTheme="majorHAnsi"/>
                <w:szCs w:val="17"/>
              </w:rPr>
            </w:pPr>
            <w:r>
              <w:rPr>
                <w:rFonts w:asciiTheme="majorHAnsi" w:hAnsiTheme="majorHAnsi"/>
                <w:szCs w:val="17"/>
              </w:rPr>
              <w:t>MCA</w:t>
            </w:r>
          </w:p>
        </w:tc>
        <w:tc>
          <w:tcPr>
            <w:tcW w:w="3465" w:type="pct"/>
          </w:tcPr>
          <w:p w14:paraId="54464770" w14:textId="7CA1B7AB" w:rsidR="001F2F4F" w:rsidRPr="00914220" w:rsidRDefault="001F2F4F" w:rsidP="001F2F4F">
            <w:pPr>
              <w:pStyle w:val="TabletextLeft"/>
              <w:rPr>
                <w:lang w:val="en-GB"/>
              </w:rPr>
            </w:pPr>
            <w:r>
              <w:rPr>
                <w:lang w:val="en-GB"/>
              </w:rPr>
              <w:t>Multi Criteria Analysis</w:t>
            </w:r>
          </w:p>
        </w:tc>
      </w:tr>
      <w:tr w:rsidR="001F2F4F" w:rsidRPr="00806743" w14:paraId="76FC73DC" w14:textId="77777777" w:rsidTr="007854F9">
        <w:tc>
          <w:tcPr>
            <w:tcW w:w="1535" w:type="pct"/>
          </w:tcPr>
          <w:p w14:paraId="7A64360B" w14:textId="1F1167BE" w:rsidR="001F2F4F" w:rsidRPr="00914220" w:rsidRDefault="00E32401" w:rsidP="001F2F4F">
            <w:pPr>
              <w:pStyle w:val="TabletextLeft"/>
              <w:rPr>
                <w:rFonts w:asciiTheme="majorHAnsi" w:hAnsiTheme="majorHAnsi"/>
                <w:szCs w:val="17"/>
              </w:rPr>
            </w:pPr>
            <w:r>
              <w:rPr>
                <w:rFonts w:asciiTheme="majorHAnsi" w:hAnsiTheme="majorHAnsi"/>
                <w:szCs w:val="17"/>
              </w:rPr>
              <w:t>NCC</w:t>
            </w:r>
          </w:p>
        </w:tc>
        <w:tc>
          <w:tcPr>
            <w:tcW w:w="3465" w:type="pct"/>
          </w:tcPr>
          <w:p w14:paraId="717A2C25" w14:textId="60C78DF1" w:rsidR="001F2F4F" w:rsidRPr="00914220" w:rsidRDefault="00E32401" w:rsidP="001F2F4F">
            <w:pPr>
              <w:pStyle w:val="TabletextLeft"/>
            </w:pPr>
            <w:r>
              <w:t>National Construction Code</w:t>
            </w:r>
          </w:p>
        </w:tc>
      </w:tr>
      <w:tr w:rsidR="00930750" w:rsidRPr="00806743" w14:paraId="7C903D38" w14:textId="77777777" w:rsidTr="007854F9">
        <w:tc>
          <w:tcPr>
            <w:tcW w:w="1535" w:type="pct"/>
          </w:tcPr>
          <w:p w14:paraId="6EFC710E" w14:textId="396D864D" w:rsidR="00930750" w:rsidRDefault="00930750" w:rsidP="001F2F4F">
            <w:pPr>
              <w:pStyle w:val="TabletextLeft"/>
              <w:rPr>
                <w:rFonts w:asciiTheme="majorHAnsi" w:hAnsiTheme="majorHAnsi"/>
                <w:szCs w:val="17"/>
              </w:rPr>
            </w:pPr>
            <w:r>
              <w:rPr>
                <w:rFonts w:asciiTheme="majorHAnsi" w:hAnsiTheme="majorHAnsi"/>
                <w:szCs w:val="17"/>
              </w:rPr>
              <w:t>NDIS</w:t>
            </w:r>
          </w:p>
        </w:tc>
        <w:tc>
          <w:tcPr>
            <w:tcW w:w="3465" w:type="pct"/>
          </w:tcPr>
          <w:p w14:paraId="658A0FE2" w14:textId="3602AB36" w:rsidR="00930750" w:rsidRDefault="00930750" w:rsidP="001F2F4F">
            <w:pPr>
              <w:pStyle w:val="TabletextLeft"/>
            </w:pPr>
            <w:r>
              <w:t>National Disability Insurance Scheme</w:t>
            </w:r>
          </w:p>
        </w:tc>
      </w:tr>
      <w:tr w:rsidR="00084E3C" w:rsidRPr="00806743" w14:paraId="03A17AD5" w14:textId="77777777" w:rsidTr="007854F9">
        <w:tc>
          <w:tcPr>
            <w:tcW w:w="1535" w:type="pct"/>
          </w:tcPr>
          <w:p w14:paraId="2DC77F35" w14:textId="0AB93B4D" w:rsidR="00084E3C" w:rsidRDefault="00084E3C" w:rsidP="001F2F4F">
            <w:pPr>
              <w:pStyle w:val="TabletextLeft"/>
              <w:rPr>
                <w:rFonts w:asciiTheme="majorHAnsi" w:hAnsiTheme="majorHAnsi"/>
                <w:szCs w:val="17"/>
              </w:rPr>
            </w:pPr>
            <w:r>
              <w:rPr>
                <w:rFonts w:asciiTheme="majorHAnsi" w:hAnsiTheme="majorHAnsi"/>
                <w:szCs w:val="17"/>
              </w:rPr>
              <w:t>NPV</w:t>
            </w:r>
          </w:p>
        </w:tc>
        <w:tc>
          <w:tcPr>
            <w:tcW w:w="3465" w:type="pct"/>
          </w:tcPr>
          <w:p w14:paraId="5967F150" w14:textId="6F2F6AF5" w:rsidR="00084E3C" w:rsidRDefault="00084E3C" w:rsidP="001F2F4F">
            <w:pPr>
              <w:pStyle w:val="TabletextLeft"/>
            </w:pPr>
            <w:r>
              <w:t>Net present value</w:t>
            </w:r>
          </w:p>
        </w:tc>
      </w:tr>
      <w:tr w:rsidR="001F2F4F" w:rsidRPr="00806743" w14:paraId="5A64C831" w14:textId="77777777" w:rsidTr="007854F9">
        <w:tc>
          <w:tcPr>
            <w:tcW w:w="1535" w:type="pct"/>
          </w:tcPr>
          <w:p w14:paraId="5D216511" w14:textId="0607C63F" w:rsidR="001F2F4F" w:rsidRPr="00914220" w:rsidRDefault="001F2F4F" w:rsidP="001F2F4F">
            <w:pPr>
              <w:pStyle w:val="TabletextLeft"/>
              <w:rPr>
                <w:rFonts w:asciiTheme="majorHAnsi" w:hAnsiTheme="majorHAnsi"/>
                <w:szCs w:val="17"/>
              </w:rPr>
            </w:pPr>
            <w:r>
              <w:rPr>
                <w:rFonts w:asciiTheme="majorHAnsi" w:hAnsiTheme="majorHAnsi"/>
                <w:szCs w:val="17"/>
              </w:rPr>
              <w:t>PHWA</w:t>
            </w:r>
          </w:p>
        </w:tc>
        <w:tc>
          <w:tcPr>
            <w:tcW w:w="3465" w:type="pct"/>
          </w:tcPr>
          <w:p w14:paraId="652F15D0" w14:textId="1ACAB3FD" w:rsidR="001F2F4F" w:rsidRPr="00914220" w:rsidRDefault="001F2F4F" w:rsidP="001F2F4F">
            <w:pPr>
              <w:pStyle w:val="TabletextLeft"/>
              <w:rPr>
                <w:rFonts w:asciiTheme="majorHAnsi" w:hAnsiTheme="majorHAnsi"/>
                <w:szCs w:val="17"/>
              </w:rPr>
            </w:pPr>
            <w:r>
              <w:t>Public Health and Wellbeing Act 2008</w:t>
            </w:r>
          </w:p>
        </w:tc>
      </w:tr>
      <w:tr w:rsidR="001F2F4F" w14:paraId="470C79AC" w14:textId="77777777" w:rsidTr="0022230A">
        <w:tc>
          <w:tcPr>
            <w:tcW w:w="1535" w:type="pct"/>
            <w:hideMark/>
          </w:tcPr>
          <w:p w14:paraId="527A245F" w14:textId="77777777" w:rsidR="001F2F4F" w:rsidRPr="00914220" w:rsidRDefault="001F2F4F" w:rsidP="001F2F4F">
            <w:pPr>
              <w:pStyle w:val="TabletextLeft"/>
              <w:rPr>
                <w:rFonts w:asciiTheme="majorHAnsi" w:hAnsiTheme="majorHAnsi"/>
                <w:szCs w:val="17"/>
                <w:lang w:val="en-GB"/>
              </w:rPr>
            </w:pPr>
            <w:r w:rsidRPr="00914220">
              <w:rPr>
                <w:rFonts w:asciiTheme="majorHAnsi" w:hAnsiTheme="majorHAnsi"/>
                <w:szCs w:val="17"/>
                <w:lang w:val="en-GB"/>
              </w:rPr>
              <w:t>PSP</w:t>
            </w:r>
          </w:p>
        </w:tc>
        <w:tc>
          <w:tcPr>
            <w:tcW w:w="3465" w:type="pct"/>
            <w:hideMark/>
          </w:tcPr>
          <w:p w14:paraId="32D240CB" w14:textId="77777777" w:rsidR="001F2F4F" w:rsidRPr="00914220" w:rsidRDefault="001F2F4F" w:rsidP="001F2F4F">
            <w:pPr>
              <w:pStyle w:val="TabletextLeft"/>
              <w:rPr>
                <w:rFonts w:asciiTheme="majorHAnsi" w:hAnsiTheme="majorHAnsi"/>
                <w:szCs w:val="17"/>
                <w:lang w:val="en-GB"/>
              </w:rPr>
            </w:pPr>
            <w:r w:rsidRPr="00914220">
              <w:rPr>
                <w:rFonts w:asciiTheme="majorHAnsi" w:hAnsiTheme="majorHAnsi"/>
                <w:szCs w:val="17"/>
                <w:lang w:val="en-GB"/>
              </w:rPr>
              <w:t>Now Strategic Policy and Projects Branch, DHHS</w:t>
            </w:r>
          </w:p>
        </w:tc>
      </w:tr>
      <w:tr w:rsidR="0042091A" w14:paraId="67BB6FCF" w14:textId="77777777" w:rsidTr="0022230A">
        <w:tc>
          <w:tcPr>
            <w:tcW w:w="1535" w:type="pct"/>
          </w:tcPr>
          <w:p w14:paraId="233645D9" w14:textId="165EDF04" w:rsidR="0042091A" w:rsidRPr="00914220" w:rsidRDefault="0042091A" w:rsidP="001F2F4F">
            <w:pPr>
              <w:pStyle w:val="TabletextLeft"/>
              <w:rPr>
                <w:rFonts w:asciiTheme="majorHAnsi" w:hAnsiTheme="majorHAnsi"/>
                <w:szCs w:val="17"/>
                <w:lang w:val="en-GB"/>
              </w:rPr>
            </w:pPr>
            <w:r>
              <w:rPr>
                <w:rFonts w:asciiTheme="majorHAnsi" w:hAnsiTheme="majorHAnsi"/>
                <w:szCs w:val="17"/>
                <w:lang w:val="en-GB"/>
              </w:rPr>
              <w:t>RAAV</w:t>
            </w:r>
          </w:p>
        </w:tc>
        <w:tc>
          <w:tcPr>
            <w:tcW w:w="3465" w:type="pct"/>
          </w:tcPr>
          <w:p w14:paraId="74226CF9" w14:textId="76A47DBD" w:rsidR="0042091A" w:rsidRPr="00914220" w:rsidRDefault="0042091A" w:rsidP="001F2F4F">
            <w:pPr>
              <w:pStyle w:val="TabletextLeft"/>
              <w:rPr>
                <w:rFonts w:asciiTheme="majorHAnsi" w:hAnsiTheme="majorHAnsi"/>
                <w:szCs w:val="17"/>
                <w:lang w:val="en-GB"/>
              </w:rPr>
            </w:pPr>
            <w:r>
              <w:rPr>
                <w:rFonts w:asciiTheme="majorHAnsi" w:hAnsiTheme="majorHAnsi"/>
                <w:szCs w:val="17"/>
                <w:lang w:val="en-GB"/>
              </w:rPr>
              <w:t>Registered Accommodation Association of Victoria Ltd</w:t>
            </w:r>
          </w:p>
        </w:tc>
      </w:tr>
      <w:tr w:rsidR="001F2F4F" w14:paraId="1805374B" w14:textId="77777777" w:rsidTr="0022230A">
        <w:tc>
          <w:tcPr>
            <w:tcW w:w="1535" w:type="pct"/>
            <w:hideMark/>
          </w:tcPr>
          <w:p w14:paraId="44A491BA" w14:textId="77777777" w:rsidR="001F2F4F" w:rsidRPr="00914220" w:rsidRDefault="001F2F4F" w:rsidP="001F2F4F">
            <w:pPr>
              <w:pStyle w:val="TabletextLeft"/>
              <w:rPr>
                <w:rFonts w:asciiTheme="majorHAnsi" w:hAnsiTheme="majorHAnsi"/>
                <w:szCs w:val="17"/>
                <w:lang w:val="en-GB"/>
              </w:rPr>
            </w:pPr>
            <w:r w:rsidRPr="00914220">
              <w:rPr>
                <w:rFonts w:asciiTheme="majorHAnsi" w:hAnsiTheme="majorHAnsi"/>
                <w:szCs w:val="17"/>
                <w:lang w:val="en-GB"/>
              </w:rPr>
              <w:t>Regulations</w:t>
            </w:r>
          </w:p>
        </w:tc>
        <w:tc>
          <w:tcPr>
            <w:tcW w:w="3465" w:type="pct"/>
            <w:hideMark/>
          </w:tcPr>
          <w:p w14:paraId="78776907" w14:textId="77777777" w:rsidR="001F2F4F" w:rsidRPr="00914220" w:rsidRDefault="001F2F4F" w:rsidP="001F2F4F">
            <w:pPr>
              <w:pStyle w:val="TabletextLeft"/>
              <w:rPr>
                <w:rFonts w:asciiTheme="majorHAnsi" w:hAnsiTheme="majorHAnsi"/>
                <w:szCs w:val="17"/>
                <w:lang w:val="en-GB"/>
              </w:rPr>
            </w:pPr>
            <w:r w:rsidRPr="00914220">
              <w:rPr>
                <w:rFonts w:asciiTheme="majorHAnsi" w:hAnsiTheme="majorHAnsi"/>
                <w:szCs w:val="17"/>
                <w:lang w:val="en-GB"/>
              </w:rPr>
              <w:t>Public Health and Wellbeing (Prescribed Accommodation) Regulations 2009</w:t>
            </w:r>
          </w:p>
        </w:tc>
      </w:tr>
      <w:tr w:rsidR="001F2F4F" w14:paraId="33E7053A" w14:textId="77777777" w:rsidTr="0022230A">
        <w:tc>
          <w:tcPr>
            <w:tcW w:w="1535" w:type="pct"/>
            <w:hideMark/>
          </w:tcPr>
          <w:p w14:paraId="1B26F491" w14:textId="77777777" w:rsidR="001F2F4F" w:rsidRDefault="001F2F4F" w:rsidP="001F2F4F">
            <w:pPr>
              <w:pStyle w:val="TabletextLeft"/>
              <w:rPr>
                <w:rFonts w:asciiTheme="majorHAnsi" w:hAnsiTheme="majorHAnsi"/>
                <w:szCs w:val="17"/>
                <w:lang w:val="en-GB"/>
              </w:rPr>
            </w:pPr>
            <w:r>
              <w:rPr>
                <w:rFonts w:asciiTheme="majorHAnsi" w:hAnsiTheme="majorHAnsi"/>
                <w:szCs w:val="17"/>
                <w:lang w:val="en-GB"/>
              </w:rPr>
              <w:t>RIS</w:t>
            </w:r>
          </w:p>
        </w:tc>
        <w:tc>
          <w:tcPr>
            <w:tcW w:w="3465" w:type="pct"/>
            <w:hideMark/>
          </w:tcPr>
          <w:p w14:paraId="40811A9E" w14:textId="77777777" w:rsidR="001F2F4F" w:rsidRDefault="001F2F4F" w:rsidP="001F2F4F">
            <w:pPr>
              <w:pStyle w:val="TabletextLeft"/>
              <w:rPr>
                <w:rFonts w:asciiTheme="majorHAnsi" w:hAnsiTheme="majorHAnsi"/>
                <w:szCs w:val="17"/>
                <w:lang w:val="en-GB"/>
              </w:rPr>
            </w:pPr>
            <w:r>
              <w:rPr>
                <w:rFonts w:asciiTheme="majorHAnsi" w:hAnsiTheme="majorHAnsi"/>
                <w:szCs w:val="17"/>
                <w:lang w:val="en-GB"/>
              </w:rPr>
              <w:t>Regulatory Impact Statement</w:t>
            </w:r>
          </w:p>
        </w:tc>
      </w:tr>
      <w:tr w:rsidR="001F2F4F" w14:paraId="2560E23C" w14:textId="66BB349B" w:rsidTr="0022230A">
        <w:tc>
          <w:tcPr>
            <w:tcW w:w="1535" w:type="pct"/>
            <w:hideMark/>
          </w:tcPr>
          <w:p w14:paraId="40C05624" w14:textId="290CEE93" w:rsidR="001F2F4F" w:rsidRDefault="002D55C4" w:rsidP="001F2F4F">
            <w:pPr>
              <w:pStyle w:val="TabletextLeft"/>
              <w:rPr>
                <w:rFonts w:asciiTheme="majorHAnsi" w:hAnsiTheme="majorHAnsi"/>
                <w:szCs w:val="17"/>
                <w:lang w:val="en-GB"/>
              </w:rPr>
            </w:pPr>
            <w:r>
              <w:t>Rooming House Operators Act</w:t>
            </w:r>
          </w:p>
        </w:tc>
        <w:tc>
          <w:tcPr>
            <w:tcW w:w="3465" w:type="pct"/>
            <w:hideMark/>
          </w:tcPr>
          <w:p w14:paraId="2DB57547" w14:textId="56C48749" w:rsidR="001F2F4F" w:rsidRDefault="001F2F4F" w:rsidP="001F2F4F">
            <w:pPr>
              <w:pStyle w:val="TabletextLeft"/>
              <w:rPr>
                <w:rFonts w:asciiTheme="majorHAnsi" w:hAnsiTheme="majorHAnsi"/>
                <w:szCs w:val="17"/>
                <w:lang w:val="en-GB"/>
              </w:rPr>
            </w:pPr>
            <w:r>
              <w:rPr>
                <w:rFonts w:asciiTheme="majorHAnsi" w:hAnsiTheme="majorHAnsi"/>
                <w:szCs w:val="17"/>
                <w:lang w:val="en-GB"/>
              </w:rPr>
              <w:t>Rooming House Operators Act</w:t>
            </w:r>
            <w:r w:rsidR="00D55EC3">
              <w:rPr>
                <w:rFonts w:asciiTheme="majorHAnsi" w:hAnsiTheme="majorHAnsi"/>
                <w:szCs w:val="17"/>
                <w:lang w:val="en-GB"/>
              </w:rPr>
              <w:t xml:space="preserve"> 2016</w:t>
            </w:r>
          </w:p>
        </w:tc>
      </w:tr>
      <w:tr w:rsidR="001F2F4F" w14:paraId="6D8C07EA" w14:textId="77777777" w:rsidTr="0022230A">
        <w:tc>
          <w:tcPr>
            <w:tcW w:w="1535" w:type="pct"/>
            <w:hideMark/>
          </w:tcPr>
          <w:p w14:paraId="10D3EF8B" w14:textId="77777777" w:rsidR="001F2F4F" w:rsidRDefault="001F2F4F" w:rsidP="001F2F4F">
            <w:pPr>
              <w:pStyle w:val="TabletextLeft"/>
              <w:rPr>
                <w:rFonts w:asciiTheme="majorHAnsi" w:hAnsiTheme="majorHAnsi"/>
                <w:szCs w:val="17"/>
                <w:lang w:val="en-GB"/>
              </w:rPr>
            </w:pPr>
            <w:r>
              <w:rPr>
                <w:rFonts w:asciiTheme="majorHAnsi" w:hAnsiTheme="majorHAnsi"/>
                <w:szCs w:val="17"/>
                <w:lang w:val="en-GB"/>
              </w:rPr>
              <w:t>RTA</w:t>
            </w:r>
          </w:p>
        </w:tc>
        <w:tc>
          <w:tcPr>
            <w:tcW w:w="3465" w:type="pct"/>
            <w:hideMark/>
          </w:tcPr>
          <w:p w14:paraId="2D994F82" w14:textId="77777777" w:rsidR="001F2F4F" w:rsidRDefault="001F2F4F" w:rsidP="001F2F4F">
            <w:pPr>
              <w:pStyle w:val="TabletextLeft"/>
              <w:rPr>
                <w:rFonts w:asciiTheme="majorHAnsi" w:hAnsiTheme="majorHAnsi"/>
                <w:szCs w:val="17"/>
                <w:lang w:val="en-GB"/>
              </w:rPr>
            </w:pPr>
            <w:r>
              <w:rPr>
                <w:rFonts w:asciiTheme="majorHAnsi" w:hAnsiTheme="majorHAnsi"/>
                <w:szCs w:val="17"/>
                <w:lang w:val="en-GB"/>
              </w:rPr>
              <w:t>Residential Tenancies Act 1997</w:t>
            </w:r>
          </w:p>
        </w:tc>
      </w:tr>
      <w:tr w:rsidR="00DA5F65" w:rsidRPr="00806743" w14:paraId="4DE8D92D" w14:textId="77777777" w:rsidTr="007854F9">
        <w:tc>
          <w:tcPr>
            <w:tcW w:w="1535" w:type="pct"/>
          </w:tcPr>
          <w:p w14:paraId="6B5D8475" w14:textId="6E89A3D1" w:rsidR="00DA5F65" w:rsidRDefault="00DA5F65" w:rsidP="001F2F4F">
            <w:pPr>
              <w:pStyle w:val="TabletextLeft"/>
              <w:rPr>
                <w:rFonts w:asciiTheme="majorHAnsi" w:hAnsiTheme="majorHAnsi"/>
                <w:szCs w:val="17"/>
              </w:rPr>
            </w:pPr>
            <w:r>
              <w:rPr>
                <w:rFonts w:asciiTheme="majorHAnsi" w:hAnsiTheme="majorHAnsi"/>
                <w:szCs w:val="17"/>
              </w:rPr>
              <w:t>SDA</w:t>
            </w:r>
          </w:p>
        </w:tc>
        <w:tc>
          <w:tcPr>
            <w:tcW w:w="3465" w:type="pct"/>
          </w:tcPr>
          <w:p w14:paraId="7DAF6CAB" w14:textId="59CA42E9" w:rsidR="00DA5F65" w:rsidRDefault="00DA5F65" w:rsidP="001F2F4F">
            <w:pPr>
              <w:pStyle w:val="TabletextLeft"/>
              <w:rPr>
                <w:rFonts w:asciiTheme="majorHAnsi" w:hAnsiTheme="majorHAnsi"/>
                <w:szCs w:val="17"/>
              </w:rPr>
            </w:pPr>
            <w:r>
              <w:t>Specialist Disability Accommodation</w:t>
            </w:r>
          </w:p>
        </w:tc>
      </w:tr>
      <w:tr w:rsidR="001F2F4F" w:rsidRPr="00806743" w14:paraId="2A9221EF" w14:textId="77777777" w:rsidTr="007854F9">
        <w:tc>
          <w:tcPr>
            <w:tcW w:w="1535" w:type="pct"/>
          </w:tcPr>
          <w:p w14:paraId="2A9221ED" w14:textId="14917A46" w:rsidR="001F2F4F" w:rsidRDefault="001F2F4F" w:rsidP="001F2F4F">
            <w:pPr>
              <w:pStyle w:val="TabletextLeft"/>
              <w:rPr>
                <w:rFonts w:asciiTheme="majorHAnsi" w:hAnsiTheme="majorHAnsi"/>
                <w:szCs w:val="17"/>
              </w:rPr>
            </w:pPr>
            <w:r>
              <w:rPr>
                <w:rFonts w:asciiTheme="majorHAnsi" w:hAnsiTheme="majorHAnsi"/>
                <w:szCs w:val="17"/>
              </w:rPr>
              <w:t>TRA</w:t>
            </w:r>
          </w:p>
        </w:tc>
        <w:tc>
          <w:tcPr>
            <w:tcW w:w="3465" w:type="pct"/>
          </w:tcPr>
          <w:p w14:paraId="2A9221EE" w14:textId="671F7FAC" w:rsidR="001F2F4F" w:rsidRDefault="001F2F4F" w:rsidP="001F2F4F">
            <w:pPr>
              <w:pStyle w:val="TabletextLeft"/>
              <w:rPr>
                <w:rFonts w:asciiTheme="majorHAnsi" w:hAnsiTheme="majorHAnsi"/>
                <w:szCs w:val="17"/>
              </w:rPr>
            </w:pPr>
            <w:r>
              <w:rPr>
                <w:rFonts w:asciiTheme="majorHAnsi" w:hAnsiTheme="majorHAnsi"/>
                <w:szCs w:val="17"/>
              </w:rPr>
              <w:t>Tourism Research Australia</w:t>
            </w:r>
          </w:p>
        </w:tc>
      </w:tr>
      <w:tr w:rsidR="0042091A" w:rsidRPr="00806743" w14:paraId="3B6390B7" w14:textId="77777777" w:rsidTr="007854F9">
        <w:tc>
          <w:tcPr>
            <w:tcW w:w="1535" w:type="pct"/>
          </w:tcPr>
          <w:p w14:paraId="7DEB1F93" w14:textId="0B376DA2" w:rsidR="0042091A" w:rsidRDefault="0042091A" w:rsidP="001F2F4F">
            <w:pPr>
              <w:pStyle w:val="TabletextLeft"/>
              <w:rPr>
                <w:rFonts w:asciiTheme="majorHAnsi" w:hAnsiTheme="majorHAnsi"/>
                <w:szCs w:val="17"/>
              </w:rPr>
            </w:pPr>
            <w:r>
              <w:rPr>
                <w:rFonts w:asciiTheme="majorHAnsi" w:hAnsiTheme="majorHAnsi"/>
                <w:szCs w:val="17"/>
              </w:rPr>
              <w:t>WHO</w:t>
            </w:r>
          </w:p>
        </w:tc>
        <w:tc>
          <w:tcPr>
            <w:tcW w:w="3465" w:type="pct"/>
          </w:tcPr>
          <w:p w14:paraId="40273686" w14:textId="58D20D40" w:rsidR="0042091A" w:rsidRDefault="0042091A" w:rsidP="001F2F4F">
            <w:pPr>
              <w:pStyle w:val="TabletextLeft"/>
              <w:rPr>
                <w:rFonts w:asciiTheme="majorHAnsi" w:hAnsiTheme="majorHAnsi"/>
                <w:szCs w:val="17"/>
              </w:rPr>
            </w:pPr>
            <w:r>
              <w:rPr>
                <w:rFonts w:asciiTheme="majorHAnsi" w:hAnsiTheme="majorHAnsi"/>
                <w:szCs w:val="17"/>
              </w:rPr>
              <w:t>World Health Organisation</w:t>
            </w:r>
          </w:p>
        </w:tc>
      </w:tr>
    </w:tbl>
    <w:p w14:paraId="69CE36F4" w14:textId="77777777" w:rsidR="00F9113D" w:rsidRDefault="00F9113D" w:rsidP="00672300">
      <w:pPr>
        <w:rPr>
          <w:rFonts w:asciiTheme="majorHAnsi" w:hAnsiTheme="majorHAnsi"/>
          <w:sz w:val="17"/>
          <w:szCs w:val="17"/>
        </w:rPr>
      </w:pPr>
    </w:p>
    <w:p w14:paraId="721B68B9" w14:textId="05FAFA33" w:rsidR="00AD0E46" w:rsidRDefault="00AD0E46" w:rsidP="00AD0E46">
      <w:pPr>
        <w:rPr>
          <w:rFonts w:asciiTheme="majorHAnsi" w:hAnsiTheme="majorHAnsi"/>
          <w:sz w:val="17"/>
          <w:szCs w:val="17"/>
        </w:rPr>
      </w:pPr>
    </w:p>
    <w:p w14:paraId="085D188C" w14:textId="732DD65F" w:rsidR="00AD0E46" w:rsidRDefault="00AD0E46" w:rsidP="00AD0E46">
      <w:pPr>
        <w:rPr>
          <w:rFonts w:asciiTheme="majorHAnsi" w:hAnsiTheme="majorHAnsi"/>
          <w:sz w:val="17"/>
          <w:szCs w:val="17"/>
        </w:rPr>
      </w:pPr>
    </w:p>
    <w:p w14:paraId="4085FB8A" w14:textId="7F258089" w:rsidR="00AD0E46" w:rsidRDefault="00AD0E46" w:rsidP="00AD0E46">
      <w:pPr>
        <w:rPr>
          <w:rFonts w:asciiTheme="majorHAnsi" w:hAnsiTheme="majorHAnsi"/>
          <w:sz w:val="17"/>
          <w:szCs w:val="17"/>
        </w:rPr>
      </w:pPr>
    </w:p>
    <w:p w14:paraId="5CC10FC3" w14:textId="3BB81AB3" w:rsidR="00602C29" w:rsidRDefault="00602C29" w:rsidP="00AD0E46">
      <w:pPr>
        <w:rPr>
          <w:rFonts w:asciiTheme="majorHAnsi" w:hAnsiTheme="majorHAnsi"/>
          <w:sz w:val="17"/>
          <w:szCs w:val="17"/>
        </w:rPr>
      </w:pPr>
    </w:p>
    <w:p w14:paraId="20E50D8F" w14:textId="0E45FA33" w:rsidR="00602C29" w:rsidRDefault="00602C29" w:rsidP="00AD0E46">
      <w:pPr>
        <w:rPr>
          <w:rFonts w:asciiTheme="majorHAnsi" w:hAnsiTheme="majorHAnsi"/>
          <w:sz w:val="17"/>
          <w:szCs w:val="17"/>
        </w:rPr>
      </w:pPr>
    </w:p>
    <w:p w14:paraId="2D9C2270" w14:textId="435056B5" w:rsidR="00602C29" w:rsidRDefault="00602C29" w:rsidP="00AD0E46">
      <w:pPr>
        <w:rPr>
          <w:rFonts w:asciiTheme="majorHAnsi" w:hAnsiTheme="majorHAnsi"/>
          <w:sz w:val="17"/>
          <w:szCs w:val="17"/>
        </w:rPr>
      </w:pPr>
    </w:p>
    <w:p w14:paraId="7C1B41DB" w14:textId="3CBA622C" w:rsidR="005F2381" w:rsidRDefault="005F2381" w:rsidP="00AD0E46">
      <w:pPr>
        <w:rPr>
          <w:rFonts w:asciiTheme="majorHAnsi" w:hAnsiTheme="majorHAnsi"/>
          <w:sz w:val="17"/>
          <w:szCs w:val="17"/>
        </w:rPr>
      </w:pPr>
    </w:p>
    <w:p w14:paraId="775935D7" w14:textId="77777777" w:rsidR="00602C29" w:rsidRDefault="00602C29" w:rsidP="00404C40">
      <w:pPr>
        <w:spacing w:before="120" w:after="120"/>
        <w:ind w:right="57"/>
        <w:rPr>
          <w:rFonts w:cs="Segoe UI Light"/>
          <w:sz w:val="17"/>
          <w:szCs w:val="17"/>
        </w:rPr>
      </w:pPr>
      <w:r w:rsidRPr="00602C29">
        <w:rPr>
          <w:rFonts w:cs="Segoe UI Light"/>
          <w:sz w:val="17"/>
          <w:szCs w:val="17"/>
        </w:rPr>
        <w:t xml:space="preserve">Authorised and published by the Victorian Government, 1 Treasury Place, Melbourne. </w:t>
      </w:r>
    </w:p>
    <w:p w14:paraId="4D32CF8D" w14:textId="14BABBC8" w:rsidR="00550ED9" w:rsidRPr="00550ED9" w:rsidRDefault="00602C29" w:rsidP="00550ED9">
      <w:pPr>
        <w:rPr>
          <w:rFonts w:ascii="Calibri" w:eastAsia="Times New Roman" w:hAnsi="Calibri" w:cs="Calibri"/>
          <w:color w:val="000000"/>
          <w:sz w:val="24"/>
          <w:szCs w:val="24"/>
          <w:lang w:eastAsia="en-AU"/>
        </w:rPr>
      </w:pPr>
      <w:r w:rsidRPr="00602C29">
        <w:rPr>
          <w:rFonts w:cs="Segoe UI Light"/>
          <w:sz w:val="17"/>
          <w:szCs w:val="17"/>
        </w:rPr>
        <w:t xml:space="preserve">Published September 2020. Available from the </w:t>
      </w:r>
      <w:r w:rsidR="000E009F">
        <w:rPr>
          <w:rFonts w:cs="Segoe UI Light"/>
          <w:sz w:val="17"/>
          <w:szCs w:val="17"/>
        </w:rPr>
        <w:t>Victorian Government’s Department of Health and Human Services</w:t>
      </w:r>
      <w:r w:rsidR="00550ED9">
        <w:rPr>
          <w:rFonts w:cs="Segoe UI Light"/>
          <w:sz w:val="17"/>
          <w:szCs w:val="17"/>
        </w:rPr>
        <w:t xml:space="preserve"> </w:t>
      </w:r>
      <w:r w:rsidRPr="00602C29">
        <w:rPr>
          <w:rFonts w:cs="Segoe UI Light"/>
          <w:sz w:val="17"/>
          <w:szCs w:val="17"/>
        </w:rPr>
        <w:t>website</w:t>
      </w:r>
      <w:r w:rsidR="00976C52">
        <w:rPr>
          <w:rFonts w:cs="Segoe UI Light"/>
          <w:sz w:val="17"/>
          <w:szCs w:val="17"/>
        </w:rPr>
        <w:t>:</w:t>
      </w:r>
      <w:r w:rsidRPr="00602C29">
        <w:rPr>
          <w:rFonts w:cs="Segoe UI Light"/>
          <w:sz w:val="17"/>
          <w:szCs w:val="17"/>
        </w:rPr>
        <w:t xml:space="preserve"> </w:t>
      </w:r>
      <w:r w:rsidR="00550ED9" w:rsidRPr="00976C52">
        <w:rPr>
          <w:rFonts w:cs="Segoe UI Light"/>
          <w:sz w:val="17"/>
          <w:szCs w:val="17"/>
        </w:rPr>
        <w:t>www2.health.vic.gov.au/public-health/infectious-diseases/public-health-wellbeing-act-regulations/proposed-public-health-and-wellbeing-prescribed-accommodation-regulations-2020 </w:t>
      </w:r>
    </w:p>
    <w:p w14:paraId="47B4CE19" w14:textId="7E535F55" w:rsidR="00AD0E46" w:rsidRDefault="00AD0E46" w:rsidP="00AD0E46">
      <w:pPr>
        <w:rPr>
          <w:rFonts w:asciiTheme="majorHAnsi" w:hAnsiTheme="majorHAnsi"/>
          <w:sz w:val="17"/>
          <w:szCs w:val="17"/>
        </w:rPr>
      </w:pPr>
    </w:p>
    <w:p w14:paraId="2A9221FE" w14:textId="2A6F88F6" w:rsidR="00AD0E46" w:rsidRPr="00867992" w:rsidRDefault="00AD0E46" w:rsidP="00867992">
      <w:pPr>
        <w:rPr>
          <w:rFonts w:asciiTheme="majorHAnsi" w:hAnsiTheme="majorHAnsi"/>
          <w:sz w:val="17"/>
          <w:szCs w:val="17"/>
        </w:rPr>
        <w:sectPr w:rsidR="00AD0E46" w:rsidRPr="00867992" w:rsidSect="00773D94">
          <w:headerReference w:type="even" r:id="rId22"/>
          <w:headerReference w:type="default" r:id="rId23"/>
          <w:footerReference w:type="default" r:id="rId24"/>
          <w:headerReference w:type="first" r:id="rId25"/>
          <w:pgSz w:w="11906" w:h="16838" w:code="9"/>
          <w:pgMar w:top="1440" w:right="1440" w:bottom="1440" w:left="1440" w:header="680" w:footer="425" w:gutter="0"/>
          <w:pgNumType w:fmt="lowerRoman" w:start="1"/>
          <w:cols w:space="284"/>
          <w:docGrid w:linePitch="360"/>
        </w:sectPr>
      </w:pPr>
    </w:p>
    <w:p w14:paraId="2A9221FF" w14:textId="64D55AE8" w:rsidR="00F9113D" w:rsidRDefault="00F9113D" w:rsidP="00876F66">
      <w:pPr>
        <w:pStyle w:val="Heading1un-numbered"/>
      </w:pPr>
      <w:bookmarkStart w:id="18" w:name="_Toc215906318"/>
      <w:bookmarkStart w:id="19" w:name="_Toc227746675"/>
      <w:bookmarkStart w:id="20" w:name="_Toc227746679"/>
      <w:bookmarkStart w:id="21" w:name="_Toc227746683"/>
      <w:bookmarkStart w:id="22" w:name="_Toc227746687"/>
      <w:bookmarkStart w:id="23" w:name="_Toc227748309"/>
      <w:bookmarkStart w:id="24" w:name="_Toc227748327"/>
      <w:bookmarkStart w:id="25" w:name="_Toc227748331"/>
      <w:bookmarkStart w:id="26" w:name="_Toc227748335"/>
      <w:bookmarkStart w:id="27" w:name="_Toc227748374"/>
      <w:bookmarkStart w:id="28" w:name="_Toc227748378"/>
      <w:bookmarkStart w:id="29" w:name="_Toc227748382"/>
      <w:bookmarkStart w:id="30" w:name="_Toc227748494"/>
      <w:bookmarkStart w:id="31" w:name="_Toc227748498"/>
      <w:bookmarkStart w:id="32" w:name="_Toc228005205"/>
      <w:bookmarkStart w:id="33" w:name="_Toc228092496"/>
      <w:bookmarkStart w:id="34" w:name="_Toc228264951"/>
      <w:bookmarkStart w:id="35" w:name="_Toc228264973"/>
      <w:bookmarkStart w:id="36" w:name="_Toc228264977"/>
      <w:bookmarkStart w:id="37" w:name="_Toc228264981"/>
      <w:bookmarkStart w:id="38" w:name="_Toc228264985"/>
      <w:bookmarkStart w:id="39" w:name="_Toc228265215"/>
      <w:bookmarkStart w:id="40" w:name="_Toc288198024"/>
      <w:bookmarkStart w:id="41" w:name="_Toc448829185"/>
      <w:bookmarkStart w:id="42" w:name="_Toc456353381"/>
      <w:bookmarkStart w:id="43" w:name="_Toc462313128"/>
      <w:bookmarkStart w:id="44" w:name="_Toc462317837"/>
      <w:bookmarkStart w:id="45" w:name="_Toc462397802"/>
      <w:bookmarkStart w:id="46" w:name="_Toc463002429"/>
      <w:bookmarkStart w:id="47" w:name="_Toc472586341"/>
      <w:bookmarkStart w:id="48" w:name="_Toc482168119"/>
      <w:bookmarkStart w:id="49" w:name="_Toc482174906"/>
      <w:bookmarkStart w:id="50" w:name="_Toc9366978"/>
      <w:bookmarkStart w:id="51" w:name="_Toc10111295"/>
      <w:bookmarkStart w:id="52" w:name="_Toc17892114"/>
      <w:bookmarkStart w:id="53" w:name="_Toc49460272"/>
      <w:r w:rsidRPr="00806743">
        <w:lastRenderedPageBreak/>
        <w:t>Executive summary</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74D90A12" w14:textId="113EAA3B" w:rsidR="00B776D1" w:rsidRPr="007105E4" w:rsidRDefault="00B776D1" w:rsidP="0005534F">
      <w:pPr>
        <w:rPr>
          <w:sz w:val="28"/>
          <w:szCs w:val="28"/>
        </w:rPr>
      </w:pPr>
      <w:r>
        <w:rPr>
          <w:sz w:val="28"/>
          <w:szCs w:val="28"/>
        </w:rPr>
        <w:t xml:space="preserve">The Victorian Government has committed to reinstating the sunsetting </w:t>
      </w:r>
      <w:r w:rsidRPr="00C7580F">
        <w:rPr>
          <w:sz w:val="28"/>
          <w:szCs w:val="28"/>
        </w:rPr>
        <w:t xml:space="preserve">Public Health and Wellbeing (Prescribed Accommodation) Regulations </w:t>
      </w:r>
      <w:r>
        <w:rPr>
          <w:sz w:val="28"/>
          <w:szCs w:val="28"/>
        </w:rPr>
        <w:t>that protect Victorians from public health risks associated with hygiene and cleanliness</w:t>
      </w:r>
      <w:r w:rsidR="00615C41">
        <w:rPr>
          <w:sz w:val="28"/>
          <w:szCs w:val="28"/>
        </w:rPr>
        <w:t xml:space="preserve"> in </w:t>
      </w:r>
      <w:r w:rsidR="003C2270">
        <w:rPr>
          <w:sz w:val="28"/>
          <w:szCs w:val="28"/>
        </w:rPr>
        <w:t>certain types of accommodation</w:t>
      </w:r>
      <w:r>
        <w:rPr>
          <w:sz w:val="28"/>
          <w:szCs w:val="28"/>
        </w:rPr>
        <w:t>.</w:t>
      </w:r>
    </w:p>
    <w:p w14:paraId="45644FF2" w14:textId="77777777" w:rsidR="00B776D1" w:rsidRDefault="00B776D1" w:rsidP="00B776D1">
      <w:pPr>
        <w:pStyle w:val="Heading2un-numbered"/>
        <w:numPr>
          <w:ilvl w:val="0"/>
          <w:numId w:val="0"/>
        </w:numPr>
      </w:pPr>
      <w:bookmarkStart w:id="54" w:name="_Toc49460273"/>
      <w:r>
        <w:t>The standard of prescribed accommodation and facilities affects public health</w:t>
      </w:r>
      <w:bookmarkEnd w:id="54"/>
    </w:p>
    <w:p w14:paraId="3F4ABE79" w14:textId="5F193054" w:rsidR="00F54B80" w:rsidRDefault="00F54B80" w:rsidP="00F54B80">
      <w:r>
        <w:t xml:space="preserve">The </w:t>
      </w:r>
      <w:r w:rsidR="00A45A29">
        <w:t xml:space="preserve">Public Health and Wellbeing </w:t>
      </w:r>
      <w:r w:rsidR="00B90942">
        <w:t>(</w:t>
      </w:r>
      <w:r w:rsidR="00922E15">
        <w:t>P</w:t>
      </w:r>
      <w:r w:rsidR="00B90942">
        <w:t>rescribed Accommodation)</w:t>
      </w:r>
      <w:r w:rsidR="00A45A29">
        <w:t xml:space="preserve"> </w:t>
      </w:r>
      <w:r>
        <w:t xml:space="preserve">Regulations </w:t>
      </w:r>
      <w:r w:rsidR="00C70552">
        <w:t xml:space="preserve">2009 </w:t>
      </w:r>
      <w:r w:rsidR="00A45A29">
        <w:t>(the Regulations)</w:t>
      </w:r>
      <w:r>
        <w:t xml:space="preserve"> </w:t>
      </w:r>
      <w:r w:rsidR="000E2078">
        <w:t xml:space="preserve">define </w:t>
      </w:r>
      <w:r>
        <w:t xml:space="preserve">the following classes of accommodation to be prescribed accommodation for the purposes of the </w:t>
      </w:r>
      <w:r w:rsidRPr="007E437D">
        <w:rPr>
          <w:i/>
          <w:iCs/>
        </w:rPr>
        <w:t>Public Health and Wellbeing Act 2008</w:t>
      </w:r>
      <w:r>
        <w:t xml:space="preserve"> (PHWA):</w:t>
      </w:r>
    </w:p>
    <w:p w14:paraId="3179F4D6" w14:textId="77777777" w:rsidR="00F54B80" w:rsidRPr="00012314" w:rsidRDefault="00F54B80" w:rsidP="00F54B80">
      <w:pPr>
        <w:pStyle w:val="ListBullet"/>
      </w:pPr>
      <w:r w:rsidRPr="00012314">
        <w:t>Hotels and motels</w:t>
      </w:r>
    </w:p>
    <w:p w14:paraId="2EB27728" w14:textId="77777777" w:rsidR="00F54B80" w:rsidRPr="00012314" w:rsidRDefault="00F54B80" w:rsidP="00F54B80">
      <w:pPr>
        <w:pStyle w:val="ListBullet"/>
      </w:pPr>
      <w:r w:rsidRPr="00012314">
        <w:t>Hostels</w:t>
      </w:r>
    </w:p>
    <w:p w14:paraId="0F9202F7" w14:textId="77777777" w:rsidR="00F54B80" w:rsidRPr="00012314" w:rsidRDefault="00F54B80" w:rsidP="00F54B80">
      <w:pPr>
        <w:pStyle w:val="ListBullet"/>
      </w:pPr>
      <w:r w:rsidRPr="00012314">
        <w:t>Student dormitories</w:t>
      </w:r>
    </w:p>
    <w:p w14:paraId="6F887181" w14:textId="77777777" w:rsidR="00F54B80" w:rsidRPr="00012314" w:rsidRDefault="00F54B80" w:rsidP="00F54B80">
      <w:pPr>
        <w:pStyle w:val="ListBullet"/>
      </w:pPr>
      <w:r w:rsidRPr="00012314">
        <w:t>Holiday camps</w:t>
      </w:r>
    </w:p>
    <w:p w14:paraId="60774F68" w14:textId="77777777" w:rsidR="00F54B80" w:rsidRPr="00012314" w:rsidRDefault="00F54B80" w:rsidP="00F54B80">
      <w:pPr>
        <w:pStyle w:val="ListBullet"/>
      </w:pPr>
      <w:r w:rsidRPr="00012314">
        <w:t>Rooming houses</w:t>
      </w:r>
    </w:p>
    <w:p w14:paraId="5C2E3833" w14:textId="72C4BB3B" w:rsidR="00F54B80" w:rsidRDefault="00F54B80" w:rsidP="00F54B80">
      <w:pPr>
        <w:pStyle w:val="ListBullet"/>
      </w:pPr>
      <w:r>
        <w:t>R</w:t>
      </w:r>
      <w:r w:rsidRPr="00012314">
        <w:t>esidential</w:t>
      </w:r>
      <w:r>
        <w:t xml:space="preserve"> accommodation (certain forms). </w:t>
      </w:r>
    </w:p>
    <w:p w14:paraId="345BD70C" w14:textId="5388052F" w:rsidR="00B776D1" w:rsidRDefault="00B776D1" w:rsidP="00B776D1">
      <w:r>
        <w:t>The number of persons living in prescribed accommodation has increased significantly over recent years – t</w:t>
      </w:r>
      <w:r w:rsidRPr="00DA753A">
        <w:t>he</w:t>
      </w:r>
      <w:r>
        <w:t xml:space="preserve"> </w:t>
      </w:r>
      <w:r w:rsidRPr="00DA753A">
        <w:t xml:space="preserve">number of rooming houses is growing, </w:t>
      </w:r>
      <w:r w:rsidR="003F602F">
        <w:t xml:space="preserve">and before the </w:t>
      </w:r>
      <w:r w:rsidR="002F2173">
        <w:t xml:space="preserve">COVID-19 </w:t>
      </w:r>
      <w:r w:rsidR="003F602F">
        <w:t>health emergency, Victoria experienced</w:t>
      </w:r>
      <w:r w:rsidRPr="00DA753A">
        <w:t xml:space="preserve"> increased tourism resulting in more visitor stays in hotels and motels, and growth in the number of overseas students </w:t>
      </w:r>
      <w:r w:rsidR="003C53AE">
        <w:t>which</w:t>
      </w:r>
      <w:r w:rsidR="005D47A6">
        <w:t xml:space="preserve"> </w:t>
      </w:r>
      <w:r w:rsidRPr="00DA753A">
        <w:t>also increas</w:t>
      </w:r>
      <w:r w:rsidR="003C53AE">
        <w:t>ed</w:t>
      </w:r>
      <w:r w:rsidRPr="00DA753A">
        <w:t xml:space="preserve"> occupan</w:t>
      </w:r>
      <w:r w:rsidR="003C53AE">
        <w:t>cy</w:t>
      </w:r>
      <w:r w:rsidRPr="00DA753A">
        <w:t xml:space="preserve"> in student dormitories.</w:t>
      </w:r>
      <w:r>
        <w:t xml:space="preserve"> </w:t>
      </w:r>
      <w:r w:rsidR="00A155C9">
        <w:t>T</w:t>
      </w:r>
      <w:r>
        <w:t xml:space="preserve">he number of Victorians requiring short- and long-term accommodation in rooming houses </w:t>
      </w:r>
      <w:r w:rsidR="00A155C9">
        <w:t>may</w:t>
      </w:r>
      <w:r>
        <w:t xml:space="preserve"> increase further as a result of the local economic impacts of the </w:t>
      </w:r>
      <w:r w:rsidR="00E479AD">
        <w:t>COVID-19 health emergency</w:t>
      </w:r>
      <w:r>
        <w:t>.</w:t>
      </w:r>
    </w:p>
    <w:p w14:paraId="0DAE0E43" w14:textId="121DC15D" w:rsidR="00B776D1" w:rsidRDefault="001C22BB" w:rsidP="00B776D1">
      <w:r>
        <w:t>The</w:t>
      </w:r>
      <w:r w:rsidR="00B776D1">
        <w:t xml:space="preserve"> Regulations respond to acknowledged environmental risks posed to human health in prescribed accommodation settings, and the reduced capacity of individuals in such settings to control factors which might impact their health. It establishes regulatory standards that aim to eliminate health hazards related to space, water, hygiene, pests, and refuse. </w:t>
      </w:r>
    </w:p>
    <w:p w14:paraId="6965E7D2" w14:textId="1A49DDAD" w:rsidR="00B776D1" w:rsidRPr="007C59F7" w:rsidRDefault="00B776D1" w:rsidP="00B776D1">
      <w:r>
        <w:t xml:space="preserve">The Regulations were </w:t>
      </w:r>
      <w:r w:rsidR="00003AFA">
        <w:t>due</w:t>
      </w:r>
      <w:r>
        <w:t xml:space="preserve"> to sunset on December 2019 but were extended for a further 12 months until 14 December 2020. </w:t>
      </w:r>
    </w:p>
    <w:p w14:paraId="057B4812" w14:textId="1EC9F77D" w:rsidR="00B776D1" w:rsidRDefault="00B776D1" w:rsidP="00B776D1">
      <w:pPr>
        <w:pStyle w:val="Heading2un-numbered"/>
        <w:numPr>
          <w:ilvl w:val="0"/>
          <w:numId w:val="0"/>
        </w:numPr>
      </w:pPr>
      <w:bookmarkStart w:id="55" w:name="_Toc49460274"/>
      <w:r>
        <w:t>Th</w:t>
      </w:r>
      <w:r w:rsidR="00C75E12">
        <w:t>is</w:t>
      </w:r>
      <w:r>
        <w:t xml:space="preserve"> </w:t>
      </w:r>
      <w:r w:rsidR="00003AFA">
        <w:t xml:space="preserve">Regulatory </w:t>
      </w:r>
      <w:r w:rsidR="00F6068D">
        <w:t>Impact Assessment (</w:t>
      </w:r>
      <w:r>
        <w:t>RIS</w:t>
      </w:r>
      <w:r w:rsidR="00F6068D">
        <w:t>)</w:t>
      </w:r>
      <w:r>
        <w:t xml:space="preserve"> considers three options for the Regulations</w:t>
      </w:r>
      <w:bookmarkEnd w:id="55"/>
      <w:r>
        <w:t xml:space="preserve"> </w:t>
      </w:r>
    </w:p>
    <w:p w14:paraId="658899C7" w14:textId="4948932A" w:rsidR="00B776D1" w:rsidRPr="00C07963" w:rsidRDefault="00B776D1" w:rsidP="00B776D1">
      <w:pPr>
        <w:spacing w:after="120"/>
        <w:rPr>
          <w:rFonts w:asciiTheme="minorHAnsi" w:hAnsiTheme="minorHAnsi" w:cs="Segoe UI Light"/>
        </w:rPr>
      </w:pPr>
      <w:r>
        <w:t>T</w:t>
      </w:r>
      <w:r w:rsidRPr="007629D1">
        <w:t>here is broad consensus across stakeholders consulted that</w:t>
      </w:r>
      <w:r>
        <w:t xml:space="preserve"> </w:t>
      </w:r>
      <w:r w:rsidRPr="007629D1">
        <w:t>the</w:t>
      </w:r>
      <w:r w:rsidR="00A16440" w:rsidRPr="00A16440">
        <w:t xml:space="preserve"> </w:t>
      </w:r>
      <w:r w:rsidR="00A16440">
        <w:t>regulation of certain forms of shared accommodation is required and that the Regulations have an important role to play in managing public health risk</w:t>
      </w:r>
      <w:r w:rsidRPr="007629D1">
        <w:t xml:space="preserve">. </w:t>
      </w:r>
      <w:r>
        <w:rPr>
          <w:rFonts w:asciiTheme="minorHAnsi" w:hAnsiTheme="minorHAnsi" w:cs="Segoe UI Light"/>
        </w:rPr>
        <w:t xml:space="preserve"> </w:t>
      </w:r>
    </w:p>
    <w:p w14:paraId="44804CD2" w14:textId="004292EB" w:rsidR="00B776D1" w:rsidRPr="00E64C4D" w:rsidRDefault="00B776D1" w:rsidP="00B776D1">
      <w:pPr>
        <w:pStyle w:val="ListBullet2"/>
        <w:numPr>
          <w:ilvl w:val="0"/>
          <w:numId w:val="0"/>
        </w:numPr>
        <w:rPr>
          <w:szCs w:val="18"/>
        </w:rPr>
      </w:pPr>
      <w:r w:rsidRPr="00E64C4D">
        <w:rPr>
          <w:szCs w:val="18"/>
        </w:rPr>
        <w:t xml:space="preserve">The options considered </w:t>
      </w:r>
      <w:r w:rsidR="008A16A8">
        <w:rPr>
          <w:szCs w:val="18"/>
        </w:rPr>
        <w:t xml:space="preserve">in this RIS </w:t>
      </w:r>
      <w:r>
        <w:rPr>
          <w:szCs w:val="18"/>
        </w:rPr>
        <w:t>are</w:t>
      </w:r>
      <w:r w:rsidRPr="00E64C4D">
        <w:rPr>
          <w:szCs w:val="18"/>
        </w:rPr>
        <w:t>:</w:t>
      </w:r>
    </w:p>
    <w:p w14:paraId="090FF2DA" w14:textId="67C62155" w:rsidR="00B776D1" w:rsidRPr="00CA6E3B" w:rsidRDefault="00B776D1" w:rsidP="00B776D1">
      <w:pPr>
        <w:pStyle w:val="ListBullet"/>
        <w:numPr>
          <w:ilvl w:val="0"/>
          <w:numId w:val="12"/>
        </w:numPr>
        <w:rPr>
          <w:bCs/>
          <w:szCs w:val="18"/>
        </w:rPr>
      </w:pPr>
      <w:r w:rsidRPr="00A61E12">
        <w:rPr>
          <w:b/>
        </w:rPr>
        <w:t>Base Case</w:t>
      </w:r>
      <w:r w:rsidRPr="00CA6E3B">
        <w:t xml:space="preserve">: </w:t>
      </w:r>
      <w:r w:rsidRPr="00FF1A06">
        <w:t xml:space="preserve">the case that would exist in the absence of regulations i.e. if the Regulations were allowed to lapse at the end of 2020. The Base Case would mean that there is no detailed prescription of what accommodation places are subject to the registration provisions of the </w:t>
      </w:r>
      <w:r w:rsidRPr="00CA6E3B">
        <w:rPr>
          <w:bCs/>
          <w:szCs w:val="18"/>
        </w:rPr>
        <w:t>PHWA</w:t>
      </w:r>
      <w:r w:rsidRPr="00FF1A06">
        <w:t xml:space="preserve">, and no hygiene and maintenance standards would be prescribed. </w:t>
      </w:r>
      <w:r w:rsidRPr="00CA6E3B">
        <w:rPr>
          <w:bCs/>
          <w:szCs w:val="18"/>
        </w:rPr>
        <w:t>It is important to note that the Base Case is a counter-factual scenario used to provide a common point of comparison for all options</w:t>
      </w:r>
      <w:r w:rsidR="005A6BA6">
        <w:rPr>
          <w:bCs/>
          <w:szCs w:val="18"/>
        </w:rPr>
        <w:t xml:space="preserve"> and is not being contemplated by Government as a viable option</w:t>
      </w:r>
      <w:r w:rsidRPr="00CA6E3B">
        <w:rPr>
          <w:bCs/>
          <w:szCs w:val="18"/>
        </w:rPr>
        <w:t>.</w:t>
      </w:r>
    </w:p>
    <w:p w14:paraId="43E45183" w14:textId="5F117AE6" w:rsidR="00B776D1" w:rsidRPr="00772F82" w:rsidRDefault="00B776D1" w:rsidP="00B776D1">
      <w:pPr>
        <w:pStyle w:val="ListBullet"/>
        <w:numPr>
          <w:ilvl w:val="0"/>
          <w:numId w:val="12"/>
        </w:numPr>
        <w:rPr>
          <w:rFonts w:asciiTheme="minorHAnsi" w:hAnsiTheme="minorHAnsi" w:cs="Segoe UI Light"/>
          <w:szCs w:val="18"/>
        </w:rPr>
      </w:pPr>
      <w:r w:rsidRPr="00E64C4D">
        <w:rPr>
          <w:b/>
          <w:szCs w:val="18"/>
        </w:rPr>
        <w:t>Option</w:t>
      </w:r>
      <w:r>
        <w:rPr>
          <w:b/>
          <w:szCs w:val="18"/>
        </w:rPr>
        <w:t xml:space="preserve"> </w:t>
      </w:r>
      <w:r w:rsidRPr="00E64C4D">
        <w:rPr>
          <w:b/>
          <w:szCs w:val="18"/>
        </w:rPr>
        <w:t xml:space="preserve">1: Current Regulations: </w:t>
      </w:r>
      <w:r w:rsidRPr="00E64C4D">
        <w:rPr>
          <w:szCs w:val="18"/>
        </w:rPr>
        <w:t xml:space="preserve">the current Regulations would be re-made in their current form (see summary of current Regulations in Appendix A.) </w:t>
      </w:r>
    </w:p>
    <w:p w14:paraId="2917F0E6" w14:textId="6B70B642" w:rsidR="00B776D1" w:rsidRPr="00E64C4D" w:rsidRDefault="00B776D1" w:rsidP="00B776D1">
      <w:pPr>
        <w:pStyle w:val="ListBullet"/>
        <w:numPr>
          <w:ilvl w:val="0"/>
          <w:numId w:val="12"/>
        </w:numPr>
        <w:rPr>
          <w:szCs w:val="18"/>
        </w:rPr>
      </w:pPr>
      <w:r w:rsidRPr="00E64C4D">
        <w:rPr>
          <w:b/>
          <w:szCs w:val="18"/>
        </w:rPr>
        <w:t xml:space="preserve">Option 2: Current Regulations with minor improvements: </w:t>
      </w:r>
      <w:r w:rsidRPr="00E64C4D">
        <w:rPr>
          <w:szCs w:val="18"/>
        </w:rPr>
        <w:t xml:space="preserve">the current Regulations </w:t>
      </w:r>
      <w:r>
        <w:rPr>
          <w:szCs w:val="18"/>
        </w:rPr>
        <w:t>would be</w:t>
      </w:r>
      <w:r w:rsidRPr="00E64C4D">
        <w:rPr>
          <w:szCs w:val="18"/>
        </w:rPr>
        <w:t xml:space="preserve"> remade with minor improvements including changes to definitions to align with other regulatory frameworks and technical updates. This will include, for example, amendment of the prescribed accommodation definition of ‘rooming house’ to pick up the definition in the </w:t>
      </w:r>
      <w:r w:rsidRPr="00E64C4D">
        <w:rPr>
          <w:i/>
          <w:szCs w:val="18"/>
        </w:rPr>
        <w:lastRenderedPageBreak/>
        <w:t>Residential Tenancies Act 1997</w:t>
      </w:r>
      <w:r w:rsidRPr="00E64C4D">
        <w:rPr>
          <w:szCs w:val="18"/>
        </w:rPr>
        <w:t xml:space="preserve"> </w:t>
      </w:r>
      <w:r w:rsidR="0000524C">
        <w:rPr>
          <w:szCs w:val="18"/>
        </w:rPr>
        <w:t xml:space="preserve">(RTA) </w:t>
      </w:r>
      <w:r w:rsidRPr="00E64C4D">
        <w:rPr>
          <w:szCs w:val="18"/>
        </w:rPr>
        <w:t>as the lead definition and to provide for consistency with the new Residential Tenancies provisions. This option aims to achieve improved clarity and consistency with other regulatory frameworks. It does not impose material changes in regulatory requirements.</w:t>
      </w:r>
    </w:p>
    <w:p w14:paraId="110B781A" w14:textId="77777777" w:rsidR="00050388" w:rsidRDefault="00050388" w:rsidP="00D20B45">
      <w:pPr>
        <w:pStyle w:val="ListBullet"/>
        <w:numPr>
          <w:ilvl w:val="0"/>
          <w:numId w:val="0"/>
        </w:numPr>
        <w:spacing w:after="0"/>
        <w:ind w:left="360" w:hanging="360"/>
        <w:rPr>
          <w:szCs w:val="18"/>
        </w:rPr>
      </w:pPr>
    </w:p>
    <w:p w14:paraId="5FC1E74B" w14:textId="3CA4C290" w:rsidR="0063236B" w:rsidRDefault="00050388" w:rsidP="006C6FAE">
      <w:pPr>
        <w:rPr>
          <w:color w:val="000000" w:themeColor="text1"/>
        </w:rPr>
      </w:pPr>
      <w:r>
        <w:t xml:space="preserve">More significant changes to the Regulations are not proposed at this time because </w:t>
      </w:r>
      <w:r w:rsidR="006C6FAE">
        <w:rPr>
          <w:color w:val="000000" w:themeColor="text1"/>
        </w:rPr>
        <w:t>a</w:t>
      </w:r>
      <w:r w:rsidR="0063236B">
        <w:rPr>
          <w:color w:val="000000" w:themeColor="text1"/>
        </w:rPr>
        <w:t xml:space="preserve"> number of cross-portfolio reviews are being undertaken or will be commenced by other Victorian Government departments and agencies, on matters related to prescribed accommodation and the Regulations. </w:t>
      </w:r>
    </w:p>
    <w:p w14:paraId="2CD302B0" w14:textId="39A0AA4B" w:rsidR="0063236B" w:rsidRPr="000A17B2" w:rsidRDefault="0063236B" w:rsidP="0063236B">
      <w:pPr>
        <w:rPr>
          <w:color w:val="000000" w:themeColor="text1"/>
        </w:rPr>
      </w:pPr>
      <w:r>
        <w:rPr>
          <w:color w:val="000000" w:themeColor="text1"/>
        </w:rPr>
        <w:t>These reviews will not be completed before the release of this RIS. However, DHHS will consider the findings of all reviews in the context of the regulatory objectives of the PHWA and determine whether any changes to the Regulations should be made once reviews have been completed.</w:t>
      </w:r>
    </w:p>
    <w:p w14:paraId="16816706" w14:textId="3BAE3338" w:rsidR="00B776D1" w:rsidRDefault="00985E0E" w:rsidP="00B776D1">
      <w:pPr>
        <w:pStyle w:val="Heading2un-numbered"/>
        <w:numPr>
          <w:ilvl w:val="0"/>
          <w:numId w:val="0"/>
        </w:numPr>
      </w:pPr>
      <w:bookmarkStart w:id="56" w:name="_Toc49460275"/>
      <w:r>
        <w:t xml:space="preserve">A Multi-Criteria Analysis </w:t>
      </w:r>
      <w:r w:rsidR="007B7A5C">
        <w:t xml:space="preserve">assessed the </w:t>
      </w:r>
      <w:r w:rsidR="00BA4052">
        <w:t>costs and benefits of the options</w:t>
      </w:r>
      <w:bookmarkEnd w:id="56"/>
    </w:p>
    <w:p w14:paraId="254C6896" w14:textId="453C9BA6" w:rsidR="006948F4" w:rsidRDefault="00E14F91" w:rsidP="00E14F91">
      <w:r>
        <w:t xml:space="preserve">The options in this RIS </w:t>
      </w:r>
      <w:r w:rsidR="0060479B">
        <w:t>were</w:t>
      </w:r>
      <w:r>
        <w:t xml:space="preserve"> assessed using Multi-Criteria Analysis (MCA) </w:t>
      </w:r>
      <w:r w:rsidR="00A87664">
        <w:t xml:space="preserve">(see Table i, below) </w:t>
      </w:r>
      <w:r>
        <w:t>supported by quantitative information where available. This approach provide</w:t>
      </w:r>
      <w:r w:rsidR="009B0631">
        <w:t>s</w:t>
      </w:r>
      <w:r>
        <w:t xml:space="preserve"> a </w:t>
      </w:r>
      <w:r w:rsidR="00F56AC3">
        <w:t xml:space="preserve">structured and </w:t>
      </w:r>
      <w:r w:rsidR="009B0631">
        <w:t>transparent</w:t>
      </w:r>
      <w:r>
        <w:t xml:space="preserve"> way of evaluating the options given the limited quantitative data that is available, particularly in respect to benefits. The MCA provides a structured and transparent approach that can balance the different impacts.</w:t>
      </w:r>
    </w:p>
    <w:p w14:paraId="4CCA8590" w14:textId="3E6CCF5B" w:rsidR="000C6B67" w:rsidRPr="006948F4" w:rsidRDefault="000C6B67" w:rsidP="000C6B67">
      <w:pPr>
        <w:pStyle w:val="Caption"/>
      </w:pPr>
      <w:r>
        <w:t xml:space="preserve">Table </w:t>
      </w:r>
      <w:r w:rsidR="00295747">
        <w:t xml:space="preserve">i MCA </w:t>
      </w:r>
      <w:r w:rsidR="00D06943">
        <w:t>criteria and weightings</w:t>
      </w:r>
    </w:p>
    <w:tbl>
      <w:tblPr>
        <w:tblStyle w:val="Deloittetable"/>
        <w:tblW w:w="5000" w:type="pct"/>
        <w:tblLayout w:type="fixed"/>
        <w:tblLook w:val="04A0" w:firstRow="1" w:lastRow="0" w:firstColumn="1" w:lastColumn="0" w:noHBand="0" w:noVBand="1"/>
      </w:tblPr>
      <w:tblGrid>
        <w:gridCol w:w="2948"/>
        <w:gridCol w:w="4708"/>
        <w:gridCol w:w="1370"/>
      </w:tblGrid>
      <w:tr w:rsidR="006948F4" w:rsidRPr="003D5D1B" w14:paraId="29CE264B" w14:textId="77777777" w:rsidTr="00404C40">
        <w:trPr>
          <w:cnfStyle w:val="100000000000" w:firstRow="1" w:lastRow="0" w:firstColumn="0" w:lastColumn="0" w:oddVBand="0" w:evenVBand="0" w:oddHBand="0" w:evenHBand="0" w:firstRowFirstColumn="0" w:firstRowLastColumn="0" w:lastRowFirstColumn="0" w:lastRowLastColumn="0"/>
          <w:trHeight w:val="252"/>
        </w:trPr>
        <w:tc>
          <w:tcPr>
            <w:tcW w:w="1633" w:type="pct"/>
            <w:hideMark/>
          </w:tcPr>
          <w:p w14:paraId="1648B035" w14:textId="77777777" w:rsidR="006948F4" w:rsidRPr="003D5D1B" w:rsidRDefault="006948F4" w:rsidP="00A87664">
            <w:pPr>
              <w:spacing w:after="0"/>
              <w:rPr>
                <w:rFonts w:ascii="Georgia" w:hAnsi="Georgia"/>
                <w:b/>
                <w:sz w:val="18"/>
              </w:rPr>
            </w:pPr>
            <w:r w:rsidRPr="003D5D1B">
              <w:rPr>
                <w:b/>
              </w:rPr>
              <w:t>Criteria</w:t>
            </w:r>
          </w:p>
        </w:tc>
        <w:tc>
          <w:tcPr>
            <w:tcW w:w="2608" w:type="pct"/>
            <w:hideMark/>
          </w:tcPr>
          <w:p w14:paraId="7D9CA2D0" w14:textId="77777777" w:rsidR="006948F4" w:rsidRPr="003D5D1B" w:rsidRDefault="006948F4" w:rsidP="00A87664">
            <w:pPr>
              <w:spacing w:after="0"/>
              <w:rPr>
                <w:rFonts w:ascii="Calibri" w:hAnsi="Calibri"/>
                <w:b/>
                <w:sz w:val="18"/>
              </w:rPr>
            </w:pPr>
            <w:r w:rsidRPr="003D5D1B">
              <w:rPr>
                <w:b/>
              </w:rPr>
              <w:t>Description</w:t>
            </w:r>
          </w:p>
        </w:tc>
        <w:tc>
          <w:tcPr>
            <w:tcW w:w="759" w:type="pct"/>
            <w:hideMark/>
          </w:tcPr>
          <w:p w14:paraId="7D1F034A" w14:textId="77777777" w:rsidR="006948F4" w:rsidRPr="003D5D1B" w:rsidRDefault="006948F4" w:rsidP="00A87664">
            <w:pPr>
              <w:spacing w:after="0"/>
              <w:jc w:val="center"/>
              <w:rPr>
                <w:b/>
                <w:sz w:val="18"/>
              </w:rPr>
            </w:pPr>
            <w:r w:rsidRPr="003D5D1B">
              <w:rPr>
                <w:b/>
              </w:rPr>
              <w:t>Weighting</w:t>
            </w:r>
          </w:p>
        </w:tc>
      </w:tr>
      <w:tr w:rsidR="006948F4" w:rsidRPr="003D5D1B" w14:paraId="65E79A7C" w14:textId="77777777" w:rsidTr="00404C40">
        <w:trPr>
          <w:trHeight w:val="294"/>
        </w:trPr>
        <w:tc>
          <w:tcPr>
            <w:tcW w:w="1633" w:type="pct"/>
            <w:vAlign w:val="center"/>
          </w:tcPr>
          <w:p w14:paraId="649FE130" w14:textId="74C35C66" w:rsidR="006948F4" w:rsidRPr="00A171B9" w:rsidRDefault="006948F4" w:rsidP="008477AB">
            <w:pPr>
              <w:spacing w:after="0"/>
            </w:pPr>
            <w:r w:rsidRPr="00A171B9">
              <w:t>Cost to businesses</w:t>
            </w:r>
            <w:r w:rsidR="004505FB" w:rsidRPr="00A171B9">
              <w:rPr>
                <w:rStyle w:val="FootnoteReference"/>
              </w:rPr>
              <w:footnoteReference w:id="2"/>
            </w:r>
          </w:p>
        </w:tc>
        <w:tc>
          <w:tcPr>
            <w:tcW w:w="2608" w:type="pct"/>
            <w:vAlign w:val="center"/>
          </w:tcPr>
          <w:p w14:paraId="648ED563" w14:textId="77777777" w:rsidR="006948F4" w:rsidRPr="00851982" w:rsidRDefault="006948F4" w:rsidP="00895204">
            <w:pPr>
              <w:spacing w:after="0" w:line="240" w:lineRule="auto"/>
            </w:pPr>
            <w:r w:rsidRPr="00851982">
              <w:t xml:space="preserve">Direct regulatory cost to proprietors of prescribed accommodation </w:t>
            </w:r>
          </w:p>
        </w:tc>
        <w:tc>
          <w:tcPr>
            <w:tcW w:w="759" w:type="pct"/>
          </w:tcPr>
          <w:p w14:paraId="569D26D5" w14:textId="694CA8EC" w:rsidR="006948F4" w:rsidRPr="00A171B9" w:rsidRDefault="00A171B9" w:rsidP="00A87664">
            <w:pPr>
              <w:spacing w:after="0"/>
              <w:jc w:val="center"/>
            </w:pPr>
            <w:r w:rsidRPr="00F0077F">
              <w:t>4</w:t>
            </w:r>
            <w:r w:rsidR="006948F4" w:rsidRPr="00915F60">
              <w:t>0%</w:t>
            </w:r>
          </w:p>
        </w:tc>
      </w:tr>
      <w:tr w:rsidR="006948F4" w:rsidRPr="003D5D1B" w14:paraId="55ADB804" w14:textId="77777777" w:rsidTr="00404C40">
        <w:trPr>
          <w:trHeight w:val="224"/>
        </w:trPr>
        <w:tc>
          <w:tcPr>
            <w:tcW w:w="1633" w:type="pct"/>
            <w:vAlign w:val="center"/>
          </w:tcPr>
          <w:p w14:paraId="71ED58BA" w14:textId="77777777" w:rsidR="002C3EE0" w:rsidRDefault="006948F4" w:rsidP="008477AB">
            <w:pPr>
              <w:spacing w:after="0"/>
            </w:pPr>
            <w:r w:rsidRPr="003D5D1B">
              <w:t xml:space="preserve">Supply of </w:t>
            </w:r>
          </w:p>
          <w:p w14:paraId="7D64F5F5" w14:textId="2894DCF5" w:rsidR="006948F4" w:rsidRPr="003D5D1B" w:rsidRDefault="006948F4" w:rsidP="008477AB">
            <w:pPr>
              <w:spacing w:after="0"/>
            </w:pPr>
            <w:r w:rsidRPr="003D5D1B">
              <w:t xml:space="preserve">accommodation </w:t>
            </w:r>
          </w:p>
        </w:tc>
        <w:tc>
          <w:tcPr>
            <w:tcW w:w="2608" w:type="pct"/>
            <w:vAlign w:val="center"/>
          </w:tcPr>
          <w:p w14:paraId="253CA5DA" w14:textId="77777777" w:rsidR="006948F4" w:rsidRPr="003D5D1B" w:rsidRDefault="006948F4" w:rsidP="00895204">
            <w:pPr>
              <w:spacing w:after="0" w:line="240" w:lineRule="auto"/>
            </w:pPr>
            <w:r w:rsidRPr="003D5D1B">
              <w:t>Impact on supply of prescribed accommodation</w:t>
            </w:r>
          </w:p>
        </w:tc>
        <w:tc>
          <w:tcPr>
            <w:tcW w:w="759" w:type="pct"/>
          </w:tcPr>
          <w:p w14:paraId="22B35AC3" w14:textId="77777777" w:rsidR="006948F4" w:rsidRPr="003D5D1B" w:rsidRDefault="006948F4" w:rsidP="00A87664">
            <w:pPr>
              <w:spacing w:after="0"/>
              <w:jc w:val="center"/>
            </w:pPr>
            <w:r w:rsidRPr="003D5D1B">
              <w:t>10%</w:t>
            </w:r>
          </w:p>
        </w:tc>
      </w:tr>
      <w:tr w:rsidR="003A06E2" w:rsidRPr="003D5D1B" w14:paraId="5A4310BB" w14:textId="77777777" w:rsidTr="00404C40">
        <w:trPr>
          <w:trHeight w:val="273"/>
        </w:trPr>
        <w:tc>
          <w:tcPr>
            <w:tcW w:w="1633" w:type="pct"/>
          </w:tcPr>
          <w:p w14:paraId="49DDFD61" w14:textId="77777777" w:rsidR="003A06E2" w:rsidRPr="003D5D1B" w:rsidRDefault="003A06E2" w:rsidP="00A87664">
            <w:pPr>
              <w:spacing w:after="0"/>
            </w:pPr>
            <w:r w:rsidRPr="003D5D1B">
              <w:rPr>
                <w:b/>
              </w:rPr>
              <w:t>Total costs weighting</w:t>
            </w:r>
          </w:p>
        </w:tc>
        <w:tc>
          <w:tcPr>
            <w:tcW w:w="2608" w:type="pct"/>
          </w:tcPr>
          <w:p w14:paraId="04794EBE" w14:textId="3D3F8BAB" w:rsidR="003A06E2" w:rsidRPr="003D5D1B" w:rsidRDefault="003A06E2" w:rsidP="00A87664">
            <w:pPr>
              <w:spacing w:after="0"/>
              <w:rPr>
                <w:sz w:val="18"/>
              </w:rPr>
            </w:pPr>
          </w:p>
        </w:tc>
        <w:tc>
          <w:tcPr>
            <w:tcW w:w="759" w:type="pct"/>
          </w:tcPr>
          <w:p w14:paraId="3CCE87F8" w14:textId="77777777" w:rsidR="003A06E2" w:rsidRPr="003D5D1B" w:rsidRDefault="003A06E2" w:rsidP="00A87664">
            <w:pPr>
              <w:spacing w:after="0"/>
              <w:jc w:val="center"/>
              <w:rPr>
                <w:sz w:val="18"/>
              </w:rPr>
            </w:pPr>
            <w:r w:rsidRPr="003D5D1B">
              <w:rPr>
                <w:b/>
              </w:rPr>
              <w:t>50%</w:t>
            </w:r>
          </w:p>
        </w:tc>
      </w:tr>
      <w:tr w:rsidR="006948F4" w:rsidRPr="003D5D1B" w14:paraId="2889D9AD" w14:textId="77777777" w:rsidTr="00404C40">
        <w:trPr>
          <w:trHeight w:val="188"/>
        </w:trPr>
        <w:tc>
          <w:tcPr>
            <w:tcW w:w="1633" w:type="pct"/>
          </w:tcPr>
          <w:p w14:paraId="59E5B564" w14:textId="77777777" w:rsidR="006948F4" w:rsidRPr="003D5D1B" w:rsidRDefault="006948F4" w:rsidP="00A87664">
            <w:pPr>
              <w:spacing w:after="0"/>
            </w:pPr>
            <w:r w:rsidRPr="003D5D1B">
              <w:t xml:space="preserve">Health and </w:t>
            </w:r>
            <w:r>
              <w:t>wellbeing</w:t>
            </w:r>
          </w:p>
        </w:tc>
        <w:tc>
          <w:tcPr>
            <w:tcW w:w="2608" w:type="pct"/>
          </w:tcPr>
          <w:p w14:paraId="5C6CA6E7" w14:textId="77777777" w:rsidR="006948F4" w:rsidRPr="00AD3399" w:rsidRDefault="006948F4" w:rsidP="00A87664">
            <w:pPr>
              <w:spacing w:after="0"/>
            </w:pPr>
            <w:r w:rsidRPr="003D5D1B">
              <w:t xml:space="preserve">The benefits to prescribed accommodation occupants, the community, and healthcare system from reduced exposure to substandard </w:t>
            </w:r>
            <w:r>
              <w:t>accommodation</w:t>
            </w:r>
          </w:p>
        </w:tc>
        <w:tc>
          <w:tcPr>
            <w:tcW w:w="759" w:type="pct"/>
          </w:tcPr>
          <w:p w14:paraId="4F4BC322" w14:textId="77777777" w:rsidR="006948F4" w:rsidRPr="003D5D1B" w:rsidRDefault="006948F4" w:rsidP="00A87664">
            <w:pPr>
              <w:spacing w:after="0"/>
              <w:jc w:val="center"/>
              <w:rPr>
                <w:sz w:val="18"/>
              </w:rPr>
            </w:pPr>
            <w:r w:rsidRPr="003D5D1B">
              <w:t>50%</w:t>
            </w:r>
          </w:p>
        </w:tc>
      </w:tr>
      <w:tr w:rsidR="003A06E2" w:rsidRPr="003D5D1B" w14:paraId="3B045E2B" w14:textId="77777777" w:rsidTr="00404C40">
        <w:trPr>
          <w:trHeight w:val="188"/>
        </w:trPr>
        <w:tc>
          <w:tcPr>
            <w:tcW w:w="1633" w:type="pct"/>
          </w:tcPr>
          <w:p w14:paraId="3C10416C" w14:textId="77777777" w:rsidR="003A06E2" w:rsidRPr="003D5D1B" w:rsidRDefault="003A06E2" w:rsidP="00A87664">
            <w:pPr>
              <w:spacing w:after="0"/>
              <w:rPr>
                <w:b/>
              </w:rPr>
            </w:pPr>
            <w:r w:rsidRPr="003D5D1B">
              <w:rPr>
                <w:b/>
              </w:rPr>
              <w:t>Total benefits weighting</w:t>
            </w:r>
          </w:p>
        </w:tc>
        <w:tc>
          <w:tcPr>
            <w:tcW w:w="2608" w:type="pct"/>
          </w:tcPr>
          <w:p w14:paraId="4B709205" w14:textId="1CC13B65" w:rsidR="003A06E2" w:rsidRPr="003D5D1B" w:rsidRDefault="003A06E2" w:rsidP="00A87664">
            <w:pPr>
              <w:spacing w:after="0"/>
              <w:rPr>
                <w:b/>
                <w:sz w:val="18"/>
              </w:rPr>
            </w:pPr>
          </w:p>
        </w:tc>
        <w:tc>
          <w:tcPr>
            <w:tcW w:w="759" w:type="pct"/>
          </w:tcPr>
          <w:p w14:paraId="389EB14B" w14:textId="77777777" w:rsidR="003A06E2" w:rsidRPr="003D5D1B" w:rsidRDefault="003A06E2" w:rsidP="00A87664">
            <w:pPr>
              <w:spacing w:after="0"/>
              <w:jc w:val="center"/>
              <w:rPr>
                <w:b/>
                <w:sz w:val="18"/>
              </w:rPr>
            </w:pPr>
            <w:r w:rsidRPr="003D5D1B">
              <w:rPr>
                <w:b/>
              </w:rPr>
              <w:t>50%</w:t>
            </w:r>
          </w:p>
        </w:tc>
      </w:tr>
    </w:tbl>
    <w:p w14:paraId="5BC2016C" w14:textId="77777777" w:rsidR="00873984" w:rsidRDefault="00873984" w:rsidP="00C2539E"/>
    <w:p w14:paraId="6CF3A298" w14:textId="43981E97" w:rsidR="00167299" w:rsidRPr="00D20B45" w:rsidRDefault="00873984" w:rsidP="00167299">
      <w:r w:rsidRPr="00D20B45">
        <w:t>Results of the analysis are summarised below</w:t>
      </w:r>
      <w:r w:rsidR="00A87664" w:rsidRPr="00D20B45">
        <w:t xml:space="preserve"> </w:t>
      </w:r>
      <w:r w:rsidR="00894650">
        <w:t xml:space="preserve">for Option 1 and 2 compared to the Base Case </w:t>
      </w:r>
      <w:r w:rsidR="00A87664" w:rsidRPr="00D20B45">
        <w:t>(see Table ii)</w:t>
      </w:r>
      <w:r w:rsidRPr="00D20B45">
        <w:t xml:space="preserve">. </w:t>
      </w:r>
      <w:r w:rsidR="00894650">
        <w:t xml:space="preserve">As there is no material difference in costs and benefits between Options 1 and 2, Option 2 </w:t>
      </w:r>
      <w:r w:rsidR="006573CB">
        <w:t>has</w:t>
      </w:r>
      <w:r w:rsidR="00894650">
        <w:t xml:space="preserve"> the same scores on costs and benefits as Option 1. </w:t>
      </w:r>
      <w:r w:rsidR="00167299" w:rsidRPr="00D20B45">
        <w:t>The MCA demonstrates Options 1 and 2 are preferred to the Base Case of minimal regulations:</w:t>
      </w:r>
    </w:p>
    <w:p w14:paraId="3ABCE7DF" w14:textId="41DBA7FA" w:rsidR="001D5082" w:rsidRPr="00FD70A9" w:rsidRDefault="001D5082" w:rsidP="005D5E87">
      <w:pPr>
        <w:pStyle w:val="ListBullet"/>
        <w:rPr>
          <w:szCs w:val="18"/>
        </w:rPr>
      </w:pPr>
      <w:r>
        <w:t xml:space="preserve">The estimated total cost to businesses is </w:t>
      </w:r>
      <w:r w:rsidR="00151363">
        <w:t xml:space="preserve">approximately </w:t>
      </w:r>
      <w:r>
        <w:t>$</w:t>
      </w:r>
      <w:r w:rsidR="0058084C">
        <w:t>62.4</w:t>
      </w:r>
      <w:r>
        <w:t xml:space="preserve"> million</w:t>
      </w:r>
      <w:r w:rsidR="0058084C">
        <w:t xml:space="preserve"> (NPV)</w:t>
      </w:r>
      <w:r>
        <w:t xml:space="preserve"> over 10 years or $</w:t>
      </w:r>
      <w:r w:rsidR="0058084C">
        <w:t>9,926</w:t>
      </w:r>
      <w:r w:rsidR="00151363">
        <w:t xml:space="preserve"> on average</w:t>
      </w:r>
      <w:r>
        <w:t xml:space="preserve"> per business over 10 years. It is considered that the Regulations pose a </w:t>
      </w:r>
      <w:r w:rsidR="009950EB">
        <w:t>low risk</w:t>
      </w:r>
      <w:r>
        <w:t xml:space="preserve"> to the supply of prescribed accommodation, as other costs to businesses are a more significant driver of supply decisions.</w:t>
      </w:r>
    </w:p>
    <w:p w14:paraId="0F175793" w14:textId="6D1C23D6" w:rsidR="00167299" w:rsidRDefault="00360B4D" w:rsidP="005D5E87">
      <w:pPr>
        <w:pStyle w:val="ListBullet"/>
        <w:rPr>
          <w:szCs w:val="18"/>
        </w:rPr>
      </w:pPr>
      <w:r>
        <w:t>It is difficult to assign a score to the health and wellbeing benefits given the lack of data. However, given the high cost to individuals and the community of illness and injury,</w:t>
      </w:r>
      <w:r w:rsidR="004A572E">
        <w:t xml:space="preserve"> O</w:t>
      </w:r>
      <w:r w:rsidR="00167299" w:rsidRPr="00667D7E">
        <w:rPr>
          <w:szCs w:val="18"/>
        </w:rPr>
        <w:t xml:space="preserve">ptions 1 and 2 </w:t>
      </w:r>
      <w:r w:rsidR="00144D7E" w:rsidRPr="00667D7E">
        <w:rPr>
          <w:szCs w:val="18"/>
        </w:rPr>
        <w:t>are important in protecting occupants of prescribed accommodation.</w:t>
      </w:r>
    </w:p>
    <w:p w14:paraId="0735F9BC" w14:textId="608505F6" w:rsidR="008D6E95" w:rsidRPr="00667D7E" w:rsidRDefault="008D6E95" w:rsidP="005D5E87">
      <w:pPr>
        <w:pStyle w:val="ListBullet"/>
        <w:rPr>
          <w:szCs w:val="18"/>
        </w:rPr>
      </w:pPr>
      <w:r>
        <w:rPr>
          <w:szCs w:val="18"/>
        </w:rPr>
        <w:t>The costs</w:t>
      </w:r>
      <w:r w:rsidRPr="00667D7E">
        <w:rPr>
          <w:szCs w:val="18"/>
        </w:rPr>
        <w:t xml:space="preserve"> to businesses and Councils are higher for Options 1 and 2 compared to the Base Case, </w:t>
      </w:r>
      <w:r>
        <w:rPr>
          <w:szCs w:val="18"/>
        </w:rPr>
        <w:t xml:space="preserve">however </w:t>
      </w:r>
      <w:r w:rsidRPr="00667D7E">
        <w:rPr>
          <w:szCs w:val="18"/>
        </w:rPr>
        <w:t>evidence suggests that adhering to, and monitoring, the Regulations, in terms of maintenance, cleanliness, maximum occupancy and minimal requirements, reduces costs associated with individual and public health and wellbeing.</w:t>
      </w:r>
    </w:p>
    <w:p w14:paraId="30036DDD" w14:textId="68395428" w:rsidR="0017208C" w:rsidRPr="0017208C" w:rsidRDefault="00BA4139" w:rsidP="0017208C">
      <w:r w:rsidRPr="00F0077F">
        <w:rPr>
          <w:rFonts w:eastAsia="Calibri" w:cs="Calibri"/>
          <w:iCs/>
          <w:color w:val="000000"/>
        </w:rPr>
        <w:lastRenderedPageBreak/>
        <w:t xml:space="preserve">While the total weighted score is only slightly positive for Options 1 and 2 versus the Base Case, </w:t>
      </w:r>
      <w:r w:rsidR="00533D67" w:rsidRPr="00F0077F">
        <w:rPr>
          <w:rFonts w:eastAsia="Calibri" w:cs="Calibri"/>
          <w:iCs/>
          <w:color w:val="000000"/>
        </w:rPr>
        <w:t>some of the costs estimated in this RIS are considered to be at the upper bound of what businesses would be expected to incur</w:t>
      </w:r>
      <w:r w:rsidR="00202764" w:rsidRPr="00F0077F">
        <w:rPr>
          <w:rFonts w:eastAsia="Calibri" w:cs="Calibri"/>
          <w:iCs/>
          <w:color w:val="000000"/>
        </w:rPr>
        <w:t>.</w:t>
      </w:r>
    </w:p>
    <w:p w14:paraId="053E043F" w14:textId="766C8DEF" w:rsidR="00D06943" w:rsidRDefault="00D06943" w:rsidP="00D06943">
      <w:pPr>
        <w:pStyle w:val="Caption"/>
      </w:pPr>
      <w:r>
        <w:t>Table ii MCA results</w:t>
      </w:r>
    </w:p>
    <w:tbl>
      <w:tblPr>
        <w:tblStyle w:val="Deloittetable1"/>
        <w:tblW w:w="5000" w:type="pct"/>
        <w:tblLook w:val="04A0" w:firstRow="1" w:lastRow="0" w:firstColumn="1" w:lastColumn="0" w:noHBand="0" w:noVBand="1"/>
      </w:tblPr>
      <w:tblGrid>
        <w:gridCol w:w="1629"/>
        <w:gridCol w:w="215"/>
        <w:gridCol w:w="1419"/>
        <w:gridCol w:w="1700"/>
        <w:gridCol w:w="1274"/>
        <w:gridCol w:w="1276"/>
        <w:gridCol w:w="1513"/>
      </w:tblGrid>
      <w:tr w:rsidR="007B4414" w:rsidRPr="003D5D1B" w14:paraId="0C9FA11B" w14:textId="77777777" w:rsidTr="001419A0">
        <w:trPr>
          <w:cnfStyle w:val="100000000000" w:firstRow="1" w:lastRow="0" w:firstColumn="0" w:lastColumn="0" w:oddVBand="0" w:evenVBand="0" w:oddHBand="0" w:evenHBand="0" w:firstRowFirstColumn="0" w:firstRowLastColumn="0" w:lastRowFirstColumn="0" w:lastRowLastColumn="0"/>
          <w:trHeight w:val="901"/>
        </w:trPr>
        <w:tc>
          <w:tcPr>
            <w:tcW w:w="902" w:type="pct"/>
          </w:tcPr>
          <w:p w14:paraId="552013B7" w14:textId="77777777" w:rsidR="0017208C" w:rsidRPr="003D5D1B" w:rsidRDefault="0017208C" w:rsidP="001419A0">
            <w:pPr>
              <w:spacing w:after="0" w:line="240" w:lineRule="auto"/>
              <w:rPr>
                <w:b/>
              </w:rPr>
            </w:pPr>
            <w:r w:rsidRPr="003D5D1B">
              <w:rPr>
                <w:b/>
              </w:rPr>
              <w:t>Criteria</w:t>
            </w:r>
          </w:p>
        </w:tc>
        <w:tc>
          <w:tcPr>
            <w:tcW w:w="119" w:type="pct"/>
          </w:tcPr>
          <w:p w14:paraId="28AC884A" w14:textId="77777777" w:rsidR="0017208C" w:rsidRPr="003D5D1B" w:rsidRDefault="0017208C" w:rsidP="001419A0">
            <w:pPr>
              <w:spacing w:after="0" w:line="240" w:lineRule="auto"/>
              <w:jc w:val="center"/>
              <w:rPr>
                <w:b/>
              </w:rPr>
            </w:pPr>
          </w:p>
        </w:tc>
        <w:tc>
          <w:tcPr>
            <w:tcW w:w="786" w:type="pct"/>
          </w:tcPr>
          <w:p w14:paraId="4AA14466" w14:textId="21648770" w:rsidR="0017208C" w:rsidRPr="003D5D1B" w:rsidRDefault="0017208C" w:rsidP="001419A0">
            <w:pPr>
              <w:spacing w:after="0" w:line="240" w:lineRule="auto"/>
              <w:jc w:val="center"/>
              <w:rPr>
                <w:b/>
              </w:rPr>
            </w:pPr>
            <w:r w:rsidRPr="003D5D1B">
              <w:rPr>
                <w:b/>
              </w:rPr>
              <w:t>Base case non-weighted score</w:t>
            </w:r>
          </w:p>
        </w:tc>
        <w:tc>
          <w:tcPr>
            <w:tcW w:w="942" w:type="pct"/>
          </w:tcPr>
          <w:p w14:paraId="27C9CCA1" w14:textId="62BEFCA2" w:rsidR="0017208C" w:rsidRPr="003D5D1B" w:rsidRDefault="0017208C" w:rsidP="001419A0">
            <w:pPr>
              <w:spacing w:after="0" w:line="240" w:lineRule="auto"/>
              <w:jc w:val="center"/>
              <w:rPr>
                <w:b/>
              </w:rPr>
            </w:pPr>
            <w:r w:rsidRPr="003D5D1B">
              <w:rPr>
                <w:b/>
              </w:rPr>
              <w:t>Option 1</w:t>
            </w:r>
            <w:r>
              <w:rPr>
                <w:b/>
              </w:rPr>
              <w:t xml:space="preserve"> and 2</w:t>
            </w:r>
            <w:r w:rsidRPr="003D5D1B">
              <w:rPr>
                <w:b/>
              </w:rPr>
              <w:t xml:space="preserve"> non-weighted score</w:t>
            </w:r>
          </w:p>
        </w:tc>
        <w:tc>
          <w:tcPr>
            <w:tcW w:w="706" w:type="pct"/>
          </w:tcPr>
          <w:p w14:paraId="03BC1296" w14:textId="77777777" w:rsidR="0017208C" w:rsidRPr="003D5D1B" w:rsidRDefault="0017208C" w:rsidP="001419A0">
            <w:pPr>
              <w:spacing w:after="0" w:line="240" w:lineRule="auto"/>
              <w:jc w:val="center"/>
              <w:rPr>
                <w:b/>
              </w:rPr>
            </w:pPr>
            <w:r w:rsidRPr="003D5D1B">
              <w:rPr>
                <w:b/>
              </w:rPr>
              <w:t>Weighting</w:t>
            </w:r>
          </w:p>
        </w:tc>
        <w:tc>
          <w:tcPr>
            <w:tcW w:w="707" w:type="pct"/>
          </w:tcPr>
          <w:p w14:paraId="6121ACA7" w14:textId="77777777" w:rsidR="0017208C" w:rsidRPr="003D5D1B" w:rsidRDefault="0017208C" w:rsidP="001419A0">
            <w:pPr>
              <w:spacing w:after="0" w:line="240" w:lineRule="auto"/>
              <w:jc w:val="center"/>
              <w:rPr>
                <w:b/>
              </w:rPr>
            </w:pPr>
            <w:r w:rsidRPr="003D5D1B">
              <w:rPr>
                <w:b/>
              </w:rPr>
              <w:t>Base case weighted score</w:t>
            </w:r>
          </w:p>
        </w:tc>
        <w:tc>
          <w:tcPr>
            <w:tcW w:w="838" w:type="pct"/>
          </w:tcPr>
          <w:p w14:paraId="63E96A4B" w14:textId="739D5B02" w:rsidR="0017208C" w:rsidRPr="003D5D1B" w:rsidRDefault="0017208C" w:rsidP="001419A0">
            <w:pPr>
              <w:spacing w:after="0" w:line="240" w:lineRule="auto"/>
              <w:jc w:val="center"/>
              <w:rPr>
                <w:b/>
              </w:rPr>
            </w:pPr>
            <w:r w:rsidRPr="003D5D1B">
              <w:rPr>
                <w:b/>
              </w:rPr>
              <w:t>Option 1</w:t>
            </w:r>
            <w:r>
              <w:rPr>
                <w:b/>
              </w:rPr>
              <w:t xml:space="preserve"> and 2</w:t>
            </w:r>
            <w:r w:rsidRPr="003D5D1B">
              <w:rPr>
                <w:b/>
              </w:rPr>
              <w:t xml:space="preserve"> weighted score</w:t>
            </w:r>
          </w:p>
        </w:tc>
      </w:tr>
      <w:tr w:rsidR="007B4414" w:rsidRPr="003D5D1B" w14:paraId="13D2CCFC" w14:textId="77777777" w:rsidTr="001419A0">
        <w:trPr>
          <w:trHeight w:val="20"/>
        </w:trPr>
        <w:tc>
          <w:tcPr>
            <w:tcW w:w="902" w:type="pct"/>
          </w:tcPr>
          <w:p w14:paraId="62F444D3" w14:textId="77777777" w:rsidR="0017208C" w:rsidRPr="003D5D1B" w:rsidRDefault="0017208C" w:rsidP="00A87664">
            <w:pPr>
              <w:spacing w:line="240" w:lineRule="auto"/>
            </w:pPr>
            <w:r w:rsidRPr="003D5D1B">
              <w:t xml:space="preserve">Costs to businesses </w:t>
            </w:r>
          </w:p>
        </w:tc>
        <w:tc>
          <w:tcPr>
            <w:tcW w:w="119" w:type="pct"/>
          </w:tcPr>
          <w:p w14:paraId="458AE336" w14:textId="77777777" w:rsidR="0017208C" w:rsidRPr="003D5D1B" w:rsidRDefault="0017208C" w:rsidP="00A87664">
            <w:pPr>
              <w:spacing w:line="240" w:lineRule="auto"/>
              <w:jc w:val="center"/>
            </w:pPr>
          </w:p>
        </w:tc>
        <w:tc>
          <w:tcPr>
            <w:tcW w:w="786" w:type="pct"/>
          </w:tcPr>
          <w:p w14:paraId="50013F73" w14:textId="7DF545FC" w:rsidR="0017208C" w:rsidRPr="003D5D1B" w:rsidRDefault="0017208C" w:rsidP="00A87664">
            <w:pPr>
              <w:spacing w:line="240" w:lineRule="auto"/>
              <w:jc w:val="center"/>
            </w:pPr>
            <w:r w:rsidRPr="003D5D1B">
              <w:t>0</w:t>
            </w:r>
          </w:p>
        </w:tc>
        <w:tc>
          <w:tcPr>
            <w:tcW w:w="942" w:type="pct"/>
          </w:tcPr>
          <w:p w14:paraId="5AEBEEB9" w14:textId="7AD6BFB3" w:rsidR="0017208C" w:rsidRPr="003D5D1B" w:rsidRDefault="0017208C" w:rsidP="00A87664">
            <w:pPr>
              <w:spacing w:line="240" w:lineRule="auto"/>
              <w:jc w:val="center"/>
            </w:pPr>
            <w:r w:rsidRPr="003D5D1B">
              <w:t>-</w:t>
            </w:r>
            <w:r>
              <w:t>7</w:t>
            </w:r>
          </w:p>
        </w:tc>
        <w:tc>
          <w:tcPr>
            <w:tcW w:w="706" w:type="pct"/>
          </w:tcPr>
          <w:p w14:paraId="28322825" w14:textId="1B852AD8" w:rsidR="0017208C" w:rsidRPr="003D5D1B" w:rsidRDefault="0017208C" w:rsidP="00A87664">
            <w:pPr>
              <w:spacing w:line="240" w:lineRule="auto"/>
              <w:jc w:val="center"/>
            </w:pPr>
            <w:r>
              <w:t>4</w:t>
            </w:r>
            <w:r w:rsidRPr="003D5D1B">
              <w:t>0%</w:t>
            </w:r>
          </w:p>
        </w:tc>
        <w:tc>
          <w:tcPr>
            <w:tcW w:w="707" w:type="pct"/>
          </w:tcPr>
          <w:p w14:paraId="273ACD5D" w14:textId="5EC95AD6" w:rsidR="0017208C" w:rsidRPr="003D5D1B" w:rsidRDefault="0017208C" w:rsidP="00A87664">
            <w:pPr>
              <w:spacing w:line="240" w:lineRule="auto"/>
              <w:jc w:val="center"/>
            </w:pPr>
            <w:r w:rsidRPr="003D5D1B">
              <w:t>0</w:t>
            </w:r>
          </w:p>
        </w:tc>
        <w:tc>
          <w:tcPr>
            <w:tcW w:w="838" w:type="pct"/>
          </w:tcPr>
          <w:p w14:paraId="15E52BEC" w14:textId="61BD2DD2" w:rsidR="0017208C" w:rsidRPr="003D5D1B" w:rsidRDefault="0017208C" w:rsidP="00A87664">
            <w:pPr>
              <w:spacing w:line="240" w:lineRule="auto"/>
              <w:jc w:val="center"/>
            </w:pPr>
            <w:r w:rsidRPr="003D5D1B">
              <w:t>-</w:t>
            </w:r>
            <w:r>
              <w:t>2.8</w:t>
            </w:r>
          </w:p>
        </w:tc>
      </w:tr>
      <w:tr w:rsidR="007B4414" w:rsidRPr="003D5D1B" w14:paraId="107735DA" w14:textId="77777777" w:rsidTr="001419A0">
        <w:trPr>
          <w:trHeight w:val="20"/>
        </w:trPr>
        <w:tc>
          <w:tcPr>
            <w:tcW w:w="902" w:type="pct"/>
          </w:tcPr>
          <w:p w14:paraId="0257D8C1" w14:textId="77777777" w:rsidR="0017208C" w:rsidRPr="003D5D1B" w:rsidRDefault="0017208C" w:rsidP="00A87664">
            <w:pPr>
              <w:spacing w:line="240" w:lineRule="auto"/>
            </w:pPr>
            <w:r w:rsidRPr="003D5D1B">
              <w:t>Supply of accommodation</w:t>
            </w:r>
          </w:p>
        </w:tc>
        <w:tc>
          <w:tcPr>
            <w:tcW w:w="119" w:type="pct"/>
          </w:tcPr>
          <w:p w14:paraId="7F452FA0" w14:textId="77777777" w:rsidR="0017208C" w:rsidRPr="003D5D1B" w:rsidRDefault="0017208C" w:rsidP="00A87664">
            <w:pPr>
              <w:spacing w:line="240" w:lineRule="auto"/>
              <w:jc w:val="center"/>
            </w:pPr>
          </w:p>
        </w:tc>
        <w:tc>
          <w:tcPr>
            <w:tcW w:w="786" w:type="pct"/>
          </w:tcPr>
          <w:p w14:paraId="7F232599" w14:textId="398D5D68" w:rsidR="0017208C" w:rsidRPr="003D5D1B" w:rsidRDefault="0017208C" w:rsidP="00A87664">
            <w:pPr>
              <w:spacing w:line="240" w:lineRule="auto"/>
              <w:jc w:val="center"/>
            </w:pPr>
            <w:r w:rsidRPr="003D5D1B">
              <w:t>0</w:t>
            </w:r>
          </w:p>
        </w:tc>
        <w:tc>
          <w:tcPr>
            <w:tcW w:w="942" w:type="pct"/>
          </w:tcPr>
          <w:p w14:paraId="0266555A" w14:textId="77777777" w:rsidR="0017208C" w:rsidRPr="003D5D1B" w:rsidRDefault="0017208C" w:rsidP="00A87664">
            <w:pPr>
              <w:spacing w:line="240" w:lineRule="auto"/>
              <w:jc w:val="center"/>
            </w:pPr>
            <w:r w:rsidRPr="003D5D1B">
              <w:t>-2</w:t>
            </w:r>
          </w:p>
        </w:tc>
        <w:tc>
          <w:tcPr>
            <w:tcW w:w="706" w:type="pct"/>
          </w:tcPr>
          <w:p w14:paraId="2AE4FDFE" w14:textId="77777777" w:rsidR="0017208C" w:rsidRPr="003D5D1B" w:rsidRDefault="0017208C" w:rsidP="00A87664">
            <w:pPr>
              <w:spacing w:line="240" w:lineRule="auto"/>
              <w:jc w:val="center"/>
            </w:pPr>
            <w:r w:rsidRPr="003D5D1B">
              <w:t>10%</w:t>
            </w:r>
          </w:p>
        </w:tc>
        <w:tc>
          <w:tcPr>
            <w:tcW w:w="707" w:type="pct"/>
          </w:tcPr>
          <w:p w14:paraId="2DF0B7C4" w14:textId="3193C20F" w:rsidR="0017208C" w:rsidRPr="003D5D1B" w:rsidRDefault="0017208C" w:rsidP="00A87664">
            <w:pPr>
              <w:spacing w:line="240" w:lineRule="auto"/>
              <w:jc w:val="center"/>
            </w:pPr>
            <w:r w:rsidRPr="003D5D1B">
              <w:t>0</w:t>
            </w:r>
          </w:p>
        </w:tc>
        <w:tc>
          <w:tcPr>
            <w:tcW w:w="838" w:type="pct"/>
          </w:tcPr>
          <w:p w14:paraId="06C6B76B" w14:textId="0C887B17" w:rsidR="0017208C" w:rsidRPr="003D5D1B" w:rsidRDefault="0017208C" w:rsidP="00A87664">
            <w:pPr>
              <w:spacing w:line="240" w:lineRule="auto"/>
              <w:jc w:val="center"/>
            </w:pPr>
            <w:r w:rsidRPr="003D5D1B">
              <w:t>-0.2</w:t>
            </w:r>
          </w:p>
        </w:tc>
      </w:tr>
      <w:tr w:rsidR="007B4414" w:rsidRPr="003D5D1B" w14:paraId="0E186BFD" w14:textId="77777777" w:rsidTr="001419A0">
        <w:trPr>
          <w:trHeight w:val="20"/>
        </w:trPr>
        <w:tc>
          <w:tcPr>
            <w:tcW w:w="902" w:type="pct"/>
          </w:tcPr>
          <w:p w14:paraId="4859A597" w14:textId="77777777" w:rsidR="0017208C" w:rsidRPr="003D5D1B" w:rsidRDefault="0017208C" w:rsidP="00A87664">
            <w:pPr>
              <w:spacing w:line="240" w:lineRule="auto"/>
            </w:pPr>
            <w:r w:rsidRPr="003D5D1B">
              <w:t xml:space="preserve">Health and Safety </w:t>
            </w:r>
          </w:p>
        </w:tc>
        <w:tc>
          <w:tcPr>
            <w:tcW w:w="119" w:type="pct"/>
          </w:tcPr>
          <w:p w14:paraId="069AC1FD" w14:textId="77777777" w:rsidR="0017208C" w:rsidRPr="003D5D1B" w:rsidRDefault="0017208C" w:rsidP="00A87664">
            <w:pPr>
              <w:spacing w:line="240" w:lineRule="auto"/>
              <w:jc w:val="center"/>
            </w:pPr>
          </w:p>
        </w:tc>
        <w:tc>
          <w:tcPr>
            <w:tcW w:w="786" w:type="pct"/>
          </w:tcPr>
          <w:p w14:paraId="323270F1" w14:textId="1C410CF5" w:rsidR="0017208C" w:rsidRPr="003D5D1B" w:rsidRDefault="0017208C" w:rsidP="00A87664">
            <w:pPr>
              <w:spacing w:line="240" w:lineRule="auto"/>
              <w:jc w:val="center"/>
            </w:pPr>
            <w:r w:rsidRPr="003D5D1B">
              <w:t>0</w:t>
            </w:r>
          </w:p>
        </w:tc>
        <w:tc>
          <w:tcPr>
            <w:tcW w:w="942" w:type="pct"/>
          </w:tcPr>
          <w:p w14:paraId="54239448" w14:textId="6AE6D953" w:rsidR="0017208C" w:rsidRPr="003D5D1B" w:rsidRDefault="0017208C" w:rsidP="00A87664">
            <w:pPr>
              <w:spacing w:line="240" w:lineRule="auto"/>
              <w:jc w:val="center"/>
            </w:pPr>
            <w:r w:rsidRPr="003D5D1B">
              <w:t>+</w:t>
            </w:r>
            <w:r>
              <w:t>7</w:t>
            </w:r>
          </w:p>
        </w:tc>
        <w:tc>
          <w:tcPr>
            <w:tcW w:w="706" w:type="pct"/>
          </w:tcPr>
          <w:p w14:paraId="73FC79FA" w14:textId="77777777" w:rsidR="0017208C" w:rsidRPr="003D5D1B" w:rsidRDefault="0017208C" w:rsidP="00A87664">
            <w:pPr>
              <w:spacing w:line="240" w:lineRule="auto"/>
              <w:jc w:val="center"/>
            </w:pPr>
            <w:r w:rsidRPr="003D5D1B">
              <w:t>50%</w:t>
            </w:r>
          </w:p>
        </w:tc>
        <w:tc>
          <w:tcPr>
            <w:tcW w:w="707" w:type="pct"/>
          </w:tcPr>
          <w:p w14:paraId="37E05445" w14:textId="352C394B" w:rsidR="0017208C" w:rsidRPr="003D5D1B" w:rsidRDefault="0017208C" w:rsidP="00A87664">
            <w:pPr>
              <w:spacing w:line="240" w:lineRule="auto"/>
              <w:jc w:val="center"/>
            </w:pPr>
            <w:r w:rsidRPr="003D5D1B">
              <w:t>0</w:t>
            </w:r>
          </w:p>
        </w:tc>
        <w:tc>
          <w:tcPr>
            <w:tcW w:w="838" w:type="pct"/>
          </w:tcPr>
          <w:p w14:paraId="340DBD00" w14:textId="7C9EBAB3" w:rsidR="0017208C" w:rsidRPr="003D5D1B" w:rsidRDefault="0017208C" w:rsidP="00A87664">
            <w:pPr>
              <w:spacing w:line="240" w:lineRule="auto"/>
              <w:jc w:val="center"/>
            </w:pPr>
            <w:r>
              <w:t>+3.5</w:t>
            </w:r>
          </w:p>
        </w:tc>
      </w:tr>
      <w:tr w:rsidR="007B4414" w14:paraId="02728CB4" w14:textId="77777777" w:rsidTr="001419A0">
        <w:trPr>
          <w:trHeight w:val="20"/>
        </w:trPr>
        <w:tc>
          <w:tcPr>
            <w:tcW w:w="902" w:type="pct"/>
          </w:tcPr>
          <w:p w14:paraId="59F38B38" w14:textId="77777777" w:rsidR="0017208C" w:rsidRPr="003D5D1B" w:rsidRDefault="0017208C" w:rsidP="00A87664">
            <w:pPr>
              <w:rPr>
                <w:b/>
              </w:rPr>
            </w:pPr>
            <w:r w:rsidRPr="003D5D1B">
              <w:rPr>
                <w:b/>
              </w:rPr>
              <w:t>Total score</w:t>
            </w:r>
          </w:p>
        </w:tc>
        <w:tc>
          <w:tcPr>
            <w:tcW w:w="119" w:type="pct"/>
          </w:tcPr>
          <w:p w14:paraId="6E276101" w14:textId="77777777" w:rsidR="0017208C" w:rsidRPr="003D5D1B" w:rsidRDefault="0017208C" w:rsidP="00A87664">
            <w:pPr>
              <w:jc w:val="center"/>
              <w:rPr>
                <w:b/>
              </w:rPr>
            </w:pPr>
          </w:p>
        </w:tc>
        <w:tc>
          <w:tcPr>
            <w:tcW w:w="786" w:type="pct"/>
          </w:tcPr>
          <w:p w14:paraId="6F30DA07" w14:textId="7A10B61D" w:rsidR="0017208C" w:rsidRPr="003D5D1B" w:rsidRDefault="0017208C" w:rsidP="00A87664">
            <w:pPr>
              <w:jc w:val="center"/>
              <w:rPr>
                <w:b/>
              </w:rPr>
            </w:pPr>
          </w:p>
        </w:tc>
        <w:tc>
          <w:tcPr>
            <w:tcW w:w="942" w:type="pct"/>
          </w:tcPr>
          <w:p w14:paraId="402933F5" w14:textId="77777777" w:rsidR="0017208C" w:rsidRPr="003D5D1B" w:rsidRDefault="0017208C" w:rsidP="00A87664">
            <w:pPr>
              <w:jc w:val="center"/>
              <w:rPr>
                <w:b/>
              </w:rPr>
            </w:pPr>
          </w:p>
        </w:tc>
        <w:tc>
          <w:tcPr>
            <w:tcW w:w="706" w:type="pct"/>
          </w:tcPr>
          <w:p w14:paraId="07BB09C3" w14:textId="77777777" w:rsidR="0017208C" w:rsidRPr="003D5D1B" w:rsidRDefault="0017208C" w:rsidP="00A87664">
            <w:pPr>
              <w:jc w:val="center"/>
              <w:rPr>
                <w:b/>
              </w:rPr>
            </w:pPr>
          </w:p>
        </w:tc>
        <w:tc>
          <w:tcPr>
            <w:tcW w:w="707" w:type="pct"/>
          </w:tcPr>
          <w:p w14:paraId="2D722375" w14:textId="706D57AA" w:rsidR="0017208C" w:rsidRPr="003D5D1B" w:rsidRDefault="0017208C" w:rsidP="00A87664">
            <w:pPr>
              <w:jc w:val="center"/>
              <w:rPr>
                <w:b/>
              </w:rPr>
            </w:pPr>
            <w:r w:rsidRPr="003D5D1B">
              <w:rPr>
                <w:b/>
              </w:rPr>
              <w:t>0</w:t>
            </w:r>
          </w:p>
        </w:tc>
        <w:tc>
          <w:tcPr>
            <w:tcW w:w="838" w:type="pct"/>
          </w:tcPr>
          <w:p w14:paraId="0EC6FA07" w14:textId="2DC911AA" w:rsidR="0017208C" w:rsidRDefault="0017208C" w:rsidP="00A87664">
            <w:pPr>
              <w:jc w:val="center"/>
              <w:rPr>
                <w:b/>
              </w:rPr>
            </w:pPr>
            <w:r w:rsidRPr="003D5D1B">
              <w:rPr>
                <w:b/>
              </w:rPr>
              <w:t>+</w:t>
            </w:r>
            <w:r>
              <w:rPr>
                <w:b/>
              </w:rPr>
              <w:t>0.5</w:t>
            </w:r>
          </w:p>
        </w:tc>
      </w:tr>
    </w:tbl>
    <w:p w14:paraId="7D59FEE2" w14:textId="10A864BE" w:rsidR="00B776D1" w:rsidRDefault="00B776D1" w:rsidP="00B776D1">
      <w:pPr>
        <w:pStyle w:val="Heading2un-numbered"/>
        <w:numPr>
          <w:ilvl w:val="0"/>
          <w:numId w:val="0"/>
        </w:numPr>
      </w:pPr>
      <w:bookmarkStart w:id="57" w:name="_Toc49460276"/>
      <w:r>
        <w:t>Option</w:t>
      </w:r>
      <w:r w:rsidR="00016825">
        <w:t xml:space="preserve"> 2 is preferred as it </w:t>
      </w:r>
      <w:r w:rsidR="00B856FB">
        <w:t>will provide clear</w:t>
      </w:r>
      <w:r w:rsidR="00CB01AF">
        <w:t xml:space="preserve"> </w:t>
      </w:r>
      <w:r w:rsidR="00B856FB">
        <w:t>and contemporary definitions</w:t>
      </w:r>
      <w:r w:rsidR="00CB01AF">
        <w:t xml:space="preserve"> consistent with other regulatory frameworks</w:t>
      </w:r>
      <w:bookmarkEnd w:id="57"/>
    </w:p>
    <w:p w14:paraId="04ADDB0E" w14:textId="36E269E8" w:rsidR="00A90040" w:rsidRPr="00926960" w:rsidRDefault="00A90040" w:rsidP="008E18FD">
      <w:r w:rsidRPr="00926960">
        <w:rPr>
          <w:rFonts w:eastAsia="Calibri" w:cs="Calibri"/>
          <w:color w:val="000000"/>
        </w:rPr>
        <w:t xml:space="preserve">Option 2 is preferred to Option 1 because it implements targeted changes to improve the efficiency of the current Regulations and achieves consistency with other regulatory frameworks that interact with the </w:t>
      </w:r>
      <w:r w:rsidR="0098766C">
        <w:rPr>
          <w:rFonts w:eastAsia="Calibri" w:cs="Calibri"/>
          <w:color w:val="000000"/>
        </w:rPr>
        <w:t>Regulations</w:t>
      </w:r>
      <w:r w:rsidR="008E18FD">
        <w:rPr>
          <w:rFonts w:eastAsia="Calibri" w:cs="Calibri"/>
          <w:color w:val="000000"/>
        </w:rPr>
        <w:t>.</w:t>
      </w:r>
    </w:p>
    <w:p w14:paraId="758D585A" w14:textId="0AF6B818" w:rsidR="00A90040" w:rsidRPr="00DE3E3A" w:rsidRDefault="00A90040" w:rsidP="00DE3E3A">
      <w:pPr>
        <w:spacing w:before="120"/>
        <w:rPr>
          <w:rFonts w:eastAsia="Calibri" w:cs="Calibri"/>
          <w:color w:val="000000"/>
        </w:rPr>
      </w:pPr>
      <w:r w:rsidRPr="00926960">
        <w:rPr>
          <w:rFonts w:eastAsia="Calibri" w:cs="Calibri"/>
          <w:color w:val="000000"/>
        </w:rPr>
        <w:t>Option 2 is expected to have the same or similar health benefits as Option 1</w:t>
      </w:r>
      <w:r w:rsidR="00D0784C">
        <w:rPr>
          <w:rFonts w:eastAsia="Calibri" w:cs="Calibri"/>
          <w:color w:val="000000"/>
        </w:rPr>
        <w:t xml:space="preserve">. </w:t>
      </w:r>
      <w:r w:rsidR="000711B6">
        <w:rPr>
          <w:rFonts w:eastAsia="Calibri" w:cs="Calibri"/>
          <w:color w:val="000000"/>
        </w:rPr>
        <w:t>It</w:t>
      </w:r>
      <w:r w:rsidRPr="00926960">
        <w:rPr>
          <w:rFonts w:eastAsia="Calibri" w:cs="Calibri"/>
          <w:color w:val="000000"/>
        </w:rPr>
        <w:t xml:space="preserve"> is </w:t>
      </w:r>
      <w:r w:rsidR="008E4D89">
        <w:rPr>
          <w:rFonts w:eastAsia="Calibri" w:cs="Calibri"/>
          <w:color w:val="000000"/>
        </w:rPr>
        <w:t xml:space="preserve">also </w:t>
      </w:r>
      <w:r w:rsidRPr="00926960">
        <w:rPr>
          <w:rFonts w:eastAsia="Calibri" w:cs="Calibri"/>
          <w:color w:val="000000"/>
        </w:rPr>
        <w:t>expected to lead to a very small decrease in costs compared to the current Regulations</w:t>
      </w:r>
      <w:r w:rsidR="008E4D89">
        <w:rPr>
          <w:rFonts w:eastAsia="Calibri" w:cs="Calibri"/>
          <w:color w:val="000000"/>
        </w:rPr>
        <w:t xml:space="preserve">; the </w:t>
      </w:r>
      <w:r w:rsidRPr="00926960">
        <w:rPr>
          <w:rFonts w:eastAsia="Calibri" w:cs="Calibri"/>
          <w:color w:val="000000"/>
        </w:rPr>
        <w:t xml:space="preserve">revision of certain terms in the Regulations may reduce </w:t>
      </w:r>
      <w:r w:rsidR="00C15E34">
        <w:rPr>
          <w:rFonts w:eastAsia="Calibri" w:cs="Calibri"/>
          <w:color w:val="000000"/>
        </w:rPr>
        <w:t>inefficiencies</w:t>
      </w:r>
      <w:r w:rsidRPr="00926960">
        <w:rPr>
          <w:rFonts w:eastAsia="Calibri" w:cs="Calibri"/>
          <w:color w:val="000000"/>
        </w:rPr>
        <w:t xml:space="preserve"> </w:t>
      </w:r>
      <w:r w:rsidR="000711B6">
        <w:rPr>
          <w:rFonts w:eastAsia="Calibri" w:cs="Calibri"/>
          <w:color w:val="000000"/>
        </w:rPr>
        <w:t>in</w:t>
      </w:r>
      <w:r w:rsidRPr="00926960">
        <w:rPr>
          <w:rFonts w:eastAsia="Calibri" w:cs="Calibri"/>
          <w:color w:val="000000"/>
        </w:rPr>
        <w:t xml:space="preserve"> compliance and Council regulation.</w:t>
      </w:r>
    </w:p>
    <w:p w14:paraId="00941CAA" w14:textId="03F678BE" w:rsidR="00B776D1" w:rsidRDefault="00B776D1" w:rsidP="00B776D1">
      <w:pPr>
        <w:pStyle w:val="Heading2un-numbered"/>
        <w:numPr>
          <w:ilvl w:val="0"/>
          <w:numId w:val="0"/>
        </w:numPr>
      </w:pPr>
      <w:bookmarkStart w:id="58" w:name="_Toc49460277"/>
      <w:r>
        <w:t xml:space="preserve">Implementation </w:t>
      </w:r>
      <w:r w:rsidR="00AF3E37">
        <w:t>will not differ</w:t>
      </w:r>
      <w:r w:rsidR="00016825">
        <w:t xml:space="preserve"> greatly from the current application of the Regulations</w:t>
      </w:r>
      <w:bookmarkEnd w:id="58"/>
    </w:p>
    <w:p w14:paraId="1C96C0F4" w14:textId="3FBE34E8" w:rsidR="00842B54" w:rsidRPr="00842B54" w:rsidRDefault="00AA51F0" w:rsidP="00842B54">
      <w:r w:rsidRPr="00CA6E3B">
        <w:t>The proposed remade Regulations continue the substance and form of the current Regulations</w:t>
      </w:r>
      <w:r>
        <w:t>.</w:t>
      </w:r>
      <w:r w:rsidR="00AF3E37">
        <w:t xml:space="preserve"> For this reason, </w:t>
      </w:r>
      <w:r w:rsidR="00B31345">
        <w:t xml:space="preserve">the costs of </w:t>
      </w:r>
      <w:r w:rsidR="00AF3E37">
        <w:t>i</w:t>
      </w:r>
      <w:r w:rsidR="00842B54" w:rsidRPr="00842B54">
        <w:t>mplement</w:t>
      </w:r>
      <w:r w:rsidR="00B31345">
        <w:t>ing</w:t>
      </w:r>
      <w:r w:rsidR="00842B54" w:rsidRPr="00842B54">
        <w:t xml:space="preserve"> the preferred option </w:t>
      </w:r>
      <w:r w:rsidR="00B31345">
        <w:t>will not</w:t>
      </w:r>
      <w:r w:rsidR="00842B54" w:rsidRPr="00842B54">
        <w:t xml:space="preserve"> differ substantially from the application of the current Regulations.</w:t>
      </w:r>
    </w:p>
    <w:p w14:paraId="4D1C6346" w14:textId="47B4EC49" w:rsidR="00B776D1" w:rsidRDefault="00D16CDF" w:rsidP="00B776D1">
      <w:pPr>
        <w:pStyle w:val="Heading2un-numbered"/>
        <w:numPr>
          <w:ilvl w:val="0"/>
          <w:numId w:val="0"/>
        </w:numPr>
      </w:pPr>
      <w:bookmarkStart w:id="59" w:name="_Toc49460278"/>
      <w:r>
        <w:t>DHHS will monitor the operation and effectiveness of the proposed Regulations</w:t>
      </w:r>
      <w:bookmarkEnd w:id="59"/>
    </w:p>
    <w:p w14:paraId="05DFE05D" w14:textId="19E745E8" w:rsidR="00593B7B" w:rsidRPr="007B4414" w:rsidRDefault="00593B7B" w:rsidP="00170F03">
      <w:r w:rsidRPr="00DE7D3B">
        <w:t xml:space="preserve">DHHS </w:t>
      </w:r>
      <w:r w:rsidRPr="00F138E8">
        <w:t>wil</w:t>
      </w:r>
      <w:r w:rsidRPr="007B4414">
        <w:t>l monitor the operation and effectiveness of the proposed Regulations in two ways:</w:t>
      </w:r>
    </w:p>
    <w:p w14:paraId="27CB6515" w14:textId="77777777" w:rsidR="00B66BA2" w:rsidRPr="007B4414" w:rsidRDefault="00B66BA2" w:rsidP="00B66BA2">
      <w:pPr>
        <w:pStyle w:val="ListBullet"/>
      </w:pPr>
      <w:r w:rsidRPr="007B4414">
        <w:t>Ongoing engagement with Councils</w:t>
      </w:r>
      <w:r w:rsidRPr="001419A0">
        <w:t>, including through ongoing liaison with Councils’ environmental health officers, a</w:t>
      </w:r>
      <w:r w:rsidRPr="00F138E8">
        <w:t>nd industry stakeholders</w:t>
      </w:r>
    </w:p>
    <w:p w14:paraId="6D61EFE8" w14:textId="77777777" w:rsidR="00593B7B" w:rsidRPr="007B4414" w:rsidRDefault="00593B7B" w:rsidP="00593B7B">
      <w:pPr>
        <w:pStyle w:val="ListBullet"/>
      </w:pPr>
      <w:r w:rsidRPr="007B4414">
        <w:t>Ongoing review of trends in the accommodation market.</w:t>
      </w:r>
    </w:p>
    <w:p w14:paraId="613D8101" w14:textId="7F007F58" w:rsidR="00593B7B" w:rsidRPr="001419A0" w:rsidRDefault="00593B7B" w:rsidP="00593B7B">
      <w:pPr>
        <w:ind w:right="57"/>
      </w:pPr>
      <w:r w:rsidRPr="001419A0">
        <w:t xml:space="preserve">This </w:t>
      </w:r>
      <w:r w:rsidR="008477AB" w:rsidRPr="001419A0">
        <w:t xml:space="preserve">monitoring </w:t>
      </w:r>
      <w:r w:rsidRPr="001419A0">
        <w:t>and</w:t>
      </w:r>
      <w:r w:rsidR="004E1608" w:rsidRPr="001419A0">
        <w:t xml:space="preserve"> broader</w:t>
      </w:r>
      <w:r w:rsidRPr="001419A0">
        <w:t xml:space="preserve"> stakeholder consultation will inform an ongoing assessment of whether the proposed Regulations are meeting the objectives of the PHWA, which are to achieve the highest attainable standard of public health and wellbeing by:</w:t>
      </w:r>
    </w:p>
    <w:p w14:paraId="0F8AE898" w14:textId="77777777" w:rsidR="00593B7B" w:rsidRPr="001419A0" w:rsidRDefault="00593B7B" w:rsidP="00593B7B">
      <w:pPr>
        <w:pStyle w:val="ListBullet"/>
      </w:pPr>
      <w:r w:rsidRPr="001419A0">
        <w:t>Protecting public health and preventing disease, illness, injury, disability or premature death;</w:t>
      </w:r>
    </w:p>
    <w:p w14:paraId="5F09D1E7" w14:textId="77777777" w:rsidR="00593B7B" w:rsidRPr="001419A0" w:rsidRDefault="00593B7B" w:rsidP="00593B7B">
      <w:pPr>
        <w:pStyle w:val="ListBullet"/>
      </w:pPr>
      <w:r w:rsidRPr="001419A0">
        <w:t>Promoting conditions in which persons can be healthy;</w:t>
      </w:r>
    </w:p>
    <w:p w14:paraId="6D6CDCD0" w14:textId="5D11C61B" w:rsidR="007105E4" w:rsidRPr="001419A0" w:rsidRDefault="00593B7B" w:rsidP="007105E4">
      <w:pPr>
        <w:pStyle w:val="ListBullet"/>
      </w:pPr>
      <w:r w:rsidRPr="001419A0">
        <w:t>Reducing inequalities in the state of public health and wellbeing.</w:t>
      </w:r>
    </w:p>
    <w:p w14:paraId="2A922202" w14:textId="5BB50BE5" w:rsidR="002E75D1" w:rsidRDefault="008F3E51" w:rsidP="00E9577E">
      <w:pPr>
        <w:pStyle w:val="Heading1"/>
      </w:pPr>
      <w:bookmarkStart w:id="60" w:name="_Toc536054814"/>
      <w:bookmarkStart w:id="61" w:name="_Toc536054815"/>
      <w:bookmarkStart w:id="62" w:name="_Toc536054816"/>
      <w:bookmarkStart w:id="63" w:name="_Toc536054817"/>
      <w:bookmarkStart w:id="64" w:name="_Toc536054818"/>
      <w:bookmarkStart w:id="65" w:name="_Toc536054819"/>
      <w:bookmarkStart w:id="66" w:name="_Toc536054820"/>
      <w:bookmarkStart w:id="67" w:name="_Toc536054822"/>
      <w:bookmarkStart w:id="68" w:name="_Toc536054823"/>
      <w:bookmarkStart w:id="69" w:name="_Toc536054824"/>
      <w:bookmarkStart w:id="70" w:name="_Toc536054825"/>
      <w:bookmarkStart w:id="71" w:name="_Toc536054827"/>
      <w:bookmarkStart w:id="72" w:name="_Toc536054828"/>
      <w:bookmarkStart w:id="73" w:name="_Toc536054829"/>
      <w:bookmarkStart w:id="74" w:name="_Toc536054830"/>
      <w:bookmarkStart w:id="75" w:name="_Toc536054831"/>
      <w:bookmarkStart w:id="76" w:name="_Toc536054833"/>
      <w:bookmarkStart w:id="77" w:name="_Toc536054834"/>
      <w:bookmarkStart w:id="78" w:name="_Toc536054835"/>
      <w:bookmarkStart w:id="79" w:name="_Toc536054836"/>
      <w:bookmarkStart w:id="80" w:name="_Toc536054837"/>
      <w:bookmarkStart w:id="81" w:name="_Toc536054838"/>
      <w:bookmarkStart w:id="82" w:name="_Toc536054839"/>
      <w:bookmarkStart w:id="83" w:name="_Toc536054841"/>
      <w:bookmarkStart w:id="84" w:name="_Toc536054842"/>
      <w:bookmarkStart w:id="85" w:name="_Toc536054843"/>
      <w:bookmarkStart w:id="86" w:name="_Toc536054844"/>
      <w:bookmarkStart w:id="87" w:name="_Toc536054846"/>
      <w:bookmarkStart w:id="88" w:name="_Toc536054848"/>
      <w:bookmarkStart w:id="89" w:name="_Toc536054853"/>
      <w:bookmarkStart w:id="90" w:name="_Toc536054811"/>
      <w:bookmarkStart w:id="91" w:name="_Toc536055027"/>
      <w:bookmarkStart w:id="92" w:name="_Toc536054812"/>
      <w:bookmarkStart w:id="93" w:name="_Toc536054813"/>
      <w:bookmarkStart w:id="94" w:name="_Toc536054821"/>
      <w:bookmarkStart w:id="95" w:name="_Toc536054826"/>
      <w:bookmarkStart w:id="96" w:name="_Toc536054832"/>
      <w:bookmarkStart w:id="97" w:name="_Toc536054840"/>
      <w:bookmarkStart w:id="98" w:name="_Toc536054845"/>
      <w:bookmarkStart w:id="99" w:name="_Toc536054847"/>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lastRenderedPageBreak/>
        <w:t xml:space="preserve"> </w:t>
      </w:r>
      <w:bookmarkStart w:id="100" w:name="_Toc462313129"/>
      <w:bookmarkStart w:id="101" w:name="_Toc462317839"/>
      <w:bookmarkStart w:id="102" w:name="_Toc462397803"/>
      <w:bookmarkStart w:id="103" w:name="_Toc463002430"/>
      <w:bookmarkStart w:id="104" w:name="_Toc472586342"/>
      <w:bookmarkStart w:id="105" w:name="_Toc482168120"/>
      <w:bookmarkStart w:id="106" w:name="_Toc482174907"/>
      <w:bookmarkStart w:id="107" w:name="_Toc9366979"/>
      <w:bookmarkStart w:id="108" w:name="_Toc10111296"/>
      <w:bookmarkStart w:id="109" w:name="_Toc17892121"/>
      <w:bookmarkStart w:id="110" w:name="_Toc49460279"/>
      <w:r w:rsidR="00BF3260" w:rsidRPr="00806743">
        <w:t>Background</w:t>
      </w:r>
      <w:bookmarkEnd w:id="100"/>
      <w:bookmarkEnd w:id="101"/>
      <w:bookmarkEnd w:id="102"/>
      <w:bookmarkEnd w:id="103"/>
      <w:bookmarkEnd w:id="104"/>
      <w:bookmarkEnd w:id="105"/>
      <w:bookmarkEnd w:id="106"/>
      <w:bookmarkEnd w:id="107"/>
      <w:bookmarkEnd w:id="108"/>
      <w:bookmarkEnd w:id="109"/>
      <w:bookmarkEnd w:id="110"/>
    </w:p>
    <w:p w14:paraId="2A922203" w14:textId="513C008A" w:rsidR="0078520B" w:rsidRDefault="002058D8" w:rsidP="0078520B">
      <w:pPr>
        <w:pStyle w:val="Sectionintro"/>
      </w:pPr>
      <w:r>
        <w:t xml:space="preserve">The Public Health and Wellbeing Regulations </w:t>
      </w:r>
      <w:r w:rsidR="00CC1DE4">
        <w:t xml:space="preserve">will sunset in December </w:t>
      </w:r>
      <w:r w:rsidR="00637C3B">
        <w:t>2020</w:t>
      </w:r>
      <w:r w:rsidR="00D02C76">
        <w:t xml:space="preserve"> and in order for them to be remade (either in their existing or an amended </w:t>
      </w:r>
      <w:r w:rsidR="00EF35DE">
        <w:t>form</w:t>
      </w:r>
      <w:r w:rsidR="009965A2">
        <w:t>)</w:t>
      </w:r>
      <w:r w:rsidR="00EF35DE">
        <w:t xml:space="preserve"> </w:t>
      </w:r>
      <w:r w:rsidR="00D02C76">
        <w:t xml:space="preserve">a Regulatory </w:t>
      </w:r>
      <w:r w:rsidR="00EF35DE">
        <w:t xml:space="preserve">Impact Statement (RIS) needs to be prepared. </w:t>
      </w:r>
      <w:r w:rsidR="0078520B" w:rsidRPr="006C312F">
        <w:t xml:space="preserve">This chapter </w:t>
      </w:r>
      <w:r w:rsidR="00F76028">
        <w:t>outlines the purpose of th</w:t>
      </w:r>
      <w:r w:rsidR="00FC1EBD">
        <w:t>is</w:t>
      </w:r>
      <w:r w:rsidR="00F76028">
        <w:t xml:space="preserve"> RIS,</w:t>
      </w:r>
      <w:r w:rsidR="0078520B" w:rsidRPr="006C312F">
        <w:t xml:space="preserve"> </w:t>
      </w:r>
      <w:r w:rsidR="00D41DF2">
        <w:t xml:space="preserve">the </w:t>
      </w:r>
      <w:r w:rsidR="00F76028">
        <w:t xml:space="preserve">background to the Regulations, and </w:t>
      </w:r>
      <w:r w:rsidR="004F5552">
        <w:t xml:space="preserve">how </w:t>
      </w:r>
      <w:r w:rsidR="00F76028">
        <w:t xml:space="preserve">the key steps in the RIS process </w:t>
      </w:r>
      <w:r w:rsidR="004F5552">
        <w:t xml:space="preserve">will be </w:t>
      </w:r>
      <w:r w:rsidR="00845048">
        <w:t xml:space="preserve">applied to the </w:t>
      </w:r>
      <w:r w:rsidR="008C5AB0">
        <w:t xml:space="preserve">review </w:t>
      </w:r>
      <w:r w:rsidR="00794541">
        <w:t xml:space="preserve">and remaking </w:t>
      </w:r>
      <w:r w:rsidR="008C5AB0">
        <w:t xml:space="preserve">of the </w:t>
      </w:r>
      <w:r w:rsidR="00845048">
        <w:t>Regulations</w:t>
      </w:r>
      <w:r w:rsidR="008C5AB0">
        <w:t>.</w:t>
      </w:r>
    </w:p>
    <w:p w14:paraId="36C95F14" w14:textId="44D5C5F0" w:rsidR="004E269C" w:rsidRDefault="0007608A" w:rsidP="0057031F">
      <w:pPr>
        <w:pStyle w:val="Heading2"/>
      </w:pPr>
      <w:bookmarkStart w:id="111" w:name="_Toc19092401"/>
      <w:bookmarkStart w:id="112" w:name="_Toc48638257"/>
      <w:bookmarkStart w:id="113" w:name="_Toc49460280"/>
      <w:r w:rsidRPr="0057031F">
        <w:t>Introduction</w:t>
      </w:r>
      <w:bookmarkEnd w:id="111"/>
      <w:bookmarkEnd w:id="112"/>
      <w:bookmarkEnd w:id="113"/>
    </w:p>
    <w:p w14:paraId="339320C9" w14:textId="77777777" w:rsidR="00807259" w:rsidRDefault="00807259" w:rsidP="00807259">
      <w:r>
        <w:t>People spend a lot of time in their residence, whether it is their home or temporary accommodation. In high income countries, people spend the majority (70%) of their time in their residence.</w:t>
      </w:r>
      <w:r>
        <w:rPr>
          <w:rStyle w:val="FootnoteReference"/>
        </w:rPr>
        <w:footnoteReference w:id="3"/>
      </w:r>
      <w:r>
        <w:t xml:space="preserve"> A residence provides a sense of belonging, security and privacy. The quality of the structure and facilities either enables or limits the enjoyment of good health and access to opportunities that support health, like education, employment and social connection. For this reason, housing should be structurally sound, provide adequate space, be equipped with clean facilities and protect occupants from pollutants and hazards like mould and pests.</w:t>
      </w:r>
      <w:r>
        <w:rPr>
          <w:rStyle w:val="FootnoteReference"/>
        </w:rPr>
        <w:footnoteReference w:id="4"/>
      </w:r>
      <w:r>
        <w:t xml:space="preserve">  </w:t>
      </w:r>
    </w:p>
    <w:p w14:paraId="1C6182B0" w14:textId="38804C3F" w:rsidR="00617E33" w:rsidRDefault="00617E33" w:rsidP="00EE4646">
      <w:pPr>
        <w:rPr>
          <w:rFonts w:ascii="Times New Roman" w:hAnsi="Times New Roman" w:cs="Times New Roman"/>
          <w:sz w:val="24"/>
          <w:szCs w:val="24"/>
          <w:lang w:eastAsia="en-AU"/>
        </w:rPr>
      </w:pPr>
      <w:r w:rsidRPr="00617E33">
        <w:rPr>
          <w:bCs/>
        </w:rPr>
        <w:t xml:space="preserve">The </w:t>
      </w:r>
      <w:r w:rsidR="004E269C">
        <w:t xml:space="preserve">Public Health and Wellbeing </w:t>
      </w:r>
      <w:r w:rsidRPr="00617E33">
        <w:rPr>
          <w:bCs/>
        </w:rPr>
        <w:t xml:space="preserve">(Prescribed Accommodation) </w:t>
      </w:r>
      <w:r w:rsidR="004E269C">
        <w:t>Regulations 2009 (the Regulations)</w:t>
      </w:r>
      <w:r w:rsidR="00B8722D">
        <w:t xml:space="preserve"> </w:t>
      </w:r>
      <w:r w:rsidR="00A46EC1">
        <w:t xml:space="preserve">are </w:t>
      </w:r>
      <w:r w:rsidRPr="00617E33">
        <w:rPr>
          <w:bCs/>
        </w:rPr>
        <w:t>aimed at ensuring</w:t>
      </w:r>
      <w:r w:rsidR="00A46EC1">
        <w:t xml:space="preserve"> </w:t>
      </w:r>
      <w:r w:rsidR="006B0483">
        <w:t xml:space="preserve">Victorians </w:t>
      </w:r>
      <w:r w:rsidR="00072AAD">
        <w:t xml:space="preserve">are not exposed to public health risks while staying in </w:t>
      </w:r>
      <w:r w:rsidR="00A42900">
        <w:t xml:space="preserve">certain </w:t>
      </w:r>
      <w:r w:rsidR="00DD169B">
        <w:t>‘</w:t>
      </w:r>
      <w:r w:rsidR="00145520">
        <w:t>prescribed</w:t>
      </w:r>
      <w:r w:rsidR="000D1264">
        <w:t xml:space="preserve"> accommodation</w:t>
      </w:r>
      <w:r w:rsidR="00DD169B">
        <w:t>’</w:t>
      </w:r>
      <w:r w:rsidR="00DD5DAF">
        <w:t xml:space="preserve">.  </w:t>
      </w:r>
    </w:p>
    <w:p w14:paraId="4E9EF86F" w14:textId="510B1997" w:rsidR="002E4515" w:rsidRDefault="00DD5DAF" w:rsidP="002E4515">
      <w:r>
        <w:t xml:space="preserve">The Regulations </w:t>
      </w:r>
      <w:r w:rsidR="006D0201">
        <w:t xml:space="preserve">prescribe the following classes of </w:t>
      </w:r>
      <w:r w:rsidR="00D16CF8">
        <w:t>accommodation</w:t>
      </w:r>
      <w:r w:rsidR="002E4515">
        <w:t xml:space="preserve"> </w:t>
      </w:r>
      <w:r w:rsidR="006D0201">
        <w:t>to be prescribed</w:t>
      </w:r>
      <w:r w:rsidR="002E4515">
        <w:t xml:space="preserve"> accommodation </w:t>
      </w:r>
      <w:r w:rsidR="006D0201">
        <w:t xml:space="preserve">for the purposes of the </w:t>
      </w:r>
      <w:r w:rsidR="00A3341B">
        <w:t>PHWA</w:t>
      </w:r>
      <w:r w:rsidR="006D0201">
        <w:t>:</w:t>
      </w:r>
    </w:p>
    <w:p w14:paraId="43ADA1F3" w14:textId="6161BFED" w:rsidR="002E4515" w:rsidRPr="00012314" w:rsidRDefault="002E4515" w:rsidP="00012314">
      <w:pPr>
        <w:pStyle w:val="ListBullet"/>
      </w:pPr>
      <w:r w:rsidRPr="00012314">
        <w:t>Hotels and motels</w:t>
      </w:r>
    </w:p>
    <w:p w14:paraId="772AC921" w14:textId="4E745944" w:rsidR="002E4515" w:rsidRPr="00012314" w:rsidRDefault="002E4515" w:rsidP="00012314">
      <w:pPr>
        <w:pStyle w:val="ListBullet"/>
      </w:pPr>
      <w:r w:rsidRPr="00012314">
        <w:t>Hostels</w:t>
      </w:r>
    </w:p>
    <w:p w14:paraId="3F72FFBC" w14:textId="46B18AA6" w:rsidR="002E4515" w:rsidRPr="00012314" w:rsidRDefault="002E4515" w:rsidP="00012314">
      <w:pPr>
        <w:pStyle w:val="ListBullet"/>
      </w:pPr>
      <w:r w:rsidRPr="00012314">
        <w:t>Student dormitories</w:t>
      </w:r>
    </w:p>
    <w:p w14:paraId="39C995CE" w14:textId="1993A12C" w:rsidR="002E4515" w:rsidRPr="00012314" w:rsidRDefault="002E4515" w:rsidP="00012314">
      <w:pPr>
        <w:pStyle w:val="ListBullet"/>
      </w:pPr>
      <w:r w:rsidRPr="00012314">
        <w:t>Holiday camps</w:t>
      </w:r>
    </w:p>
    <w:p w14:paraId="0584D6C2" w14:textId="7FDB2A9B" w:rsidR="002E4515" w:rsidRPr="00012314" w:rsidRDefault="002E4515" w:rsidP="00012314">
      <w:pPr>
        <w:pStyle w:val="ListBullet"/>
      </w:pPr>
      <w:r w:rsidRPr="00012314">
        <w:t>Rooming houses</w:t>
      </w:r>
    </w:p>
    <w:p w14:paraId="542F7890" w14:textId="23C6A42C" w:rsidR="002E4515" w:rsidRDefault="006D0201" w:rsidP="00012314">
      <w:pPr>
        <w:pStyle w:val="ListBullet"/>
      </w:pPr>
      <w:r>
        <w:t>R</w:t>
      </w:r>
      <w:r w:rsidRPr="00012314">
        <w:t>esidential</w:t>
      </w:r>
      <w:r>
        <w:t xml:space="preserve"> </w:t>
      </w:r>
      <w:r w:rsidR="002E4515">
        <w:t>accommodation</w:t>
      </w:r>
      <w:r>
        <w:t xml:space="preserve"> (certain forms)</w:t>
      </w:r>
      <w:r w:rsidR="002E4515">
        <w:t xml:space="preserve">. </w:t>
      </w:r>
    </w:p>
    <w:p w14:paraId="3C310CF8" w14:textId="65F35C33" w:rsidR="002E4515" w:rsidRPr="00684CAA" w:rsidRDefault="002E4515" w:rsidP="002E4515">
      <w:r>
        <w:t xml:space="preserve">The Regulations </w:t>
      </w:r>
      <w:r w:rsidR="00FC6630">
        <w:t xml:space="preserve">are made pursuant to the </w:t>
      </w:r>
      <w:r w:rsidR="00A3341B">
        <w:t>PHWA</w:t>
      </w:r>
      <w:r w:rsidR="00FC6630">
        <w:t xml:space="preserve"> and</w:t>
      </w:r>
      <w:r>
        <w:t xml:space="preserve"> require prescribed accommodation </w:t>
      </w:r>
      <w:r w:rsidRPr="00684CAA">
        <w:t xml:space="preserve">providers to minimise public health risks associated with shared use of facilities, </w:t>
      </w:r>
      <w:r w:rsidR="00A3341B">
        <w:t xml:space="preserve">and/or </w:t>
      </w:r>
      <w:r w:rsidRPr="00684CAA">
        <w:t>high turnover of occupants by meeting</w:t>
      </w:r>
      <w:r w:rsidR="00684CAA" w:rsidRPr="00684CAA">
        <w:t xml:space="preserve"> cleanliness, </w:t>
      </w:r>
      <w:r w:rsidRPr="00684CAA">
        <w:t>hygiene</w:t>
      </w:r>
      <w:r w:rsidR="006D0201">
        <w:t>,</w:t>
      </w:r>
      <w:r w:rsidRPr="00684CAA">
        <w:t xml:space="preserve"> maintenance</w:t>
      </w:r>
      <w:r w:rsidR="006D0201">
        <w:t xml:space="preserve"> </w:t>
      </w:r>
      <w:r w:rsidRPr="00684CAA">
        <w:t>standards</w:t>
      </w:r>
      <w:r w:rsidR="00A3341B">
        <w:t>, and standards to prevent overcrowding</w:t>
      </w:r>
      <w:r w:rsidRPr="00684CAA">
        <w:t xml:space="preserve">. </w:t>
      </w:r>
    </w:p>
    <w:p w14:paraId="40CB6C12" w14:textId="628C8AB8" w:rsidR="002E4515" w:rsidRPr="004A6587" w:rsidRDefault="00617E33" w:rsidP="006708D7">
      <w:r w:rsidRPr="00684CAA">
        <w:rPr>
          <w:bCs/>
        </w:rPr>
        <w:t xml:space="preserve">Specifically, the Regulations </w:t>
      </w:r>
      <w:r w:rsidR="00807259">
        <w:rPr>
          <w:bCs/>
        </w:rPr>
        <w:t>aim</w:t>
      </w:r>
      <w:r w:rsidRPr="00684CAA">
        <w:t xml:space="preserve"> </w:t>
      </w:r>
      <w:r w:rsidR="00807259">
        <w:t xml:space="preserve">to </w:t>
      </w:r>
      <w:r w:rsidR="002E4515" w:rsidRPr="00684CAA">
        <w:t xml:space="preserve">protect the standard of health for </w:t>
      </w:r>
      <w:r w:rsidR="00807259">
        <w:t>users of prescribed accommodation</w:t>
      </w:r>
      <w:r w:rsidR="002E4515" w:rsidRPr="004A6587">
        <w:t xml:space="preserve">.  </w:t>
      </w:r>
    </w:p>
    <w:p w14:paraId="0E8B7682" w14:textId="3721897F" w:rsidR="006876CD" w:rsidRPr="00B67935" w:rsidRDefault="00617E33" w:rsidP="002E4515">
      <w:r w:rsidRPr="00B67935">
        <w:rPr>
          <w:bCs/>
        </w:rPr>
        <w:t>Requiring minimum standards</w:t>
      </w:r>
      <w:r w:rsidR="0088102B">
        <w:rPr>
          <w:bCs/>
        </w:rPr>
        <w:t xml:space="preserve">, </w:t>
      </w:r>
      <w:r w:rsidRPr="00B67935">
        <w:rPr>
          <w:bCs/>
        </w:rPr>
        <w:t>cleanliness and hygiene particularly within shared facilities, and standards that prevent overcrowding</w:t>
      </w:r>
      <w:r w:rsidR="0098071C" w:rsidRPr="009A4BB2">
        <w:t>, is</w:t>
      </w:r>
      <w:r w:rsidRPr="004A6587">
        <w:t xml:space="preserve"> highly relevant in the context of the coronavirus (COVID-19) outbreak</w:t>
      </w:r>
      <w:r w:rsidR="00C13809">
        <w:t>.</w:t>
      </w:r>
    </w:p>
    <w:p w14:paraId="381ECA0B" w14:textId="3072C62A" w:rsidR="001B151F" w:rsidRDefault="00617E33" w:rsidP="00617E33">
      <w:r>
        <w:lastRenderedPageBreak/>
        <w:t>The Regulations</w:t>
      </w:r>
      <w:r w:rsidR="00A078AD">
        <w:t xml:space="preserve"> </w:t>
      </w:r>
      <w:r w:rsidR="00A078AD" w:rsidRPr="00A078AD">
        <w:t xml:space="preserve">were previously part of the </w:t>
      </w:r>
      <w:r w:rsidR="00C85E04">
        <w:rPr>
          <w:rFonts w:eastAsia="Times New Roman"/>
        </w:rPr>
        <w:t>Public Health and Wellbeing Regulations 2009</w:t>
      </w:r>
      <w:r w:rsidR="00A078AD">
        <w:t>,</w:t>
      </w:r>
      <w:r>
        <w:t xml:space="preserve"> </w:t>
      </w:r>
      <w:r w:rsidR="00A078AD">
        <w:t xml:space="preserve">and </w:t>
      </w:r>
      <w:r>
        <w:t xml:space="preserve">were originally </w:t>
      </w:r>
      <w:r w:rsidR="00B243F7">
        <w:t xml:space="preserve">due </w:t>
      </w:r>
      <w:r>
        <w:t xml:space="preserve">to sunset </w:t>
      </w:r>
      <w:r w:rsidR="00B243F7">
        <w:t>i</w:t>
      </w:r>
      <w:r>
        <w:t xml:space="preserve">n December 2019. </w:t>
      </w:r>
      <w:r w:rsidR="00A078AD">
        <w:t xml:space="preserve">They were </w:t>
      </w:r>
      <w:r w:rsidR="00A078AD" w:rsidRPr="00A078AD">
        <w:t xml:space="preserve">separated out </w:t>
      </w:r>
      <w:r w:rsidR="00A078AD">
        <w:t xml:space="preserve">from the remade Public Health and Wellbeing Regulations 2019, and </w:t>
      </w:r>
      <w:r w:rsidR="00B243F7">
        <w:t xml:space="preserve">extended </w:t>
      </w:r>
      <w:r w:rsidR="00A078AD">
        <w:t xml:space="preserve">as the stand alone Public Health and Wellbeing (Prescribed Accommodation) Regulations 2009 for a period of 12 months. </w:t>
      </w:r>
      <w:r>
        <w:t xml:space="preserve">The </w:t>
      </w:r>
      <w:r w:rsidR="00A078AD">
        <w:t>extension</w:t>
      </w:r>
      <w:r>
        <w:t xml:space="preserve"> until 14 December 2020 </w:t>
      </w:r>
      <w:r w:rsidR="00A078AD">
        <w:t xml:space="preserve">was </w:t>
      </w:r>
      <w:r>
        <w:t xml:space="preserve">to enable completion of a number of cross portfolio reviews that interface with prescribed accommodation and consideration of those reviews in making new regulations. The Regulations include definitions that are relied upon, shared with or relate to other legislative schemes across a number of portfolios. </w:t>
      </w:r>
    </w:p>
    <w:p w14:paraId="5F23BCB1" w14:textId="4342D232" w:rsidR="00617E33" w:rsidRDefault="00617E33" w:rsidP="00617E33">
      <w:r>
        <w:t xml:space="preserve">While the prescribed accommodation provisions of the </w:t>
      </w:r>
      <w:r w:rsidR="00A078AD">
        <w:t xml:space="preserve">PHWA </w:t>
      </w:r>
      <w:r>
        <w:t xml:space="preserve">and the Regulations address </w:t>
      </w:r>
      <w:r w:rsidR="00A078AD">
        <w:t xml:space="preserve">health and wellbeing risks such as </w:t>
      </w:r>
      <w:r>
        <w:t xml:space="preserve">the risk of infectious disease transmission associated with the provision of </w:t>
      </w:r>
      <w:r w:rsidR="00A078AD">
        <w:t xml:space="preserve">prescribed </w:t>
      </w:r>
      <w:r>
        <w:t>accommodation, other legal frameworks govern other matters relevant to prescribed accommodation, such as the construction of these premises (building and planning law), and the relationship between accommodation providers and those being accommodated (e.g. the RTA and the Rooming House Operators Act 2016 (Rooming House Operators Act)</w:t>
      </w:r>
      <w:r w:rsidR="002145DF">
        <w:t>)</w:t>
      </w:r>
      <w:r>
        <w:t xml:space="preserve">. The extension for 12 months was intended to allow for the development of ‘fit for purpose’ definitions across the broader regulatory framework relating to prescribed accommodation, taking into account the recommendations of the various cross portfolio reviews.   </w:t>
      </w:r>
    </w:p>
    <w:p w14:paraId="33211F48" w14:textId="1B8AB1B6" w:rsidR="00A235F1" w:rsidRPr="007A36C9" w:rsidRDefault="00F47FB3" w:rsidP="002E4515">
      <w:r>
        <w:t>The Department of Health and Human Services (</w:t>
      </w:r>
      <w:r w:rsidR="008F11D8">
        <w:t>DHHS</w:t>
      </w:r>
      <w:r>
        <w:t>)</w:t>
      </w:r>
      <w:r w:rsidR="008F11D8">
        <w:t xml:space="preserve"> </w:t>
      </w:r>
      <w:r w:rsidR="00493998" w:rsidRPr="007A36C9">
        <w:t xml:space="preserve">has engaged Deloitte Access Economics to prepare </w:t>
      </w:r>
      <w:r w:rsidR="00521EFF">
        <w:t xml:space="preserve">this </w:t>
      </w:r>
      <w:r w:rsidR="00AE3B83">
        <w:t>RIS</w:t>
      </w:r>
      <w:r w:rsidR="00493998" w:rsidRPr="007A36C9">
        <w:t xml:space="preserve"> in accordance with</w:t>
      </w:r>
      <w:r w:rsidR="002C3B98">
        <w:t xml:space="preserve"> </w:t>
      </w:r>
      <w:r w:rsidR="002366E6">
        <w:t>Better Regulation Victoria’s (BRV’s)</w:t>
      </w:r>
      <w:r w:rsidR="002366E6" w:rsidRPr="007A36C9">
        <w:t xml:space="preserve"> </w:t>
      </w:r>
      <w:r w:rsidR="00493998">
        <w:t>Victorian</w:t>
      </w:r>
      <w:r w:rsidR="00493998" w:rsidRPr="007A36C9">
        <w:t xml:space="preserve"> Guide to Regulation</w:t>
      </w:r>
      <w:r w:rsidR="00E227E5">
        <w:t xml:space="preserve"> (2016)</w:t>
      </w:r>
      <w:r w:rsidR="00493998" w:rsidRPr="007A36C9">
        <w:t xml:space="preserve"> and the </w:t>
      </w:r>
      <w:r w:rsidR="00493998" w:rsidRPr="00F0077F">
        <w:rPr>
          <w:i/>
        </w:rPr>
        <w:t>Subordinate Legislation Act 1994</w:t>
      </w:r>
      <w:r w:rsidR="00493998" w:rsidRPr="007A36C9">
        <w:t xml:space="preserve">. </w:t>
      </w:r>
      <w:r w:rsidR="003E4BEE">
        <w:t xml:space="preserve">This </w:t>
      </w:r>
      <w:r w:rsidR="00E227E5">
        <w:t xml:space="preserve">RIS </w:t>
      </w:r>
      <w:r w:rsidR="003E4BEE">
        <w:t xml:space="preserve">considers </w:t>
      </w:r>
      <w:r w:rsidR="00B24E02" w:rsidRPr="00C07963">
        <w:t xml:space="preserve">the impact of </w:t>
      </w:r>
      <w:r w:rsidR="00B24E02">
        <w:t xml:space="preserve">different options for </w:t>
      </w:r>
      <w:r w:rsidR="00B24E02" w:rsidRPr="00C07963">
        <w:t>replac</w:t>
      </w:r>
      <w:r w:rsidR="00B24E02">
        <w:t>ing</w:t>
      </w:r>
      <w:r w:rsidR="00B24E02" w:rsidRPr="00C07963">
        <w:t xml:space="preserve"> the sunsetting </w:t>
      </w:r>
      <w:r w:rsidR="00F938D9">
        <w:t>R</w:t>
      </w:r>
      <w:r w:rsidR="00F938D9" w:rsidRPr="00C07963">
        <w:t>egulations</w:t>
      </w:r>
      <w:r w:rsidR="003E4BEE">
        <w:t xml:space="preserve">. </w:t>
      </w:r>
      <w:r w:rsidR="00F76028" w:rsidRPr="007A36C9">
        <w:t xml:space="preserve">The rigorous assessment of regulatory proposals </w:t>
      </w:r>
      <w:r w:rsidR="003E4BEE">
        <w:t xml:space="preserve">within a RIS </w:t>
      </w:r>
      <w:r w:rsidR="00F76028" w:rsidRPr="007A36C9">
        <w:t xml:space="preserve">ensures </w:t>
      </w:r>
      <w:r w:rsidR="003E4BEE">
        <w:t xml:space="preserve">that </w:t>
      </w:r>
      <w:r w:rsidR="00F76028" w:rsidRPr="007A36C9">
        <w:t xml:space="preserve">regulation best serves the Victorian community. </w:t>
      </w:r>
      <w:r w:rsidR="005B3661" w:rsidRPr="007A36C9">
        <w:t>This RIS is</w:t>
      </w:r>
      <w:r w:rsidR="00F76028" w:rsidRPr="007A36C9">
        <w:t xml:space="preserve"> subject to independent assessment by</w:t>
      </w:r>
      <w:r w:rsidR="00F76028" w:rsidRPr="007A36C9" w:rsidDel="00A13A01">
        <w:t xml:space="preserve"> </w:t>
      </w:r>
      <w:r w:rsidR="00A13A01">
        <w:t>BRV</w:t>
      </w:r>
      <w:r w:rsidR="00F76028" w:rsidRPr="007A36C9">
        <w:t xml:space="preserve"> an</w:t>
      </w:r>
      <w:r w:rsidR="008F5809">
        <w:t>]</w:t>
      </w:r>
      <w:r w:rsidR="00F76028" w:rsidRPr="007A36C9">
        <w:t>d a public consultation process.</w:t>
      </w:r>
    </w:p>
    <w:p w14:paraId="2A92220A" w14:textId="28A75B2E" w:rsidR="00F76028" w:rsidRPr="007A36C9" w:rsidRDefault="00F76028" w:rsidP="000D0922">
      <w:pPr>
        <w:pStyle w:val="Heading2"/>
      </w:pPr>
      <w:bookmarkStart w:id="114" w:name="_Toc9366981"/>
      <w:bookmarkStart w:id="115" w:name="_Toc10111298"/>
      <w:bookmarkStart w:id="116" w:name="_Toc17892123"/>
      <w:bookmarkStart w:id="117" w:name="_Toc19092402"/>
      <w:bookmarkStart w:id="118" w:name="_Toc48638258"/>
      <w:bookmarkStart w:id="119" w:name="_Toc49460281"/>
      <w:r w:rsidRPr="007A36C9">
        <w:t>Legislative and regulatory framework</w:t>
      </w:r>
      <w:bookmarkEnd w:id="114"/>
      <w:bookmarkEnd w:id="115"/>
      <w:bookmarkEnd w:id="116"/>
      <w:bookmarkEnd w:id="117"/>
      <w:r w:rsidR="005D0DA8">
        <w:t xml:space="preserve"> in Victoria</w:t>
      </w:r>
      <w:bookmarkEnd w:id="118"/>
      <w:bookmarkEnd w:id="119"/>
    </w:p>
    <w:p w14:paraId="532777B5" w14:textId="5C5F7DD1" w:rsidR="009D4584" w:rsidRDefault="009D4584" w:rsidP="000A471E">
      <w:pPr>
        <w:pStyle w:val="Heading3"/>
      </w:pPr>
      <w:r>
        <w:t>Pres</w:t>
      </w:r>
      <w:r w:rsidR="00085EE9">
        <w:t>cribed acc</w:t>
      </w:r>
      <w:r w:rsidR="005272FB">
        <w:t>ommodation regulations</w:t>
      </w:r>
    </w:p>
    <w:p w14:paraId="01444A87" w14:textId="6159F561" w:rsidR="005C5801" w:rsidRDefault="005C5801" w:rsidP="005C5801">
      <w:pPr>
        <w:spacing w:after="120"/>
      </w:pPr>
      <w:r>
        <w:t xml:space="preserve">Prescribed accommodation regulations in Victoria date back to the </w:t>
      </w:r>
      <w:r w:rsidR="00765642">
        <w:t xml:space="preserve">mid to </w:t>
      </w:r>
      <w:r>
        <w:t xml:space="preserve">late 1800s when housing </w:t>
      </w:r>
      <w:r w:rsidR="00927CB9">
        <w:t>regulations</w:t>
      </w:r>
      <w:r>
        <w:t xml:space="preserve"> were </w:t>
      </w:r>
      <w:r w:rsidR="00927CB9">
        <w:t>introduced</w:t>
      </w:r>
      <w:r>
        <w:t xml:space="preserve"> in line with an emerging understanding of how infectious disease is spread and controlled.</w:t>
      </w:r>
      <w:r>
        <w:rPr>
          <w:rStyle w:val="FootnoteReference"/>
        </w:rPr>
        <w:footnoteReference w:id="5"/>
      </w:r>
      <w:r>
        <w:t xml:space="preserve"> The </w:t>
      </w:r>
      <w:r w:rsidRPr="007E437D">
        <w:rPr>
          <w:i/>
          <w:iCs/>
        </w:rPr>
        <w:t>Common Lodging-House Act (1854)</w:t>
      </w:r>
      <w:r>
        <w:t xml:space="preserve"> empowered local authorities to maintain a register of lodging houses accommodating temporary and long term patrons, and prescribe hygiene standards and occupation density limits for these sites.</w:t>
      </w:r>
      <w:r>
        <w:rPr>
          <w:rStyle w:val="FootnoteReference"/>
        </w:rPr>
        <w:footnoteReference w:id="6"/>
      </w:r>
      <w:r w:rsidR="007815DD">
        <w:t xml:space="preserve"> </w:t>
      </w:r>
      <w:r>
        <w:t>Further, the proprietor of each lodging house was required to record the names of paying guests and notify the authorities of any disease outbreaks.</w:t>
      </w:r>
      <w:r>
        <w:rPr>
          <w:rStyle w:val="FootnoteReference"/>
        </w:rPr>
        <w:footnoteReference w:id="7"/>
      </w:r>
    </w:p>
    <w:p w14:paraId="758FE980" w14:textId="5676F7B4" w:rsidR="009F6D09" w:rsidRPr="003D5412" w:rsidRDefault="005C5801" w:rsidP="005C5801">
      <w:pPr>
        <w:autoSpaceDE w:val="0"/>
        <w:autoSpaceDN w:val="0"/>
        <w:adjustRightInd w:val="0"/>
        <w:spacing w:after="0" w:line="240" w:lineRule="auto"/>
      </w:pPr>
      <w:r w:rsidRPr="00EB654B">
        <w:t xml:space="preserve">Today, </w:t>
      </w:r>
      <w:r w:rsidR="000D2F98">
        <w:t xml:space="preserve">the </w:t>
      </w:r>
      <w:r w:rsidRPr="00EB654B">
        <w:t xml:space="preserve">requirements </w:t>
      </w:r>
      <w:r w:rsidR="000D2F98">
        <w:t>imposed on</w:t>
      </w:r>
      <w:r w:rsidR="000D2F98" w:rsidRPr="00EB654B">
        <w:t xml:space="preserve"> </w:t>
      </w:r>
      <w:r w:rsidR="0057342F">
        <w:t xml:space="preserve">certain </w:t>
      </w:r>
      <w:r w:rsidRPr="00EB654B">
        <w:t>short and long-</w:t>
      </w:r>
      <w:r w:rsidRPr="003D5412">
        <w:t>term stay</w:t>
      </w:r>
      <w:r w:rsidR="0001396C" w:rsidRPr="003D5412">
        <w:t xml:space="preserve"> accommodation providers</w:t>
      </w:r>
      <w:r w:rsidRPr="003D5412">
        <w:t xml:space="preserve"> are outlined in the Regulations. The Regulations </w:t>
      </w:r>
      <w:r w:rsidR="004C7065" w:rsidRPr="003D5412">
        <w:t>support</w:t>
      </w:r>
      <w:r w:rsidRPr="003D5412">
        <w:t xml:space="preserve"> the </w:t>
      </w:r>
      <w:r w:rsidR="005F46A3" w:rsidRPr="003D5412">
        <w:t>PHWA</w:t>
      </w:r>
      <w:r w:rsidRPr="003D5412">
        <w:t xml:space="preserve">, </w:t>
      </w:r>
      <w:r w:rsidR="009F6D09" w:rsidRPr="003D5412">
        <w:t>the objective of which is to achieve the highest attainable standard of public health and wellbeing by</w:t>
      </w:r>
      <w:r w:rsidR="00CE7FB5" w:rsidRPr="003D5412">
        <w:t>:</w:t>
      </w:r>
    </w:p>
    <w:p w14:paraId="00FE3D09" w14:textId="41650BC3" w:rsidR="00E014A3" w:rsidRPr="00D97513" w:rsidRDefault="00900C5A" w:rsidP="00D97513">
      <w:pPr>
        <w:pStyle w:val="ListBullet"/>
      </w:pPr>
      <w:r w:rsidRPr="00D97513">
        <w:t>P</w:t>
      </w:r>
      <w:r w:rsidR="009F6D09" w:rsidRPr="00D97513">
        <w:t>rotecting public health and preventing disease, illness, injury, disability or premature death</w:t>
      </w:r>
    </w:p>
    <w:p w14:paraId="4E153051" w14:textId="5D56BFFA" w:rsidR="009F6D09" w:rsidRPr="00D97513" w:rsidRDefault="00900C5A" w:rsidP="00D97513">
      <w:pPr>
        <w:pStyle w:val="ListBullet"/>
      </w:pPr>
      <w:r w:rsidRPr="00D97513">
        <w:t>P</w:t>
      </w:r>
      <w:r w:rsidR="009F6D09" w:rsidRPr="00D97513">
        <w:t>romoting conditions in which persons can be healthy</w:t>
      </w:r>
    </w:p>
    <w:p w14:paraId="18ADED04" w14:textId="4D6E5DE6" w:rsidR="009F6D09" w:rsidRPr="0097594E" w:rsidRDefault="00900C5A" w:rsidP="00D97513">
      <w:pPr>
        <w:pStyle w:val="ListBullet"/>
      </w:pPr>
      <w:r w:rsidRPr="00D97513">
        <w:t>R</w:t>
      </w:r>
      <w:r w:rsidR="009F6D09" w:rsidRPr="00D97513">
        <w:t>educing</w:t>
      </w:r>
      <w:r w:rsidR="009F6D09" w:rsidRPr="003F7F2D">
        <w:t xml:space="preserve"> inequalities in the state of public health and wellbeing</w:t>
      </w:r>
      <w:r w:rsidR="005C5801" w:rsidRPr="0097594E">
        <w:t xml:space="preserve">. </w:t>
      </w:r>
    </w:p>
    <w:p w14:paraId="06F4492F" w14:textId="77777777" w:rsidR="009F6D09" w:rsidRPr="003D5412" w:rsidRDefault="009F6D09" w:rsidP="005C5801">
      <w:pPr>
        <w:autoSpaceDE w:val="0"/>
        <w:autoSpaceDN w:val="0"/>
        <w:adjustRightInd w:val="0"/>
        <w:spacing w:after="0" w:line="240" w:lineRule="auto"/>
      </w:pPr>
    </w:p>
    <w:p w14:paraId="33EBD8E9" w14:textId="70E0E1F2" w:rsidR="005C5801" w:rsidRPr="003D5412" w:rsidRDefault="005C5801" w:rsidP="005C5801">
      <w:pPr>
        <w:autoSpaceDE w:val="0"/>
        <w:autoSpaceDN w:val="0"/>
        <w:adjustRightInd w:val="0"/>
        <w:spacing w:after="0" w:line="240" w:lineRule="auto"/>
      </w:pPr>
      <w:r w:rsidRPr="003D5412">
        <w:t xml:space="preserve">In relation to prescribed accommodation, the </w:t>
      </w:r>
      <w:r w:rsidR="00EF5FFA" w:rsidRPr="003D5412">
        <w:t>PHWA</w:t>
      </w:r>
      <w:r w:rsidRPr="003D5412">
        <w:t>:</w:t>
      </w:r>
    </w:p>
    <w:p w14:paraId="297DB93A" w14:textId="57D89192" w:rsidR="006876CD" w:rsidRPr="00FA4F49" w:rsidRDefault="00617E33" w:rsidP="00FA4F49">
      <w:pPr>
        <w:pStyle w:val="ListBullet"/>
        <w:numPr>
          <w:ilvl w:val="0"/>
          <w:numId w:val="87"/>
        </w:numPr>
        <w:spacing w:after="0"/>
        <w:rPr>
          <w:b/>
          <w:bCs/>
        </w:rPr>
      </w:pPr>
      <w:r w:rsidRPr="00FA4F49">
        <w:rPr>
          <w:b/>
          <w:bCs/>
        </w:rPr>
        <w:t>Defines prescribed accommodation</w:t>
      </w:r>
      <w:r w:rsidR="009511C7">
        <w:rPr>
          <w:b/>
          <w:bCs/>
        </w:rPr>
        <w:t xml:space="preserve"> </w:t>
      </w:r>
      <w:r w:rsidR="009511C7">
        <w:t>as accommodation prescribed within the following</w:t>
      </w:r>
      <w:r>
        <w:t xml:space="preserve"> three broad</w:t>
      </w:r>
      <w:r w:rsidR="00FA4F49">
        <w:t xml:space="preserve"> </w:t>
      </w:r>
      <w:r>
        <w:t>classes:</w:t>
      </w:r>
    </w:p>
    <w:p w14:paraId="253239D4" w14:textId="31CA74C8" w:rsidR="00E71201" w:rsidRDefault="00980420" w:rsidP="00D305A0">
      <w:pPr>
        <w:pStyle w:val="ListNumber"/>
        <w:numPr>
          <w:ilvl w:val="0"/>
          <w:numId w:val="20"/>
        </w:numPr>
      </w:pPr>
      <w:r>
        <w:t>A</w:t>
      </w:r>
      <w:r w:rsidR="00E71201">
        <w:t xml:space="preserve">ny area of land which a person or persons are frequently, intermittently or seasonally permitted to use for camping </w:t>
      </w:r>
      <w:r w:rsidR="00D305A0">
        <w:t xml:space="preserve">on payment of consideration </w:t>
      </w:r>
      <w:r w:rsidR="00E71201">
        <w:t>and any facilities provided on the land for the use of that person or those persons</w:t>
      </w:r>
      <w:r w:rsidR="00D305A0">
        <w:t>.</w:t>
      </w:r>
    </w:p>
    <w:p w14:paraId="291161A3" w14:textId="1AFAB3A2" w:rsidR="00E71201" w:rsidRDefault="00980420" w:rsidP="00C16490">
      <w:pPr>
        <w:pStyle w:val="ListNumber"/>
        <w:numPr>
          <w:ilvl w:val="0"/>
          <w:numId w:val="20"/>
        </w:numPr>
      </w:pPr>
      <w:r>
        <w:t>A</w:t>
      </w:r>
      <w:r w:rsidR="00E71201" w:rsidRPr="00425C87">
        <w:t>ny premises used as a place of abode, whether temporary or permanent, fixed or mobile, where a person or persons can be accommodated on payment of consideration</w:t>
      </w:r>
      <w:r w:rsidR="00D305A0">
        <w:t>.</w:t>
      </w:r>
    </w:p>
    <w:p w14:paraId="6FAB5E2E" w14:textId="0C151D7F" w:rsidR="00E71201" w:rsidRDefault="00980420" w:rsidP="00C16490">
      <w:pPr>
        <w:pStyle w:val="ListNumber"/>
        <w:numPr>
          <w:ilvl w:val="0"/>
          <w:numId w:val="20"/>
        </w:numPr>
      </w:pPr>
      <w:r>
        <w:lastRenderedPageBreak/>
        <w:t>A</w:t>
      </w:r>
      <w:r w:rsidR="00E71201" w:rsidRPr="00425C87">
        <w:t>ny accommodation provided to an employee in accordance with a term of an award governing the employment of the employee, or a term of the employee's contract of service, for use by the employee during that employment or service</w:t>
      </w:r>
      <w:r w:rsidR="00E71201">
        <w:t>.</w:t>
      </w:r>
    </w:p>
    <w:p w14:paraId="1DF6D58F" w14:textId="64B6072E" w:rsidR="005C5801" w:rsidRDefault="005C5801" w:rsidP="005E5709">
      <w:pPr>
        <w:pStyle w:val="ListBullet"/>
        <w:numPr>
          <w:ilvl w:val="0"/>
          <w:numId w:val="87"/>
        </w:numPr>
      </w:pPr>
      <w:r>
        <w:rPr>
          <w:b/>
          <w:bCs/>
        </w:rPr>
        <w:t>S</w:t>
      </w:r>
      <w:r w:rsidRPr="00B92F7B">
        <w:rPr>
          <w:b/>
          <w:bCs/>
        </w:rPr>
        <w:t>pecifies the basic components of the registration system</w:t>
      </w:r>
      <w:r>
        <w:t xml:space="preserve"> to be maintained by local municipal councils and requires proprietors to register their site, accordingly. Specifically, the system must note details of the issue, transfer or renewal of registration for prescribed accommodation, as well as the fees payable. In addition, councils must provide details required for the Rooming House Register, as outlined in the </w:t>
      </w:r>
      <w:r w:rsidR="00E946E9" w:rsidRPr="00B76138">
        <w:t>RTA</w:t>
      </w:r>
      <w:r>
        <w:t>.</w:t>
      </w:r>
    </w:p>
    <w:p w14:paraId="216B892C" w14:textId="1A595D3A" w:rsidR="005C5801" w:rsidRDefault="005C5801" w:rsidP="005E5709">
      <w:pPr>
        <w:pStyle w:val="ListBullet"/>
        <w:numPr>
          <w:ilvl w:val="0"/>
          <w:numId w:val="87"/>
        </w:numPr>
      </w:pPr>
      <w:r w:rsidRPr="008609B5">
        <w:rPr>
          <w:b/>
          <w:bCs/>
        </w:rPr>
        <w:t>Gives power to local municipal councils</w:t>
      </w:r>
      <w:r>
        <w:t xml:space="preserve"> to conditionally approve requests for registration, inspect registered premises, solicit information from the proprietor, and require reasonable improvements to the facilities.</w:t>
      </w:r>
      <w:r w:rsidR="00442BE5">
        <w:rPr>
          <w:rStyle w:val="FootnoteReference"/>
        </w:rPr>
        <w:footnoteReference w:id="8"/>
      </w:r>
      <w:r>
        <w:t xml:space="preserve"> </w:t>
      </w:r>
    </w:p>
    <w:p w14:paraId="49854DBC" w14:textId="3FABABB6" w:rsidR="00472FC1" w:rsidRDefault="005C5801" w:rsidP="005C5801">
      <w:pPr>
        <w:autoSpaceDE w:val="0"/>
        <w:autoSpaceDN w:val="0"/>
        <w:adjustRightInd w:val="0"/>
        <w:spacing w:after="0" w:line="240" w:lineRule="auto"/>
      </w:pPr>
      <w:r w:rsidRPr="00EB654B">
        <w:t xml:space="preserve">The </w:t>
      </w:r>
      <w:r>
        <w:t>Regulations</w:t>
      </w:r>
      <w:r w:rsidRPr="00EB654B">
        <w:t xml:space="preserve"> </w:t>
      </w:r>
      <w:r w:rsidR="003D7867">
        <w:t>specify</w:t>
      </w:r>
      <w:r w:rsidR="003D7867" w:rsidRPr="00EB654B">
        <w:t xml:space="preserve"> </w:t>
      </w:r>
      <w:r w:rsidRPr="00EB654B">
        <w:t xml:space="preserve">which premises are and are not required to be </w:t>
      </w:r>
      <w:r w:rsidR="00777A8B">
        <w:t>comply with</w:t>
      </w:r>
      <w:r w:rsidRPr="00EB654B">
        <w:t xml:space="preserve"> </w:t>
      </w:r>
      <w:r>
        <w:t xml:space="preserve">prescribed accommodation </w:t>
      </w:r>
      <w:r w:rsidRPr="00EB654B">
        <w:t>standards</w:t>
      </w:r>
      <w:r w:rsidR="00795E8D">
        <w:t xml:space="preserve"> (see </w:t>
      </w:r>
      <w:r w:rsidR="00477A4C">
        <w:fldChar w:fldCharType="begin"/>
      </w:r>
      <w:r w:rsidR="00477A4C">
        <w:instrText xml:space="preserve"> REF _Ref47360887 \h </w:instrText>
      </w:r>
      <w:r w:rsidR="00477A4C">
        <w:fldChar w:fldCharType="separate"/>
      </w:r>
      <w:r w:rsidR="00795309">
        <w:t xml:space="preserve">Table </w:t>
      </w:r>
      <w:r w:rsidR="00795309">
        <w:rPr>
          <w:noProof/>
        </w:rPr>
        <w:t>1</w:t>
      </w:r>
      <w:r w:rsidR="00795309">
        <w:noBreakHyphen/>
      </w:r>
      <w:r w:rsidR="00795309">
        <w:rPr>
          <w:noProof/>
        </w:rPr>
        <w:t>1</w:t>
      </w:r>
      <w:r w:rsidR="00477A4C">
        <w:fldChar w:fldCharType="end"/>
      </w:r>
      <w:r w:rsidR="00276161">
        <w:t>, below)</w:t>
      </w:r>
      <w:r w:rsidRPr="00EB654B">
        <w:t>.</w:t>
      </w:r>
    </w:p>
    <w:p w14:paraId="3A97B4E5" w14:textId="23F58D28" w:rsidR="00276161" w:rsidRDefault="00276161" w:rsidP="00276161">
      <w:pPr>
        <w:pStyle w:val="Caption"/>
      </w:pPr>
      <w:bookmarkStart w:id="120" w:name="_Ref47360887"/>
      <w:r>
        <w:t xml:space="preserve">Table </w:t>
      </w:r>
      <w:r w:rsidR="004335F8">
        <w:fldChar w:fldCharType="begin"/>
      </w:r>
      <w:r w:rsidR="004335F8">
        <w:instrText xml:space="preserve"> STYLEREF 1 \s </w:instrText>
      </w:r>
      <w:r w:rsidR="004335F8">
        <w:fldChar w:fldCharType="separate"/>
      </w:r>
      <w:r w:rsidR="00795309">
        <w:rPr>
          <w:noProof/>
        </w:rPr>
        <w:t>1</w:t>
      </w:r>
      <w:r w:rsidR="004335F8">
        <w:fldChar w:fldCharType="end"/>
      </w:r>
      <w:r w:rsidR="004335F8">
        <w:noBreakHyphen/>
      </w:r>
      <w:r w:rsidR="004335F8">
        <w:fldChar w:fldCharType="begin"/>
      </w:r>
      <w:r w:rsidR="004335F8">
        <w:instrText xml:space="preserve"> SEQ Table \* ARABIC \s 1 </w:instrText>
      </w:r>
      <w:r w:rsidR="004335F8">
        <w:fldChar w:fldCharType="separate"/>
      </w:r>
      <w:r w:rsidR="00795309">
        <w:rPr>
          <w:noProof/>
        </w:rPr>
        <w:t>1</w:t>
      </w:r>
      <w:r w:rsidR="004335F8">
        <w:fldChar w:fldCharType="end"/>
      </w:r>
      <w:bookmarkEnd w:id="120"/>
      <w:r>
        <w:t xml:space="preserve"> </w:t>
      </w:r>
      <w:r w:rsidR="00E3310F">
        <w:t xml:space="preserve">Prescribed accommodation </w:t>
      </w:r>
      <w:r w:rsidR="00901650">
        <w:t>and exemptions</w:t>
      </w:r>
    </w:p>
    <w:tbl>
      <w:tblPr>
        <w:tblStyle w:val="Deloittetable"/>
        <w:tblW w:w="4947" w:type="pct"/>
        <w:tblLook w:val="04A0" w:firstRow="1" w:lastRow="0" w:firstColumn="1" w:lastColumn="0" w:noHBand="0" w:noVBand="1"/>
      </w:tblPr>
      <w:tblGrid>
        <w:gridCol w:w="3118"/>
        <w:gridCol w:w="5812"/>
      </w:tblGrid>
      <w:tr w:rsidR="00472FC1" w:rsidRPr="00806743" w14:paraId="23DC5C96" w14:textId="77777777" w:rsidTr="00F0077F">
        <w:trPr>
          <w:cnfStyle w:val="100000000000" w:firstRow="1" w:lastRow="0" w:firstColumn="0" w:lastColumn="0" w:oddVBand="0" w:evenVBand="0" w:oddHBand="0" w:evenHBand="0" w:firstRowFirstColumn="0" w:firstRowLastColumn="0" w:lastRowFirstColumn="0" w:lastRowLastColumn="0"/>
        </w:trPr>
        <w:tc>
          <w:tcPr>
            <w:tcW w:w="1746" w:type="pct"/>
          </w:tcPr>
          <w:p w14:paraId="5CAE0F41" w14:textId="0A0326EE" w:rsidR="00472FC1" w:rsidRPr="00392D56" w:rsidRDefault="00612E08" w:rsidP="00BF761E">
            <w:pPr>
              <w:pStyle w:val="TabletextLeft"/>
              <w:rPr>
                <w:rFonts w:asciiTheme="majorHAnsi" w:hAnsiTheme="majorHAnsi"/>
                <w:b/>
                <w:szCs w:val="17"/>
              </w:rPr>
            </w:pPr>
            <w:r>
              <w:rPr>
                <w:rFonts w:asciiTheme="majorHAnsi" w:hAnsiTheme="majorHAnsi"/>
                <w:b/>
                <w:szCs w:val="17"/>
              </w:rPr>
              <w:t>Prescribed accommodation</w:t>
            </w:r>
            <w:r w:rsidR="00C10C13">
              <w:rPr>
                <w:rFonts w:asciiTheme="majorHAnsi" w:hAnsiTheme="majorHAnsi"/>
                <w:b/>
                <w:szCs w:val="17"/>
              </w:rPr>
              <w:t xml:space="preserve"> (r</w:t>
            </w:r>
            <w:r w:rsidR="002E3084">
              <w:rPr>
                <w:rFonts w:asciiTheme="majorHAnsi" w:hAnsiTheme="majorHAnsi"/>
                <w:b/>
                <w:szCs w:val="17"/>
              </w:rPr>
              <w:t>egulation</w:t>
            </w:r>
            <w:r w:rsidR="003B65A5">
              <w:rPr>
                <w:rFonts w:asciiTheme="majorHAnsi" w:hAnsiTheme="majorHAnsi"/>
                <w:b/>
                <w:szCs w:val="17"/>
              </w:rPr>
              <w:t xml:space="preserve"> 13)</w:t>
            </w:r>
          </w:p>
        </w:tc>
        <w:tc>
          <w:tcPr>
            <w:tcW w:w="3254" w:type="pct"/>
          </w:tcPr>
          <w:p w14:paraId="4614B7CF" w14:textId="5302A3A5" w:rsidR="00472FC1" w:rsidRDefault="00571523" w:rsidP="00BF761E">
            <w:pPr>
              <w:pStyle w:val="TabletextLeft"/>
              <w:rPr>
                <w:rFonts w:asciiTheme="majorHAnsi" w:hAnsiTheme="majorHAnsi"/>
                <w:b/>
                <w:szCs w:val="17"/>
              </w:rPr>
            </w:pPr>
            <w:r>
              <w:rPr>
                <w:rFonts w:asciiTheme="majorHAnsi" w:hAnsiTheme="majorHAnsi"/>
                <w:b/>
                <w:szCs w:val="17"/>
              </w:rPr>
              <w:t xml:space="preserve">Exemptions </w:t>
            </w:r>
            <w:r w:rsidR="00A4102D">
              <w:rPr>
                <w:rFonts w:asciiTheme="majorHAnsi" w:hAnsiTheme="majorHAnsi"/>
                <w:b/>
                <w:szCs w:val="17"/>
              </w:rPr>
              <w:t xml:space="preserve">to </w:t>
            </w:r>
            <w:r w:rsidR="005D2B3A">
              <w:rPr>
                <w:rFonts w:asciiTheme="majorHAnsi" w:hAnsiTheme="majorHAnsi"/>
                <w:b/>
                <w:szCs w:val="17"/>
              </w:rPr>
              <w:t xml:space="preserve">definition </w:t>
            </w:r>
            <w:r>
              <w:rPr>
                <w:rFonts w:asciiTheme="majorHAnsi" w:hAnsiTheme="majorHAnsi"/>
                <w:b/>
                <w:szCs w:val="17"/>
              </w:rPr>
              <w:t xml:space="preserve">of prescribed </w:t>
            </w:r>
            <w:r w:rsidR="00A4102D">
              <w:rPr>
                <w:rFonts w:asciiTheme="majorHAnsi" w:hAnsiTheme="majorHAnsi"/>
                <w:b/>
                <w:szCs w:val="17"/>
              </w:rPr>
              <w:t>accommodation</w:t>
            </w:r>
            <w:r w:rsidR="009C644B">
              <w:rPr>
                <w:rFonts w:asciiTheme="majorHAnsi" w:hAnsiTheme="majorHAnsi"/>
                <w:b/>
                <w:szCs w:val="17"/>
              </w:rPr>
              <w:t xml:space="preserve"> (</w:t>
            </w:r>
            <w:r w:rsidR="00C10C13">
              <w:rPr>
                <w:rFonts w:asciiTheme="majorHAnsi" w:hAnsiTheme="majorHAnsi"/>
                <w:b/>
                <w:szCs w:val="17"/>
              </w:rPr>
              <w:t>r</w:t>
            </w:r>
            <w:r w:rsidR="002E3084">
              <w:rPr>
                <w:rFonts w:asciiTheme="majorHAnsi" w:hAnsiTheme="majorHAnsi"/>
                <w:b/>
                <w:szCs w:val="17"/>
              </w:rPr>
              <w:t>egulations</w:t>
            </w:r>
            <w:r w:rsidR="00C10C13">
              <w:rPr>
                <w:rFonts w:asciiTheme="majorHAnsi" w:hAnsiTheme="majorHAnsi"/>
                <w:b/>
                <w:szCs w:val="17"/>
              </w:rPr>
              <w:t xml:space="preserve"> 14 &amp; 15)</w:t>
            </w:r>
          </w:p>
        </w:tc>
      </w:tr>
      <w:tr w:rsidR="00472FC1" w:rsidRPr="00806743" w14:paraId="27107169" w14:textId="77777777" w:rsidTr="00F0077F">
        <w:tc>
          <w:tcPr>
            <w:tcW w:w="1746" w:type="pct"/>
          </w:tcPr>
          <w:p w14:paraId="53324A26" w14:textId="074D6A3F" w:rsidR="00142E3A" w:rsidRDefault="003D092D" w:rsidP="00C16490">
            <w:pPr>
              <w:pStyle w:val="ListNumber"/>
              <w:numPr>
                <w:ilvl w:val="0"/>
                <w:numId w:val="25"/>
              </w:numPr>
            </w:pPr>
            <w:r w:rsidRPr="003D092D">
              <w:t>residential accommodation</w:t>
            </w:r>
          </w:p>
          <w:p w14:paraId="4931EAE2" w14:textId="6061449C" w:rsidR="00EC3FF0" w:rsidRDefault="003D092D" w:rsidP="00C16490">
            <w:pPr>
              <w:pStyle w:val="ListNumber"/>
              <w:numPr>
                <w:ilvl w:val="0"/>
                <w:numId w:val="25"/>
              </w:numPr>
            </w:pPr>
            <w:r w:rsidRPr="003D092D">
              <w:t>hotels and motels</w:t>
            </w:r>
          </w:p>
          <w:p w14:paraId="502F7C47" w14:textId="05DEEBED" w:rsidR="00EC3FF0" w:rsidRDefault="003D092D" w:rsidP="00C16490">
            <w:pPr>
              <w:pStyle w:val="ListNumber"/>
              <w:numPr>
                <w:ilvl w:val="0"/>
                <w:numId w:val="25"/>
              </w:numPr>
            </w:pPr>
            <w:r w:rsidRPr="003D092D">
              <w:t>hostels</w:t>
            </w:r>
          </w:p>
          <w:p w14:paraId="76E1DF97" w14:textId="13105DCE" w:rsidR="00EC3FF0" w:rsidRDefault="003D092D" w:rsidP="00C16490">
            <w:pPr>
              <w:pStyle w:val="ListNumber"/>
              <w:numPr>
                <w:ilvl w:val="0"/>
                <w:numId w:val="25"/>
              </w:numPr>
            </w:pPr>
            <w:r w:rsidRPr="003D092D">
              <w:t>student dormitories</w:t>
            </w:r>
          </w:p>
          <w:p w14:paraId="39327898" w14:textId="74EBFF71" w:rsidR="00EC3FF0" w:rsidRDefault="003D092D" w:rsidP="00C16490">
            <w:pPr>
              <w:pStyle w:val="ListNumber"/>
              <w:numPr>
                <w:ilvl w:val="0"/>
                <w:numId w:val="25"/>
              </w:numPr>
            </w:pPr>
            <w:r w:rsidRPr="003D092D">
              <w:t>holiday camps</w:t>
            </w:r>
          </w:p>
          <w:p w14:paraId="57D8BEE8" w14:textId="3D519D80" w:rsidR="00472FC1" w:rsidRPr="003D092D" w:rsidRDefault="009232D8" w:rsidP="00C16490">
            <w:pPr>
              <w:pStyle w:val="ListNumber"/>
              <w:numPr>
                <w:ilvl w:val="0"/>
                <w:numId w:val="25"/>
              </w:numPr>
            </w:pPr>
            <w:r>
              <w:t>r</w:t>
            </w:r>
            <w:r w:rsidR="003D092D" w:rsidRPr="003D092D">
              <w:t>ooming houses</w:t>
            </w:r>
          </w:p>
        </w:tc>
        <w:tc>
          <w:tcPr>
            <w:tcW w:w="3254" w:type="pct"/>
          </w:tcPr>
          <w:p w14:paraId="1386115E" w14:textId="4EF7F0FB" w:rsidR="00760659" w:rsidRPr="00760659" w:rsidRDefault="00760659" w:rsidP="00C16490">
            <w:pPr>
              <w:pStyle w:val="ListNumber"/>
              <w:numPr>
                <w:ilvl w:val="0"/>
                <w:numId w:val="21"/>
              </w:numPr>
            </w:pPr>
            <w:r w:rsidRPr="00760659">
              <w:t>a house under the exclusive occupation of the occupier</w:t>
            </w:r>
          </w:p>
          <w:p w14:paraId="1D3F12CD" w14:textId="17E22A19" w:rsidR="00760659" w:rsidRDefault="00760659" w:rsidP="00C16490">
            <w:pPr>
              <w:pStyle w:val="ListNumber"/>
              <w:numPr>
                <w:ilvl w:val="0"/>
                <w:numId w:val="21"/>
              </w:numPr>
            </w:pPr>
            <w:r w:rsidRPr="00760659">
              <w:t>a self-contained flat under the exclusive occupation of the occupier consisting of a suite of rooms that</w:t>
            </w:r>
            <w:r w:rsidR="0050286F">
              <w:t>:</w:t>
            </w:r>
          </w:p>
          <w:p w14:paraId="6206ED2B" w14:textId="3EC58654" w:rsidR="00760659" w:rsidRDefault="00760659" w:rsidP="00C16490">
            <w:pPr>
              <w:pStyle w:val="ListNumber2"/>
              <w:numPr>
                <w:ilvl w:val="1"/>
                <w:numId w:val="22"/>
              </w:numPr>
            </w:pPr>
            <w:r w:rsidRPr="00760659">
              <w:t xml:space="preserve">forms a portion or portions of a building; and </w:t>
            </w:r>
          </w:p>
          <w:p w14:paraId="1981E66A" w14:textId="77777777" w:rsidR="00BB56FE" w:rsidRDefault="00760659" w:rsidP="00C16490">
            <w:pPr>
              <w:pStyle w:val="ListNumber2"/>
              <w:numPr>
                <w:ilvl w:val="1"/>
                <w:numId w:val="22"/>
              </w:numPr>
            </w:pPr>
            <w:r w:rsidRPr="00760659">
              <w:t>includes kitchen, bathroom and toilet facilities; and</w:t>
            </w:r>
          </w:p>
          <w:p w14:paraId="1954F2BB" w14:textId="33031D25" w:rsidR="00760659" w:rsidRPr="00760659" w:rsidRDefault="00760659" w:rsidP="00C16490">
            <w:pPr>
              <w:pStyle w:val="ListNumber2"/>
              <w:numPr>
                <w:ilvl w:val="1"/>
                <w:numId w:val="22"/>
              </w:numPr>
            </w:pPr>
            <w:r w:rsidRPr="00760659">
              <w:t>forms a self-contained residence</w:t>
            </w:r>
          </w:p>
          <w:p w14:paraId="6AF0B085" w14:textId="667EED7B" w:rsidR="00760659" w:rsidRPr="00760659" w:rsidRDefault="00760659" w:rsidP="00C16490">
            <w:pPr>
              <w:pStyle w:val="ListNumber"/>
              <w:numPr>
                <w:ilvl w:val="0"/>
                <w:numId w:val="21"/>
              </w:numPr>
            </w:pPr>
            <w:r w:rsidRPr="00760659">
              <w:t>temporary crisis accommodation</w:t>
            </w:r>
          </w:p>
          <w:p w14:paraId="2EB0CE30" w14:textId="7C4EB504" w:rsidR="00760659" w:rsidRPr="00F0077F" w:rsidRDefault="00760659" w:rsidP="00C16490">
            <w:pPr>
              <w:pStyle w:val="ListNumber"/>
              <w:numPr>
                <w:ilvl w:val="0"/>
                <w:numId w:val="21"/>
              </w:numPr>
              <w:rPr>
                <w:i/>
              </w:rPr>
            </w:pPr>
            <w:r w:rsidRPr="00760659">
              <w:t xml:space="preserve">a health or residential service within the meaning of section 3(1) of the </w:t>
            </w:r>
            <w:r w:rsidRPr="00F0077F">
              <w:rPr>
                <w:i/>
              </w:rPr>
              <w:t>Residential Tenancies Act 1997</w:t>
            </w:r>
          </w:p>
          <w:p w14:paraId="4FE2C241" w14:textId="72228A80" w:rsidR="00760659" w:rsidRPr="00760659" w:rsidRDefault="00760659" w:rsidP="00C16490">
            <w:pPr>
              <w:pStyle w:val="ListNumber"/>
              <w:numPr>
                <w:ilvl w:val="0"/>
                <w:numId w:val="21"/>
              </w:numPr>
            </w:pPr>
            <w:r w:rsidRPr="00760659">
              <w:t>a residential care service within the meaning of the Aged Care Act 1997 of the Commonwealth</w:t>
            </w:r>
          </w:p>
          <w:p w14:paraId="49432801" w14:textId="096503DC" w:rsidR="00760659" w:rsidRPr="00F0077F" w:rsidRDefault="00760659" w:rsidP="00C16490">
            <w:pPr>
              <w:pStyle w:val="ListNumber"/>
              <w:numPr>
                <w:ilvl w:val="0"/>
                <w:numId w:val="21"/>
              </w:numPr>
              <w:rPr>
                <w:i/>
              </w:rPr>
            </w:pPr>
            <w:r w:rsidRPr="00760659">
              <w:t xml:space="preserve">any retirement village within the meaning of section 3(1) of the </w:t>
            </w:r>
            <w:r w:rsidRPr="00F0077F">
              <w:rPr>
                <w:i/>
              </w:rPr>
              <w:t xml:space="preserve">Retirement Villages Act 1986 </w:t>
            </w:r>
          </w:p>
          <w:p w14:paraId="306299E3" w14:textId="3BF05078" w:rsidR="00760659" w:rsidRPr="00760659" w:rsidRDefault="00760659" w:rsidP="00C16490">
            <w:pPr>
              <w:pStyle w:val="ListNumber"/>
              <w:numPr>
                <w:ilvl w:val="0"/>
                <w:numId w:val="21"/>
              </w:numPr>
            </w:pPr>
            <w:r w:rsidRPr="00760659">
              <w:t xml:space="preserve">any house, building or structure to which Part 4 of the </w:t>
            </w:r>
            <w:r w:rsidRPr="00F0077F">
              <w:rPr>
                <w:i/>
              </w:rPr>
              <w:t>Residential Tenancies Act 1997</w:t>
            </w:r>
            <w:r w:rsidRPr="00760659">
              <w:t xml:space="preserve"> applies</w:t>
            </w:r>
          </w:p>
          <w:p w14:paraId="51B6660A" w14:textId="3CB05995" w:rsidR="00760659" w:rsidRPr="00760659" w:rsidRDefault="00760659" w:rsidP="00C16490">
            <w:pPr>
              <w:pStyle w:val="ListNumber"/>
              <w:numPr>
                <w:ilvl w:val="0"/>
                <w:numId w:val="21"/>
              </w:numPr>
            </w:pPr>
            <w:r w:rsidRPr="00760659">
              <w:t xml:space="preserve">any vessel, vehicle, tent or caravan </w:t>
            </w:r>
          </w:p>
          <w:p w14:paraId="4E3374B0" w14:textId="01901EDE" w:rsidR="00472FC1" w:rsidRPr="00903A1D" w:rsidRDefault="00903A1D" w:rsidP="00903A1D">
            <w:pPr>
              <w:pStyle w:val="ListNumber"/>
              <w:numPr>
                <w:ilvl w:val="0"/>
                <w:numId w:val="21"/>
              </w:numPr>
            </w:pPr>
            <w:r>
              <w:t>premises in which, other than the family of the proprietor, not more than 5 persons are accommodated, and which is not a rooming house.</w:t>
            </w:r>
            <w:r w:rsidRPr="00903A1D">
              <w:t xml:space="preserve"> </w:t>
            </w:r>
          </w:p>
        </w:tc>
      </w:tr>
    </w:tbl>
    <w:p w14:paraId="103DDD2A" w14:textId="77777777" w:rsidR="00F97615" w:rsidRDefault="00F97615" w:rsidP="005C5801">
      <w:pPr>
        <w:autoSpaceDE w:val="0"/>
        <w:autoSpaceDN w:val="0"/>
        <w:adjustRightInd w:val="0"/>
        <w:spacing w:after="0" w:line="240" w:lineRule="auto"/>
      </w:pPr>
    </w:p>
    <w:p w14:paraId="3FD721FA" w14:textId="50816204" w:rsidR="005C5801" w:rsidRDefault="005C5801" w:rsidP="005C5801">
      <w:pPr>
        <w:autoSpaceDE w:val="0"/>
        <w:autoSpaceDN w:val="0"/>
        <w:adjustRightInd w:val="0"/>
        <w:spacing w:after="0" w:line="240" w:lineRule="auto"/>
      </w:pPr>
      <w:r>
        <w:t>T</w:t>
      </w:r>
      <w:r w:rsidRPr="00C9065C">
        <w:t xml:space="preserve">he Regulations </w:t>
      </w:r>
      <w:r w:rsidR="00045316" w:rsidRPr="003D5412">
        <w:t xml:space="preserve">also </w:t>
      </w:r>
      <w:r w:rsidRPr="003D5412">
        <w:t xml:space="preserve">outline how exactly proprietors of prescribed accommodation </w:t>
      </w:r>
      <w:r w:rsidR="00921455">
        <w:t>are to</w:t>
      </w:r>
      <w:r w:rsidR="00921455" w:rsidRPr="003D5412">
        <w:t xml:space="preserve"> </w:t>
      </w:r>
      <w:r w:rsidRPr="003D5412">
        <w:t xml:space="preserve">meet the requirements of the </w:t>
      </w:r>
      <w:r w:rsidR="005F0C6E" w:rsidRPr="003D5412">
        <w:t>PHWA</w:t>
      </w:r>
      <w:r w:rsidR="007708DA">
        <w:t xml:space="preserve"> and include the following</w:t>
      </w:r>
      <w:r w:rsidR="00262946">
        <w:t xml:space="preserve"> requirements</w:t>
      </w:r>
      <w:r w:rsidRPr="003D5412">
        <w:t>:</w:t>
      </w:r>
    </w:p>
    <w:p w14:paraId="0937C0DA" w14:textId="6BEC6F4C" w:rsidR="00F90AA4" w:rsidRPr="00F90AA4" w:rsidRDefault="00F90AA4" w:rsidP="00F0077F">
      <w:pPr>
        <w:pStyle w:val="ListBullet"/>
        <w:numPr>
          <w:ilvl w:val="0"/>
          <w:numId w:val="85"/>
        </w:numPr>
      </w:pPr>
      <w:r>
        <w:rPr>
          <w:b/>
          <w:bCs/>
        </w:rPr>
        <w:t xml:space="preserve">Registration: </w:t>
      </w:r>
      <w:r w:rsidR="004C5BB7" w:rsidRPr="001B2005">
        <w:t>applications</w:t>
      </w:r>
      <w:r w:rsidR="004C5BB7">
        <w:t xml:space="preserve"> to register prescribed accommodation </w:t>
      </w:r>
      <w:r w:rsidR="00701114">
        <w:t xml:space="preserve">must show a scaled plan of the </w:t>
      </w:r>
      <w:r w:rsidR="005F2B39">
        <w:t>premises, outlining the purpose for each room on site</w:t>
      </w:r>
      <w:r w:rsidR="00B0354A">
        <w:t xml:space="preserve"> (r 16)</w:t>
      </w:r>
      <w:r w:rsidR="005F2B39">
        <w:t xml:space="preserve">. </w:t>
      </w:r>
      <w:r w:rsidR="003939AB">
        <w:t>All new applications, as well as</w:t>
      </w:r>
      <w:r w:rsidR="00266900">
        <w:t xml:space="preserve"> </w:t>
      </w:r>
      <w:r w:rsidR="00BA2017">
        <w:t xml:space="preserve">registration renewals and transfers must </w:t>
      </w:r>
      <w:r w:rsidR="00871231">
        <w:t xml:space="preserve">record the </w:t>
      </w:r>
      <w:r w:rsidR="00452CE4">
        <w:t>date, name and address of proprietor</w:t>
      </w:r>
      <w:r w:rsidR="0059354A">
        <w:t xml:space="preserve">, address of the accommodation, and any </w:t>
      </w:r>
      <w:r w:rsidR="002770BD">
        <w:t xml:space="preserve">conditions </w:t>
      </w:r>
      <w:r w:rsidR="004B6C27">
        <w:t>of registration or renewal (r 16</w:t>
      </w:r>
      <w:r w:rsidR="00707726">
        <w:t>).</w:t>
      </w:r>
    </w:p>
    <w:p w14:paraId="3B3F5BE5" w14:textId="317A20A1" w:rsidR="005C5801" w:rsidRDefault="005C5801" w:rsidP="007D6FE2">
      <w:pPr>
        <w:pStyle w:val="ListBullet"/>
        <w:numPr>
          <w:ilvl w:val="0"/>
          <w:numId w:val="85"/>
        </w:numPr>
      </w:pPr>
      <w:r w:rsidRPr="00B60644">
        <w:rPr>
          <w:b/>
          <w:bCs/>
        </w:rPr>
        <w:t>Minimum bedroom size:</w:t>
      </w:r>
      <w:r>
        <w:t xml:space="preserve"> bedrooms must have a floor area of at least 7.5m</w:t>
      </w:r>
      <w:r w:rsidRPr="00675DC7">
        <w:rPr>
          <w:vertAlign w:val="superscript"/>
        </w:rPr>
        <w:t xml:space="preserve">2 </w:t>
      </w:r>
      <w:r>
        <w:t>in size (r 17(2)); the “floor area” includes the area occupied by any cupboard or other built-in furniture, but does not include any bathroom or toilet in, or attached to, the bedroom (r 17(6)(c)).</w:t>
      </w:r>
      <w:r w:rsidR="00E828CB">
        <w:rPr>
          <w:rStyle w:val="FootnoteReference"/>
        </w:rPr>
        <w:footnoteReference w:id="9"/>
      </w:r>
    </w:p>
    <w:p w14:paraId="6630AA28" w14:textId="77777777" w:rsidR="009C2009" w:rsidRPr="00736A72" w:rsidRDefault="009C2009" w:rsidP="009C2009">
      <w:pPr>
        <w:pStyle w:val="ListBullet"/>
        <w:numPr>
          <w:ilvl w:val="0"/>
          <w:numId w:val="85"/>
        </w:numPr>
      </w:pPr>
      <w:r w:rsidRPr="00736A72">
        <w:rPr>
          <w:b/>
          <w:bCs/>
        </w:rPr>
        <w:t>Occupancy limit:</w:t>
      </w:r>
      <w:r w:rsidRPr="00736A72">
        <w:t xml:space="preserve"> for periods of 31 days or less, a maximum of two person can occupy one bedroom with a floor area of less than 10m</w:t>
      </w:r>
      <w:r w:rsidRPr="00736A72">
        <w:rPr>
          <w:vertAlign w:val="superscript"/>
        </w:rPr>
        <w:t>2</w:t>
      </w:r>
      <w:r w:rsidRPr="00736A72">
        <w:t xml:space="preserve">. Bedrooms </w:t>
      </w:r>
      <w:r w:rsidRPr="0028680F">
        <w:t>of 10m</w:t>
      </w:r>
      <w:r w:rsidRPr="00984465">
        <w:rPr>
          <w:vertAlign w:val="superscript"/>
        </w:rPr>
        <w:t xml:space="preserve">2 </w:t>
      </w:r>
      <w:r w:rsidRPr="00700BA2">
        <w:t>or more can accommodate three people, and an additional person for every additional 2m</w:t>
      </w:r>
      <w:r w:rsidRPr="00736A72">
        <w:rPr>
          <w:vertAlign w:val="superscript"/>
        </w:rPr>
        <w:t>2</w:t>
      </w:r>
      <w:r w:rsidRPr="00736A72">
        <w:t xml:space="preserve"> over and above the 10m</w:t>
      </w:r>
      <w:r w:rsidRPr="00736A72">
        <w:rPr>
          <w:vertAlign w:val="superscript"/>
        </w:rPr>
        <w:t>2</w:t>
      </w:r>
      <w:r w:rsidRPr="00736A72">
        <w:t xml:space="preserve">. For </w:t>
      </w:r>
      <w:r w:rsidRPr="00736A72">
        <w:lastRenderedPageBreak/>
        <w:t>periods of more than 31 days, a maximum of one person can occupy a bedroom of less than 12m</w:t>
      </w:r>
      <w:r w:rsidRPr="00736A72">
        <w:rPr>
          <w:vertAlign w:val="superscript"/>
        </w:rPr>
        <w:t>2</w:t>
      </w:r>
      <w:r w:rsidRPr="00736A72">
        <w:t>, and two people can occupy a bedroom of 12m</w:t>
      </w:r>
      <w:r w:rsidRPr="00736A72">
        <w:rPr>
          <w:vertAlign w:val="superscript"/>
        </w:rPr>
        <w:t>2</w:t>
      </w:r>
      <w:r w:rsidRPr="00736A72">
        <w:t xml:space="preserve"> or more. An additional one person can occupy that bedroom for every 4m</w:t>
      </w:r>
      <w:r w:rsidRPr="00736A72">
        <w:rPr>
          <w:vertAlign w:val="superscript"/>
        </w:rPr>
        <w:t>2</w:t>
      </w:r>
      <w:r w:rsidRPr="00736A72">
        <w:t xml:space="preserve"> over and above the 12m</w:t>
      </w:r>
      <w:r w:rsidRPr="00736A72">
        <w:rPr>
          <w:vertAlign w:val="superscript"/>
        </w:rPr>
        <w:t xml:space="preserve">2 </w:t>
      </w:r>
      <w:r w:rsidRPr="00736A72">
        <w:t xml:space="preserve">(r 17(4)). </w:t>
      </w:r>
    </w:p>
    <w:p w14:paraId="2D37E2CB" w14:textId="0417AA17" w:rsidR="005C5801" w:rsidRPr="00736A72" w:rsidRDefault="005C5801" w:rsidP="007D6FE2">
      <w:pPr>
        <w:pStyle w:val="ListBullet"/>
        <w:numPr>
          <w:ilvl w:val="0"/>
          <w:numId w:val="85"/>
        </w:numPr>
      </w:pPr>
      <w:r w:rsidRPr="00736A72">
        <w:rPr>
          <w:b/>
          <w:bCs/>
        </w:rPr>
        <w:t>Maintenance:</w:t>
      </w:r>
      <w:r w:rsidRPr="00736A72">
        <w:t xml:space="preserve"> proprietors must ensure the accommodation and facilities (bedrooms, toilets, bathrooms, laundries, kitchens, living rooms and common areas) are kept in good working order and </w:t>
      </w:r>
      <w:r w:rsidR="00783D3E">
        <w:t xml:space="preserve">a good </w:t>
      </w:r>
      <w:r w:rsidRPr="00736A72">
        <w:t xml:space="preserve">state of repair. </w:t>
      </w:r>
      <w:r w:rsidR="00783D3E">
        <w:t>The prescribed accommodation and f</w:t>
      </w:r>
      <w:r w:rsidRPr="00736A72">
        <w:t>acilities must be in a clean, sanitary and hygienic condition (r 18).</w:t>
      </w:r>
    </w:p>
    <w:p w14:paraId="54044E6D" w14:textId="1AE4DBC5" w:rsidR="005C5801" w:rsidRDefault="005C5801" w:rsidP="007D6FE2">
      <w:pPr>
        <w:pStyle w:val="ListBullet"/>
        <w:numPr>
          <w:ilvl w:val="0"/>
          <w:numId w:val="85"/>
        </w:numPr>
      </w:pPr>
      <w:r w:rsidRPr="00B60644">
        <w:rPr>
          <w:b/>
          <w:bCs/>
        </w:rPr>
        <w:t>Cleanliness:</w:t>
      </w:r>
      <w:r>
        <w:t xml:space="preserve"> proprietors must ensure each bedroom and any attached toilets or bathrooms are cleaned once the bedroom is vacated and before it is accessed by another occupier, and that all bed linen provided </w:t>
      </w:r>
      <w:r w:rsidR="00783D3E">
        <w:t>with</w:t>
      </w:r>
      <w:r>
        <w:t xml:space="preserve"> the accommodation is changed</w:t>
      </w:r>
      <w:r w:rsidR="00783D3E">
        <w:t xml:space="preserve"> with clean linen</w:t>
      </w:r>
      <w:r>
        <w:t xml:space="preserve">: (i) at least weekly; and (ii) after accommodation is vacated and before it is reoccupied (r 19). </w:t>
      </w:r>
    </w:p>
    <w:p w14:paraId="44418CC8" w14:textId="77777777" w:rsidR="005C5801" w:rsidRDefault="005C5801" w:rsidP="007D6FE2">
      <w:pPr>
        <w:pStyle w:val="ListBullet"/>
        <w:numPr>
          <w:ilvl w:val="0"/>
          <w:numId w:val="85"/>
        </w:numPr>
      </w:pPr>
      <w:r w:rsidRPr="00B60644">
        <w:rPr>
          <w:b/>
          <w:bCs/>
        </w:rPr>
        <w:t>Water supply:</w:t>
      </w:r>
      <w:r>
        <w:t xml:space="preserve"> proprietors must provide a continuous and adequate supply of water to all toilet, bathing, kitchen, laundry and drinking water facilities, and hot water to all bathing, kitchen and laundry facilities (r 20).</w:t>
      </w:r>
    </w:p>
    <w:p w14:paraId="21C29EB0" w14:textId="77777777" w:rsidR="005C5801" w:rsidRDefault="005C5801" w:rsidP="007D6FE2">
      <w:pPr>
        <w:pStyle w:val="ListBullet"/>
        <w:numPr>
          <w:ilvl w:val="0"/>
          <w:numId w:val="85"/>
        </w:numPr>
      </w:pPr>
      <w:r w:rsidRPr="00B60644">
        <w:rPr>
          <w:b/>
          <w:bCs/>
        </w:rPr>
        <w:t>Drinking water:</w:t>
      </w:r>
      <w:r>
        <w:t xml:space="preserve"> proprietors must ensure that drinking water supplied to an occupier is fit for human consumption if the drinking water was not supplied to the proprietor by a water supplier (r 21).</w:t>
      </w:r>
    </w:p>
    <w:p w14:paraId="424E8B19" w14:textId="7D5F7E1B" w:rsidR="005C5801" w:rsidRDefault="005C5801" w:rsidP="007D6FE2">
      <w:pPr>
        <w:pStyle w:val="ListBullet"/>
        <w:numPr>
          <w:ilvl w:val="0"/>
          <w:numId w:val="85"/>
        </w:numPr>
      </w:pPr>
      <w:r w:rsidRPr="00B60644">
        <w:rPr>
          <w:b/>
          <w:bCs/>
        </w:rPr>
        <w:t xml:space="preserve">Sewage and </w:t>
      </w:r>
      <w:r w:rsidR="005E7A2E" w:rsidRPr="00B60644">
        <w:rPr>
          <w:b/>
          <w:bCs/>
        </w:rPr>
        <w:t>wastewater</w:t>
      </w:r>
      <w:r w:rsidRPr="00B60644">
        <w:rPr>
          <w:b/>
          <w:bCs/>
        </w:rPr>
        <w:t xml:space="preserve"> disposal: </w:t>
      </w:r>
      <w:r>
        <w:t xml:space="preserve">proprietors must ensure all sewage and waste water is discharged (i) to a reticulated sewerage system, or (ii) to a wastewater treatment </w:t>
      </w:r>
      <w:r w:rsidRPr="00A420B2">
        <w:t xml:space="preserve">permitted under the </w:t>
      </w:r>
      <w:r w:rsidRPr="00253112">
        <w:rPr>
          <w:i/>
          <w:iCs/>
        </w:rPr>
        <w:t>Environment Protection Act 1970</w:t>
      </w:r>
      <w:r>
        <w:t xml:space="preserve"> (r 22).</w:t>
      </w:r>
    </w:p>
    <w:p w14:paraId="5A3B0AA8" w14:textId="77777777" w:rsidR="005C5801" w:rsidRDefault="005C5801" w:rsidP="007D6FE2">
      <w:pPr>
        <w:pStyle w:val="ListBullet"/>
        <w:numPr>
          <w:ilvl w:val="0"/>
          <w:numId w:val="85"/>
        </w:numPr>
      </w:pPr>
      <w:r w:rsidRPr="00B60644">
        <w:rPr>
          <w:b/>
          <w:bCs/>
        </w:rPr>
        <w:t xml:space="preserve">Refuse receptacles and disposal: </w:t>
      </w:r>
      <w:r>
        <w:t>proprietors must provide sufficient vermin-proof receptacles for the collection and storage of rubbish and ensure these are cleaned regularly (r 23). Proprietors must also ensure refuse is regularly removed from the accommodation by a refuse collection service (either by the local Council or private contractors) (r 24).</w:t>
      </w:r>
    </w:p>
    <w:p w14:paraId="2614C14C" w14:textId="77777777" w:rsidR="005C5801" w:rsidRDefault="005C5801" w:rsidP="00CA6E3B">
      <w:pPr>
        <w:pStyle w:val="ListBullet"/>
        <w:numPr>
          <w:ilvl w:val="0"/>
          <w:numId w:val="85"/>
        </w:numPr>
        <w:spacing w:after="0"/>
      </w:pPr>
      <w:r w:rsidRPr="00B60644">
        <w:rPr>
          <w:b/>
          <w:bCs/>
        </w:rPr>
        <w:t>Toilet and bathing facilities:</w:t>
      </w:r>
      <w:r>
        <w:t xml:space="preserve"> proprietors must provide a minimum of one toilet, one bath/shower and one wash basin for every 10 persons (or less) occupying the accommodation (r 25).</w:t>
      </w:r>
    </w:p>
    <w:p w14:paraId="05485A87" w14:textId="09778219" w:rsidR="005C5801" w:rsidRPr="00C9065C" w:rsidRDefault="005C5801" w:rsidP="007D6FE2">
      <w:pPr>
        <w:pStyle w:val="ListParagraph"/>
        <w:numPr>
          <w:ilvl w:val="0"/>
          <w:numId w:val="85"/>
        </w:numPr>
      </w:pPr>
      <w:r w:rsidRPr="004A378D">
        <w:rPr>
          <w:b/>
          <w:bCs/>
        </w:rPr>
        <w:t>Advertising:</w:t>
      </w:r>
      <w:r>
        <w:t xml:space="preserve"> any advertisement for the prescribed accommodation must accurately represent the class of accommodation under which the certificate of registration was approved</w:t>
      </w:r>
      <w:r w:rsidR="00B67208">
        <w:t xml:space="preserve"> (r 27)</w:t>
      </w:r>
      <w:r>
        <w:t>.</w:t>
      </w:r>
    </w:p>
    <w:p w14:paraId="43C59F52" w14:textId="39593BB7" w:rsidR="005C5801" w:rsidRDefault="005C5801" w:rsidP="005C5801">
      <w:pPr>
        <w:autoSpaceDE w:val="0"/>
        <w:autoSpaceDN w:val="0"/>
        <w:adjustRightInd w:val="0"/>
        <w:spacing w:after="0" w:line="240" w:lineRule="auto"/>
      </w:pPr>
      <w:r>
        <w:t xml:space="preserve">As </w:t>
      </w:r>
      <w:r w:rsidR="00262946">
        <w:t>noted</w:t>
      </w:r>
      <w:r>
        <w:t xml:space="preserve">, local Councils monitor and enforce these standards. Councils have the authority to issue infringement notices </w:t>
      </w:r>
      <w:r w:rsidR="006D0201">
        <w:t xml:space="preserve">for certain breaches </w:t>
      </w:r>
      <w:r>
        <w:t xml:space="preserve">and </w:t>
      </w:r>
      <w:r w:rsidR="00306F5B">
        <w:t xml:space="preserve">bring legal proceedings against </w:t>
      </w:r>
      <w:r>
        <w:t>proprietors</w:t>
      </w:r>
      <w:r w:rsidR="0062231B">
        <w:t xml:space="preserve"> for non-compliance</w:t>
      </w:r>
      <w:r w:rsidR="00306F5B">
        <w:t xml:space="preserve"> with the requirements relating to prescribed accommodation</w:t>
      </w:r>
      <w:r w:rsidR="0062231B">
        <w:t>.</w:t>
      </w:r>
    </w:p>
    <w:p w14:paraId="3A6B104A" w14:textId="77777777" w:rsidR="00056D1C" w:rsidRDefault="00056D1C" w:rsidP="005C5801">
      <w:pPr>
        <w:autoSpaceDE w:val="0"/>
        <w:autoSpaceDN w:val="0"/>
        <w:adjustRightInd w:val="0"/>
        <w:spacing w:after="0" w:line="240" w:lineRule="auto"/>
      </w:pPr>
    </w:p>
    <w:p w14:paraId="52279162" w14:textId="4519B0C3" w:rsidR="005272FB" w:rsidRDefault="00056D1C" w:rsidP="000A471E">
      <w:pPr>
        <w:pStyle w:val="Heading3"/>
      </w:pPr>
      <w:r>
        <w:t xml:space="preserve">Other </w:t>
      </w:r>
      <w:r w:rsidR="002E29CE">
        <w:t xml:space="preserve">regulatory </w:t>
      </w:r>
      <w:r w:rsidR="00755B40">
        <w:t>frameworks</w:t>
      </w:r>
    </w:p>
    <w:p w14:paraId="2F1B4328" w14:textId="0298CEA5" w:rsidR="007174A2" w:rsidRDefault="00716947" w:rsidP="007174A2">
      <w:r>
        <w:t xml:space="preserve">In addition to the </w:t>
      </w:r>
      <w:r w:rsidR="00556EB7">
        <w:t xml:space="preserve">health and hygiene standards </w:t>
      </w:r>
      <w:r w:rsidR="00EA225E">
        <w:t xml:space="preserve">prescribed in the </w:t>
      </w:r>
      <w:r w:rsidR="00634824">
        <w:t>Regulations, s</w:t>
      </w:r>
      <w:r w:rsidR="007174A2">
        <w:t xml:space="preserve">everal other regulatory </w:t>
      </w:r>
      <w:r w:rsidR="007174A2" w:rsidRPr="007826DB">
        <w:t>frameworks in Victoria</w:t>
      </w:r>
      <w:r w:rsidR="007174A2">
        <w:t xml:space="preserve"> are relevant to </w:t>
      </w:r>
      <w:r w:rsidR="00F52CB5">
        <w:t>prescribed accommodation</w:t>
      </w:r>
      <w:r w:rsidR="001A4F03">
        <w:t>.</w:t>
      </w:r>
      <w:r w:rsidR="00F52CB5">
        <w:t xml:space="preserve"> </w:t>
      </w:r>
      <w:r w:rsidR="00921455">
        <w:t xml:space="preserve">These include: </w:t>
      </w:r>
    </w:p>
    <w:p w14:paraId="531BCFBB" w14:textId="1BD300FF" w:rsidR="0022230A" w:rsidRPr="0022230A" w:rsidRDefault="0022230A" w:rsidP="008C7F6E">
      <w:pPr>
        <w:pStyle w:val="Heading4"/>
        <w:numPr>
          <w:ilvl w:val="0"/>
          <w:numId w:val="0"/>
        </w:numPr>
        <w:ind w:left="864" w:hanging="864"/>
      </w:pPr>
      <w:r w:rsidRPr="0022230A">
        <w:t>Rooming houses</w:t>
      </w:r>
    </w:p>
    <w:p w14:paraId="11C9DC32" w14:textId="1123B5A9" w:rsidR="001414CA" w:rsidRDefault="001414CA" w:rsidP="001414CA">
      <w:r>
        <w:t xml:space="preserve">There have been a number of significant reforms in the rooming house sector over a number of years to improve the rights, health and safety, and amenity of occupants of rooming houses, and to clarify the rights and obligations of rooming house operators, and to provide for a clearer regulatory framework in this sector. </w:t>
      </w:r>
    </w:p>
    <w:p w14:paraId="7D07D19E" w14:textId="7DEA4FCD" w:rsidR="00FC1588" w:rsidRDefault="00984465" w:rsidP="00FC1588">
      <w:r w:rsidRPr="00984465">
        <w:t xml:space="preserve">The </w:t>
      </w:r>
      <w:r>
        <w:t>RTA</w:t>
      </w:r>
      <w:r w:rsidRPr="00984465">
        <w:t xml:space="preserve"> is the main source of consumer protection for Victorians living in rental housing, while also outlining the obligations of landlords and property managers.</w:t>
      </w:r>
      <w:r>
        <w:t xml:space="preserve"> </w:t>
      </w:r>
      <w:r w:rsidR="00FC1588">
        <w:t xml:space="preserve">The RTA defines rights and duties of rooming house owners and residents of rooming houses. </w:t>
      </w:r>
      <w:r w:rsidR="004C5FD7">
        <w:t>It Is noted that the Government has undertaken a</w:t>
      </w:r>
      <w:r w:rsidR="004C5FD7" w:rsidRPr="002F30CF">
        <w:t xml:space="preserve"> review of the </w:t>
      </w:r>
      <w:r w:rsidR="004C5FD7">
        <w:t>RTA which</w:t>
      </w:r>
      <w:r w:rsidR="004C5FD7" w:rsidRPr="002F30CF">
        <w:t xml:space="preserve"> aims to ensure that Victoria's rental sector meets the needs of tenants and landlords, now and into the future.</w:t>
      </w:r>
      <w:r w:rsidR="004C5FD7">
        <w:t xml:space="preserve"> </w:t>
      </w:r>
      <w:r w:rsidR="004C5FD7" w:rsidRPr="00C74BE9">
        <w:t xml:space="preserve">The Victorian Parliament passed the </w:t>
      </w:r>
      <w:r w:rsidR="004C5FD7" w:rsidRPr="00700BA2">
        <w:rPr>
          <w:i/>
          <w:iCs/>
        </w:rPr>
        <w:t>Residential Tenancies Amendment Bill 2018</w:t>
      </w:r>
      <w:r w:rsidR="004C5FD7" w:rsidRPr="00C74BE9">
        <w:t>, which includes more than 130 reforms designed to increase protections for renters, while ensuring those who provide rental housing can still effectively manage their properties.</w:t>
      </w:r>
      <w:r w:rsidR="004C5FD7">
        <w:t xml:space="preserve"> </w:t>
      </w:r>
      <w:r w:rsidR="004C5FD7" w:rsidRPr="00700BA2">
        <w:t xml:space="preserve">The start date of the </w:t>
      </w:r>
      <w:r w:rsidR="004C5FD7" w:rsidRPr="00700BA2">
        <w:rPr>
          <w:i/>
          <w:iCs/>
        </w:rPr>
        <w:t>Residential Tenancies Amendment Act 2018</w:t>
      </w:r>
      <w:r w:rsidR="004C5FD7" w:rsidRPr="00700BA2">
        <w:t xml:space="preserve"> has been delayed due to </w:t>
      </w:r>
      <w:r w:rsidR="00D60916">
        <w:t xml:space="preserve">the </w:t>
      </w:r>
      <w:r w:rsidR="004C5FD7" w:rsidRPr="00700BA2">
        <w:t>COVID-19</w:t>
      </w:r>
      <w:r w:rsidR="00D60916">
        <w:t xml:space="preserve"> health emergency</w:t>
      </w:r>
      <w:r w:rsidR="00D60916" w:rsidRPr="00700BA2">
        <w:t xml:space="preserve">, </w:t>
      </w:r>
      <w:r w:rsidR="004C5FD7" w:rsidRPr="00700BA2">
        <w:t>with the amendments to be introduced by 1 January 2021, rather than the original 1 July 2020</w:t>
      </w:r>
      <w:r w:rsidR="00072639">
        <w:t xml:space="preserve"> date</w:t>
      </w:r>
      <w:r w:rsidR="004C5FD7" w:rsidRPr="00700BA2">
        <w:t>.</w:t>
      </w:r>
      <w:r w:rsidR="00FC1588">
        <w:t xml:space="preserve"> Reforms to protect the rights of rooming house occupants</w:t>
      </w:r>
      <w:r w:rsidR="0041221A">
        <w:t xml:space="preserve"> included the following</w:t>
      </w:r>
      <w:r w:rsidR="00FC1588">
        <w:t>:</w:t>
      </w:r>
    </w:p>
    <w:p w14:paraId="30019B93" w14:textId="2F54BA1E" w:rsidR="00FC1588" w:rsidRPr="008D3F7D" w:rsidRDefault="00FC1588" w:rsidP="001B2005">
      <w:pPr>
        <w:pStyle w:val="ListBullet"/>
        <w:numPr>
          <w:ilvl w:val="0"/>
          <w:numId w:val="85"/>
        </w:numPr>
        <w:spacing w:after="0"/>
      </w:pPr>
      <w:r w:rsidRPr="008D3F7D">
        <w:t xml:space="preserve">To improve rooming house residents’ awareness of their rights and responsibilities, the </w:t>
      </w:r>
      <w:r w:rsidR="00072639">
        <w:t>RTA</w:t>
      </w:r>
      <w:r w:rsidR="00072639" w:rsidRPr="008D3F7D">
        <w:t xml:space="preserve"> </w:t>
      </w:r>
      <w:r w:rsidRPr="008D3F7D">
        <w:t>explicitly requires rooming house operators to give a resident a copy of the ‘Red Book’. A summary of these rights and responsibilities must also be displayed in each resident’s room.</w:t>
      </w:r>
    </w:p>
    <w:p w14:paraId="2AB4025E" w14:textId="0EE5344B" w:rsidR="00FC1588" w:rsidRPr="008D3F7D" w:rsidRDefault="00FC1588" w:rsidP="001B2005">
      <w:pPr>
        <w:pStyle w:val="ListBullet"/>
        <w:numPr>
          <w:ilvl w:val="0"/>
          <w:numId w:val="85"/>
        </w:numPr>
        <w:spacing w:after="0"/>
      </w:pPr>
      <w:r w:rsidRPr="008D3F7D">
        <w:lastRenderedPageBreak/>
        <w:t xml:space="preserve">The use of tenancy agreements for rooms in rooming houses </w:t>
      </w:r>
      <w:r w:rsidR="0040546E">
        <w:t>has been</w:t>
      </w:r>
      <w:r w:rsidRPr="008D3F7D">
        <w:t xml:space="preserve"> replaced with tailored fixed term rooming house agreements. </w:t>
      </w:r>
    </w:p>
    <w:p w14:paraId="56CBA33E" w14:textId="363E4DF9" w:rsidR="00FC1588" w:rsidRPr="008D3F7D" w:rsidRDefault="00FC1588" w:rsidP="001B2005">
      <w:pPr>
        <w:pStyle w:val="ListBullet"/>
        <w:numPr>
          <w:ilvl w:val="0"/>
          <w:numId w:val="85"/>
        </w:numPr>
        <w:spacing w:after="0"/>
      </w:pPr>
      <w:r w:rsidRPr="008D3F7D">
        <w:t xml:space="preserve">An amendment clarifies that where a building owner or lessee is entitled to terminate the lease of a building in which a rooming house is operating, the rooming house resident is entitled to be given a notice period when a building lease terminates, whether or not the building owner or person discontinuing the lease was aware that the rooming house was being operated. </w:t>
      </w:r>
    </w:p>
    <w:p w14:paraId="1FE383BF" w14:textId="77777777" w:rsidR="00A522C6" w:rsidRDefault="00FC1588" w:rsidP="001B2005">
      <w:pPr>
        <w:pStyle w:val="ListBullet"/>
        <w:numPr>
          <w:ilvl w:val="0"/>
          <w:numId w:val="85"/>
        </w:numPr>
        <w:spacing w:after="0"/>
      </w:pPr>
      <w:r w:rsidRPr="008D3F7D">
        <w:t>An owner of a building, or that owner’s agent, must notify the relevant local council if they have reason to believe the building is being used as an unregistered rooming house. This reporting obligation was expanded to include where the building owner or their agent ought to know, in all the circumstances, that the building is being used as an unregistered rooming house. This reform aims to prevent owners and agents profiting from leasing a building from turning a blind eye where there is evidence it is being used as an unregistered rooming house.</w:t>
      </w:r>
    </w:p>
    <w:p w14:paraId="017FF202" w14:textId="3965C871" w:rsidR="00FC1588" w:rsidRPr="00CA6E3B" w:rsidRDefault="00A522C6" w:rsidP="00253112">
      <w:pPr>
        <w:pStyle w:val="ListBullet"/>
        <w:numPr>
          <w:ilvl w:val="0"/>
          <w:numId w:val="106"/>
        </w:numPr>
        <w:spacing w:line="240" w:lineRule="auto"/>
        <w:ind w:left="284" w:hanging="284"/>
        <w:contextualSpacing w:val="0"/>
        <w:rPr>
          <w:rFonts w:eastAsia="Times New Roman"/>
        </w:rPr>
      </w:pPr>
      <w:r>
        <w:t xml:space="preserve">To clarify the </w:t>
      </w:r>
      <w:r w:rsidR="00FC1588">
        <w:t>rights of rooming house operators</w:t>
      </w:r>
      <w:r>
        <w:t>, r</w:t>
      </w:r>
      <w:r w:rsidR="00FC1588" w:rsidRPr="00A522C6">
        <w:rPr>
          <w:rFonts w:eastAsia="Times New Roman"/>
        </w:rPr>
        <w:t>ooming house operators are able to charge for</w:t>
      </w:r>
      <w:r w:rsidR="00FC1588" w:rsidRPr="004C5FD7">
        <w:rPr>
          <w:rFonts w:eastAsia="Times New Roman"/>
        </w:rPr>
        <w:t xml:space="preserve"> separately metered water consumption in the same way that they can already charge for separately metered electricity and gas consumption. Where a room is separately metered for water, this will better reflect the resident’s water use than the current prac</w:t>
      </w:r>
      <w:r w:rsidR="00FC1588" w:rsidRPr="00022C6A">
        <w:rPr>
          <w:rFonts w:eastAsia="Times New Roman"/>
        </w:rPr>
        <w:t>tice of including water consumption in rent.</w:t>
      </w:r>
    </w:p>
    <w:p w14:paraId="2059030E" w14:textId="77777777" w:rsidR="00BE7C06" w:rsidRDefault="00BE7C06" w:rsidP="00BE7C06">
      <w:r>
        <w:t xml:space="preserve">In 2012, the Residential Tenancies (Rooming House Standards) Regulations 2012 introduced rooming house standards to prescribe privacy, safety, security and amenity standards with which a rooming house owner must comply. In addition, a state-wide register of rooming houses was established and a new duty on rooming house operators to comply with minimum standards for rooming houses was introduced under the RTA. </w:t>
      </w:r>
    </w:p>
    <w:p w14:paraId="13157496" w14:textId="1CC3E968" w:rsidR="004C18D4" w:rsidRDefault="00BE7C06" w:rsidP="008C7F6E">
      <w:r>
        <w:t xml:space="preserve">A licensing scheme for rooming house operators operated by the Business Licensing Authority commenced in April 2017 under the Rooming House Operators Act to drive improved professionalism and reduce exploitative practices in rooming houses. It introduced a ‘fit and proper purpose’ test for rooming house operators in response to the former Victorian Government’s Rooming House Standards Taskforce which made recommendations to improve rooming house accommodation and services in Victoria. </w:t>
      </w:r>
    </w:p>
    <w:p w14:paraId="2BD8FDD4" w14:textId="77777777" w:rsidR="00A249FC" w:rsidRDefault="00A249FC" w:rsidP="00F0077F">
      <w:r>
        <w:t xml:space="preserve">In October 2018, the Victoria Planning Provisions included provisions relating to the use and development of land for a rooming house to facilitate the establishment of domestic scale rooming houses. </w:t>
      </w:r>
    </w:p>
    <w:p w14:paraId="3E8E6670" w14:textId="6074D42F" w:rsidR="00A249FC" w:rsidRPr="004979CD" w:rsidRDefault="00A249FC" w:rsidP="00F0077F">
      <w:r w:rsidRPr="004979CD">
        <w:t xml:space="preserve">Essential safety measures for construction of buildings, including rooming houses, are set out in the </w:t>
      </w:r>
      <w:r w:rsidRPr="00B279E6">
        <w:rPr>
          <w:i/>
          <w:iCs/>
        </w:rPr>
        <w:t>Building Regulations 20</w:t>
      </w:r>
      <w:r w:rsidRPr="00A94A9B">
        <w:rPr>
          <w:i/>
          <w:iCs/>
        </w:rPr>
        <w:t>18</w:t>
      </w:r>
      <w:r w:rsidRPr="004979CD">
        <w:t>. For a building to be converted into a rooming house, it must meet the requirements of the Building Regulations 2018.</w:t>
      </w:r>
    </w:p>
    <w:p w14:paraId="716A8449" w14:textId="4680ADCE" w:rsidR="003B64E4" w:rsidRDefault="003B64E4" w:rsidP="004472B8">
      <w:pPr>
        <w:pStyle w:val="Heading4"/>
        <w:numPr>
          <w:ilvl w:val="0"/>
          <w:numId w:val="0"/>
        </w:numPr>
      </w:pPr>
      <w:r>
        <w:t>Other Building Regulations</w:t>
      </w:r>
    </w:p>
    <w:p w14:paraId="4716CAA8" w14:textId="1940C89F" w:rsidR="005A12D6" w:rsidRDefault="005A12D6" w:rsidP="008C7F6E">
      <w:r w:rsidRPr="00E7303F">
        <w:t xml:space="preserve">Victoria’s </w:t>
      </w:r>
      <w:r w:rsidRPr="00776CBB">
        <w:t>building regulations</w:t>
      </w:r>
      <w:r w:rsidRPr="00E7303F">
        <w:t xml:space="preserve"> impose basic sanitation standards for most </w:t>
      </w:r>
      <w:r>
        <w:t>prescribed</w:t>
      </w:r>
      <w:r w:rsidRPr="00E7303F">
        <w:t xml:space="preserve"> accommodation buildings through the National Construction Code (NCC). Most of Victoria’s </w:t>
      </w:r>
      <w:r>
        <w:t>prescribed</w:t>
      </w:r>
      <w:r w:rsidRPr="00E7303F">
        <w:t xml:space="preserve"> accommodation is classified as Class 3 buildings under the NCC. Class 3 buildings are common places of long term or transient living for a number of unrelated persons. They include rooming houses, hostels, backpacker accommodation, hotels and motels. As Class 3 buildings, the NCC health and amenity requirements state that these buildings must have “</w:t>
      </w:r>
      <w:r w:rsidRPr="005A12D6">
        <w:rPr>
          <w:i/>
        </w:rPr>
        <w:t>A bath or shower and, a closet pan [toilet] and a washbasin for each 10 residents for who private facilities are not provided</w:t>
      </w:r>
      <w:r w:rsidRPr="00E7303F">
        <w:t>.”</w:t>
      </w:r>
      <w:r>
        <w:rPr>
          <w:rStyle w:val="FootnoteReference"/>
        </w:rPr>
        <w:footnoteReference w:id="10"/>
      </w:r>
      <w:r>
        <w:t xml:space="preserve"> </w:t>
      </w:r>
    </w:p>
    <w:p w14:paraId="0CB2FE65" w14:textId="2A2CE38A" w:rsidR="0022230A" w:rsidRDefault="0022230A" w:rsidP="008C7F6E">
      <w:pPr>
        <w:pStyle w:val="Heading4"/>
        <w:numPr>
          <w:ilvl w:val="0"/>
          <w:numId w:val="0"/>
        </w:numPr>
        <w:ind w:left="864" w:hanging="864"/>
      </w:pPr>
      <w:r>
        <w:t xml:space="preserve">Caravan parks and moveable dwellings </w:t>
      </w:r>
    </w:p>
    <w:p w14:paraId="73E7F540" w14:textId="724BCFDA" w:rsidR="00056D1C" w:rsidRPr="00056D1C" w:rsidRDefault="00A04D0E" w:rsidP="00056D1C">
      <w:r>
        <w:t xml:space="preserve">Standards and requirements similar to those </w:t>
      </w:r>
      <w:r w:rsidR="00C35B2F">
        <w:t>set out in the Regulations</w:t>
      </w:r>
      <w:r>
        <w:t xml:space="preserve"> apply to caravan parks and moveable dwellings under the Residential Tenancies (Caravan Parks and Movable Dwellings Registration and Standards) Regulations 20</w:t>
      </w:r>
      <w:r w:rsidR="0022230A">
        <w:t>2</w:t>
      </w:r>
      <w:r>
        <w:t>0</w:t>
      </w:r>
      <w:r w:rsidR="007078CC">
        <w:t xml:space="preserve">. </w:t>
      </w:r>
      <w:r>
        <w:t xml:space="preserve">Caravan parks and movable dwellings are </w:t>
      </w:r>
      <w:r>
        <w:lastRenderedPageBreak/>
        <w:t xml:space="preserve">exempted from prescribed accommodation as either “…houses, buildings or structures to which Part 4 of the Residential Tenancies Act 1997 applies” (r 14(g)) or as caravans, tents or vehicles (r 14(h)). </w:t>
      </w:r>
    </w:p>
    <w:p w14:paraId="65B3F6BA" w14:textId="563E4B0B" w:rsidR="00CF25E5" w:rsidRDefault="00040A7E" w:rsidP="0002529A">
      <w:pPr>
        <w:pStyle w:val="Heading2"/>
      </w:pPr>
      <w:bookmarkStart w:id="121" w:name="_Toc48638260"/>
      <w:bookmarkStart w:id="122" w:name="_Toc49460282"/>
      <w:r>
        <w:t>R</w:t>
      </w:r>
      <w:r w:rsidR="00A366B9" w:rsidRPr="00A366B9">
        <w:t>egulatory framework in other jurisdictions</w:t>
      </w:r>
      <w:bookmarkEnd w:id="121"/>
      <w:bookmarkEnd w:id="122"/>
    </w:p>
    <w:p w14:paraId="172CBE26" w14:textId="325D42BC" w:rsidR="00EA6BA7" w:rsidRDefault="008E6F3D" w:rsidP="00105319">
      <w:r>
        <w:t xml:space="preserve">There are a range of similar regulations across Australian states and territories that </w:t>
      </w:r>
      <w:r w:rsidR="007574E6">
        <w:t xml:space="preserve">establish expectations and standards </w:t>
      </w:r>
      <w:r w:rsidR="00EA6BA7">
        <w:t>to guide</w:t>
      </w:r>
      <w:r w:rsidR="007574E6">
        <w:t xml:space="preserve"> proprietors of </w:t>
      </w:r>
      <w:r w:rsidR="00EA6BA7">
        <w:t xml:space="preserve">shared accommodation facilities. These are outlined in </w:t>
      </w:r>
      <w:r w:rsidR="00105319">
        <w:fldChar w:fldCharType="begin"/>
      </w:r>
      <w:r w:rsidR="00105319">
        <w:instrText xml:space="preserve"> REF _Ref47347101 \h </w:instrText>
      </w:r>
      <w:r w:rsidR="00105319">
        <w:fldChar w:fldCharType="separate"/>
      </w:r>
      <w:r w:rsidR="00795309">
        <w:t xml:space="preserve">Table </w:t>
      </w:r>
      <w:r w:rsidR="00795309">
        <w:rPr>
          <w:noProof/>
        </w:rPr>
        <w:t>1</w:t>
      </w:r>
      <w:r w:rsidR="00795309">
        <w:noBreakHyphen/>
      </w:r>
      <w:r w:rsidR="00795309">
        <w:rPr>
          <w:noProof/>
        </w:rPr>
        <w:t>2</w:t>
      </w:r>
      <w:r w:rsidR="00105319">
        <w:fldChar w:fldCharType="end"/>
      </w:r>
      <w:r w:rsidR="00EA6BA7">
        <w:t xml:space="preserve"> below.</w:t>
      </w:r>
      <w:r w:rsidR="00A366B9" w:rsidRPr="00A366B9">
        <w:t xml:space="preserve"> </w:t>
      </w:r>
    </w:p>
    <w:p w14:paraId="6E8703BE" w14:textId="2120F617" w:rsidR="00105319" w:rsidRDefault="00105319" w:rsidP="00105319">
      <w:pPr>
        <w:pStyle w:val="Caption"/>
      </w:pPr>
      <w:bookmarkStart w:id="123" w:name="_Ref47347101"/>
      <w:r>
        <w:t xml:space="preserve">Table </w:t>
      </w:r>
      <w:r w:rsidR="004335F8">
        <w:fldChar w:fldCharType="begin"/>
      </w:r>
      <w:r w:rsidR="004335F8">
        <w:instrText xml:space="preserve"> STYLEREF 1 \s </w:instrText>
      </w:r>
      <w:r w:rsidR="004335F8">
        <w:fldChar w:fldCharType="separate"/>
      </w:r>
      <w:r w:rsidR="00795309">
        <w:rPr>
          <w:noProof/>
        </w:rPr>
        <w:t>1</w:t>
      </w:r>
      <w:r w:rsidR="004335F8">
        <w:fldChar w:fldCharType="end"/>
      </w:r>
      <w:r w:rsidR="004335F8">
        <w:noBreakHyphen/>
      </w:r>
      <w:r w:rsidR="004335F8">
        <w:fldChar w:fldCharType="begin"/>
      </w:r>
      <w:r w:rsidR="004335F8">
        <w:instrText xml:space="preserve"> SEQ Table \* ARABIC \s 1 </w:instrText>
      </w:r>
      <w:r w:rsidR="004335F8">
        <w:fldChar w:fldCharType="separate"/>
      </w:r>
      <w:r w:rsidR="00795309">
        <w:rPr>
          <w:noProof/>
        </w:rPr>
        <w:t>2</w:t>
      </w:r>
      <w:r w:rsidR="004335F8">
        <w:fldChar w:fldCharType="end"/>
      </w:r>
      <w:bookmarkEnd w:id="123"/>
      <w:r>
        <w:t xml:space="preserve"> </w:t>
      </w:r>
      <w:r w:rsidRPr="00105319">
        <w:t>State and territory regulations relevant to shared accommodation facilities</w:t>
      </w:r>
    </w:p>
    <w:tbl>
      <w:tblPr>
        <w:tblStyle w:val="Deloittetable"/>
        <w:tblW w:w="5079" w:type="pct"/>
        <w:tblBorders>
          <w:top w:val="none" w:sz="0" w:space="0" w:color="auto"/>
        </w:tblBorders>
        <w:tblLook w:val="04A0" w:firstRow="1" w:lastRow="0" w:firstColumn="1" w:lastColumn="0" w:noHBand="0" w:noVBand="1"/>
      </w:tblPr>
      <w:tblGrid>
        <w:gridCol w:w="1276"/>
        <w:gridCol w:w="1702"/>
        <w:gridCol w:w="6191"/>
      </w:tblGrid>
      <w:tr w:rsidR="00CF25E5" w:rsidRPr="00806743" w14:paraId="601DC23D" w14:textId="77777777" w:rsidTr="00BB183E">
        <w:trPr>
          <w:cnfStyle w:val="100000000000" w:firstRow="1" w:lastRow="0" w:firstColumn="0" w:lastColumn="0" w:oddVBand="0" w:evenVBand="0" w:oddHBand="0" w:evenHBand="0" w:firstRowFirstColumn="0" w:firstRowLastColumn="0" w:lastRowFirstColumn="0" w:lastRowLastColumn="0"/>
          <w:tblHeader/>
        </w:trPr>
        <w:tc>
          <w:tcPr>
            <w:tcW w:w="696" w:type="pct"/>
          </w:tcPr>
          <w:p w14:paraId="6C6F14F9" w14:textId="77777777" w:rsidR="00CF25E5" w:rsidRPr="00392D56" w:rsidRDefault="00CF25E5" w:rsidP="004740A1">
            <w:pPr>
              <w:pStyle w:val="TabletextLeft"/>
              <w:rPr>
                <w:rFonts w:asciiTheme="majorHAnsi" w:hAnsiTheme="majorHAnsi"/>
                <w:b/>
                <w:szCs w:val="17"/>
              </w:rPr>
            </w:pPr>
            <w:r>
              <w:rPr>
                <w:rFonts w:asciiTheme="majorHAnsi" w:hAnsiTheme="majorHAnsi"/>
                <w:b/>
                <w:szCs w:val="17"/>
              </w:rPr>
              <w:t>Jurisdiction</w:t>
            </w:r>
          </w:p>
        </w:tc>
        <w:tc>
          <w:tcPr>
            <w:tcW w:w="928" w:type="pct"/>
          </w:tcPr>
          <w:p w14:paraId="7C849362" w14:textId="77777777" w:rsidR="00CF25E5" w:rsidRPr="00392D56" w:rsidRDefault="00CF25E5" w:rsidP="004740A1">
            <w:pPr>
              <w:pStyle w:val="TabletextLeft"/>
              <w:rPr>
                <w:rFonts w:asciiTheme="majorHAnsi" w:hAnsiTheme="majorHAnsi"/>
                <w:b/>
                <w:szCs w:val="17"/>
              </w:rPr>
            </w:pPr>
            <w:r>
              <w:rPr>
                <w:rFonts w:asciiTheme="majorHAnsi" w:hAnsiTheme="majorHAnsi"/>
                <w:b/>
                <w:szCs w:val="17"/>
              </w:rPr>
              <w:t>Legislation or regulation</w:t>
            </w:r>
          </w:p>
        </w:tc>
        <w:tc>
          <w:tcPr>
            <w:tcW w:w="3376" w:type="pct"/>
            <w:tcBorders>
              <w:top w:val="nil"/>
              <w:right w:val="nil"/>
            </w:tcBorders>
          </w:tcPr>
          <w:p w14:paraId="05170B6B" w14:textId="282FFDBA" w:rsidR="00CF25E5" w:rsidRDefault="00464D8A" w:rsidP="004740A1">
            <w:pPr>
              <w:pStyle w:val="TabletextLeft"/>
              <w:rPr>
                <w:rFonts w:asciiTheme="majorHAnsi" w:hAnsiTheme="majorHAnsi"/>
                <w:b/>
                <w:szCs w:val="17"/>
              </w:rPr>
            </w:pPr>
            <w:r>
              <w:rPr>
                <w:rFonts w:asciiTheme="majorHAnsi" w:hAnsiTheme="majorHAnsi"/>
                <w:b/>
                <w:szCs w:val="17"/>
              </w:rPr>
              <w:t>Purpose</w:t>
            </w:r>
          </w:p>
        </w:tc>
      </w:tr>
      <w:tr w:rsidR="00124F8A" w:rsidRPr="00806743" w14:paraId="0264B6F8" w14:textId="77777777" w:rsidTr="00EC6844">
        <w:tc>
          <w:tcPr>
            <w:tcW w:w="696" w:type="pct"/>
          </w:tcPr>
          <w:p w14:paraId="05ED96A3" w14:textId="5CE5450D" w:rsidR="00124F8A" w:rsidRDefault="00124F8A" w:rsidP="005B2439">
            <w:pPr>
              <w:pStyle w:val="TabletextLeft"/>
              <w:rPr>
                <w:rFonts w:asciiTheme="majorHAnsi" w:hAnsiTheme="majorHAnsi"/>
                <w:szCs w:val="17"/>
              </w:rPr>
            </w:pPr>
            <w:r>
              <w:rPr>
                <w:rFonts w:asciiTheme="majorHAnsi" w:hAnsiTheme="majorHAnsi"/>
                <w:szCs w:val="17"/>
              </w:rPr>
              <w:t>ACT</w:t>
            </w:r>
          </w:p>
        </w:tc>
        <w:tc>
          <w:tcPr>
            <w:tcW w:w="928" w:type="pct"/>
            <w:tcBorders>
              <w:top w:val="single" w:sz="4" w:space="0" w:color="000000" w:themeColor="text1"/>
            </w:tcBorders>
          </w:tcPr>
          <w:p w14:paraId="06B890E8" w14:textId="01C597BE" w:rsidR="00124F8A" w:rsidRDefault="003B0789" w:rsidP="005B2439">
            <w:pPr>
              <w:pStyle w:val="TabletextLeft"/>
              <w:rPr>
                <w:rFonts w:asciiTheme="majorHAnsi" w:hAnsiTheme="majorHAnsi"/>
                <w:szCs w:val="17"/>
              </w:rPr>
            </w:pPr>
            <w:r>
              <w:rPr>
                <w:rFonts w:asciiTheme="majorHAnsi" w:hAnsiTheme="majorHAnsi"/>
                <w:szCs w:val="17"/>
              </w:rPr>
              <w:t>Residential Tenancies Act</w:t>
            </w:r>
            <w:r w:rsidR="00FE4415">
              <w:rPr>
                <w:rFonts w:asciiTheme="majorHAnsi" w:hAnsiTheme="majorHAnsi"/>
                <w:szCs w:val="17"/>
              </w:rPr>
              <w:t xml:space="preserve"> 1997</w:t>
            </w:r>
          </w:p>
        </w:tc>
        <w:tc>
          <w:tcPr>
            <w:tcW w:w="3376" w:type="pct"/>
            <w:tcBorders>
              <w:top w:val="single" w:sz="4" w:space="0" w:color="000000" w:themeColor="text1"/>
              <w:right w:val="nil"/>
            </w:tcBorders>
          </w:tcPr>
          <w:p w14:paraId="784E91E6" w14:textId="4007E24C" w:rsidR="00124F8A" w:rsidRDefault="00603D81" w:rsidP="00CA6E3B">
            <w:pPr>
              <w:pStyle w:val="ListBullet"/>
              <w:spacing w:after="0"/>
              <w:ind w:left="427" w:hanging="283"/>
            </w:pPr>
            <w:r>
              <w:t>Establishes that a residential tenancy a</w:t>
            </w:r>
            <w:r w:rsidR="0035405B">
              <w:t xml:space="preserve">greement is not required for lodgers or boarders </w:t>
            </w:r>
            <w:r w:rsidR="009372DB">
              <w:t>if their accommodation is</w:t>
            </w:r>
            <w:r w:rsidR="008E6DAE">
              <w:t>:</w:t>
            </w:r>
          </w:p>
          <w:p w14:paraId="1FB1F8E4" w14:textId="77777777" w:rsidR="008E6DAE" w:rsidRDefault="00525F59" w:rsidP="00CA6E3B">
            <w:pPr>
              <w:pStyle w:val="ListNumber"/>
              <w:numPr>
                <w:ilvl w:val="0"/>
                <w:numId w:val="26"/>
              </w:numPr>
              <w:ind w:left="427" w:hanging="283"/>
            </w:pPr>
            <w:r>
              <w:t>a car</w:t>
            </w:r>
            <w:r w:rsidR="0004492E">
              <w:t>avan or mobile home in a mobile home park</w:t>
            </w:r>
          </w:p>
          <w:p w14:paraId="47EE91F7" w14:textId="77777777" w:rsidR="0004492E" w:rsidRDefault="0004492E" w:rsidP="00CA6E3B">
            <w:pPr>
              <w:pStyle w:val="ListNumber"/>
              <w:numPr>
                <w:ilvl w:val="0"/>
                <w:numId w:val="26"/>
              </w:numPr>
              <w:ind w:left="427" w:hanging="283"/>
            </w:pPr>
            <w:r>
              <w:t xml:space="preserve">a hotel or motel </w:t>
            </w:r>
          </w:p>
          <w:p w14:paraId="03789586" w14:textId="77777777" w:rsidR="009372DB" w:rsidRDefault="00752B67" w:rsidP="00CA6E3B">
            <w:pPr>
              <w:pStyle w:val="ListNumber"/>
              <w:numPr>
                <w:ilvl w:val="0"/>
                <w:numId w:val="26"/>
              </w:numPr>
              <w:ind w:left="427" w:hanging="283"/>
            </w:pPr>
            <w:r>
              <w:t>used for a club</w:t>
            </w:r>
          </w:p>
          <w:p w14:paraId="497E911F" w14:textId="5C98FFCA" w:rsidR="00752B67" w:rsidRDefault="00C33608" w:rsidP="00CA6E3B">
            <w:pPr>
              <w:pStyle w:val="ListNumber"/>
              <w:numPr>
                <w:ilvl w:val="0"/>
                <w:numId w:val="26"/>
              </w:numPr>
              <w:ind w:left="427" w:hanging="283"/>
            </w:pPr>
            <w:r>
              <w:t>on the campus of an education institution</w:t>
            </w:r>
          </w:p>
          <w:p w14:paraId="6DE5670D" w14:textId="00CC2B1F" w:rsidR="00C33608" w:rsidRDefault="005912FD" w:rsidP="00CA6E3B">
            <w:pPr>
              <w:pStyle w:val="ListNumber"/>
              <w:numPr>
                <w:ilvl w:val="0"/>
                <w:numId w:val="26"/>
              </w:numPr>
              <w:ind w:left="427" w:hanging="283"/>
            </w:pPr>
            <w:r>
              <w:t>prescribed by regulation</w:t>
            </w:r>
          </w:p>
          <w:p w14:paraId="719BD5C4" w14:textId="7D5E66EB" w:rsidR="00124F8A" w:rsidRPr="005D7224" w:rsidRDefault="005D7224" w:rsidP="00F0077F">
            <w:pPr>
              <w:pStyle w:val="ListBullet"/>
              <w:spacing w:after="0"/>
              <w:ind w:left="427" w:hanging="283"/>
              <w:rPr>
                <w:i/>
              </w:rPr>
            </w:pPr>
            <w:r w:rsidRPr="005D7224">
              <w:rPr>
                <w:i/>
                <w:iCs/>
              </w:rPr>
              <w:t xml:space="preserve">N.B: </w:t>
            </w:r>
            <w:r w:rsidR="00E92558" w:rsidRPr="005D7224">
              <w:rPr>
                <w:i/>
              </w:rPr>
              <w:t xml:space="preserve">There does not appear to be any contemporary </w:t>
            </w:r>
            <w:r w:rsidR="00DF424E">
              <w:rPr>
                <w:i/>
                <w:iCs/>
              </w:rPr>
              <w:t>public health or tenanc</w:t>
            </w:r>
            <w:r w:rsidR="00CA1C04">
              <w:rPr>
                <w:i/>
                <w:iCs/>
              </w:rPr>
              <w:t xml:space="preserve">y </w:t>
            </w:r>
            <w:r w:rsidR="00E92558" w:rsidRPr="005D7224">
              <w:rPr>
                <w:i/>
                <w:iCs/>
              </w:rPr>
              <w:t xml:space="preserve">legislation </w:t>
            </w:r>
            <w:r w:rsidR="00CA1C04">
              <w:rPr>
                <w:i/>
                <w:iCs/>
              </w:rPr>
              <w:t>that refers to</w:t>
            </w:r>
            <w:r w:rsidR="00E92558" w:rsidRPr="005D7224">
              <w:rPr>
                <w:i/>
              </w:rPr>
              <w:t xml:space="preserve"> prescribed accommodation, boarding houses</w:t>
            </w:r>
            <w:r w:rsidR="00AA233D">
              <w:rPr>
                <w:i/>
                <w:iCs/>
              </w:rPr>
              <w:t>,</w:t>
            </w:r>
            <w:r w:rsidR="00E92558" w:rsidRPr="005D7224">
              <w:rPr>
                <w:i/>
              </w:rPr>
              <w:t xml:space="preserve"> rooming houses</w:t>
            </w:r>
            <w:r w:rsidR="00AA233D">
              <w:rPr>
                <w:i/>
                <w:iCs/>
              </w:rPr>
              <w:t>, caravan parks, or student accommodation</w:t>
            </w:r>
            <w:r w:rsidR="00E92558" w:rsidRPr="005D7224">
              <w:rPr>
                <w:i/>
              </w:rPr>
              <w:t xml:space="preserve"> in the ACT.</w:t>
            </w:r>
          </w:p>
        </w:tc>
      </w:tr>
      <w:tr w:rsidR="00CF25E5" w:rsidRPr="00806743" w14:paraId="606B572D" w14:textId="77777777" w:rsidTr="00EC6844">
        <w:tc>
          <w:tcPr>
            <w:tcW w:w="696" w:type="pct"/>
            <w:tcBorders>
              <w:bottom w:val="single" w:sz="4" w:space="0" w:color="000000" w:themeColor="text1"/>
            </w:tcBorders>
          </w:tcPr>
          <w:p w14:paraId="5076267C" w14:textId="77777777" w:rsidR="00C23D5F" w:rsidRDefault="00C23D5F" w:rsidP="00C23D5F">
            <w:pPr>
              <w:spacing w:after="0" w:line="240" w:lineRule="auto"/>
              <w:rPr>
                <w:rFonts w:ascii="Times New Roman" w:hAnsi="Times New Roman" w:cs="Times New Roman"/>
                <w:sz w:val="24"/>
                <w:szCs w:val="24"/>
                <w:lang w:eastAsia="en-AU"/>
              </w:rPr>
            </w:pPr>
            <w:r>
              <w:rPr>
                <w:rFonts w:asciiTheme="majorHAnsi" w:hAnsiTheme="majorHAnsi"/>
                <w:szCs w:val="17"/>
              </w:rPr>
              <w:t>NSW</w:t>
            </w:r>
            <w:r>
              <w:rPr>
                <w:rFonts w:ascii="Times New Roman" w:hAnsi="Times New Roman" w:cs="Times New Roman"/>
                <w:sz w:val="24"/>
                <w:szCs w:val="24"/>
                <w:lang w:eastAsia="en-AU"/>
              </w:rPr>
              <w:t xml:space="preserve"> </w:t>
            </w:r>
          </w:p>
          <w:p w14:paraId="70B18B1A" w14:textId="2AC22DF4" w:rsidR="00CF25E5" w:rsidRDefault="00CF25E5" w:rsidP="004740A1">
            <w:pPr>
              <w:pStyle w:val="TabletextLeft"/>
              <w:rPr>
                <w:rFonts w:asciiTheme="majorHAnsi" w:hAnsiTheme="majorHAnsi"/>
                <w:szCs w:val="17"/>
              </w:rPr>
            </w:pPr>
          </w:p>
        </w:tc>
        <w:tc>
          <w:tcPr>
            <w:tcW w:w="928" w:type="pct"/>
            <w:tcBorders>
              <w:top w:val="single" w:sz="4" w:space="0" w:color="000000" w:themeColor="text1"/>
            </w:tcBorders>
          </w:tcPr>
          <w:p w14:paraId="663268B1" w14:textId="444EE5A0" w:rsidR="00CF25E5" w:rsidRDefault="00C24E8E" w:rsidP="004740A1">
            <w:pPr>
              <w:pStyle w:val="TabletextLeft"/>
              <w:rPr>
                <w:rFonts w:asciiTheme="majorHAnsi" w:hAnsiTheme="majorHAnsi"/>
                <w:szCs w:val="17"/>
              </w:rPr>
            </w:pPr>
            <w:r w:rsidRPr="00C24E8E">
              <w:rPr>
                <w:rFonts w:asciiTheme="majorHAnsi" w:hAnsiTheme="majorHAnsi"/>
                <w:szCs w:val="17"/>
              </w:rPr>
              <w:t>Boarding Houses Act 2012</w:t>
            </w:r>
          </w:p>
        </w:tc>
        <w:tc>
          <w:tcPr>
            <w:tcW w:w="3376" w:type="pct"/>
            <w:tcBorders>
              <w:top w:val="single" w:sz="4" w:space="0" w:color="000000" w:themeColor="text1"/>
              <w:right w:val="nil"/>
            </w:tcBorders>
          </w:tcPr>
          <w:p w14:paraId="494E5E6F" w14:textId="77777777" w:rsidR="00DE74B9" w:rsidRDefault="00510900" w:rsidP="00CA6E3B">
            <w:pPr>
              <w:pStyle w:val="ListBullet"/>
              <w:ind w:left="427" w:hanging="283"/>
            </w:pPr>
            <w:r>
              <w:t xml:space="preserve">Establishes requirements for the </w:t>
            </w:r>
            <w:r w:rsidR="0042602C">
              <w:t xml:space="preserve">registration and regulation of </w:t>
            </w:r>
            <w:r w:rsidR="009223F6">
              <w:t>boarding houses</w:t>
            </w:r>
            <w:r w:rsidR="00186527">
              <w:t>, inclu</w:t>
            </w:r>
            <w:r w:rsidR="003A003C">
              <w:t>ding assisted boarding houses</w:t>
            </w:r>
          </w:p>
          <w:p w14:paraId="5AEBE476" w14:textId="21A53AD7" w:rsidR="002E0191" w:rsidRDefault="006F536B" w:rsidP="00CA6E3B">
            <w:pPr>
              <w:pStyle w:val="ListBullet"/>
              <w:ind w:left="427" w:hanging="283"/>
            </w:pPr>
            <w:r>
              <w:t>Defines Boarding Houses</w:t>
            </w:r>
            <w:r w:rsidR="00476132">
              <w:t xml:space="preserve"> as </w:t>
            </w:r>
            <w:r w:rsidR="00476132" w:rsidRPr="00476132">
              <w:t>provid</w:t>
            </w:r>
            <w:r w:rsidR="00476132">
              <w:t xml:space="preserve">ing occupants </w:t>
            </w:r>
            <w:r w:rsidR="00476132" w:rsidRPr="00476132">
              <w:t>with a principal place of residence and beds for five or more residents</w:t>
            </w:r>
          </w:p>
          <w:p w14:paraId="53923B67" w14:textId="15563213" w:rsidR="00476132" w:rsidRDefault="00476132" w:rsidP="00CA6E3B">
            <w:pPr>
              <w:pStyle w:val="ListBullet"/>
              <w:ind w:left="427" w:hanging="283"/>
            </w:pPr>
            <w:r>
              <w:t xml:space="preserve">Defines Assisted boarding houses as </w:t>
            </w:r>
            <w:r w:rsidR="00C51516" w:rsidRPr="00C51516">
              <w:t>provid</w:t>
            </w:r>
            <w:r w:rsidR="00C51516">
              <w:t>ing</w:t>
            </w:r>
            <w:r w:rsidR="00C51516" w:rsidRPr="00C51516">
              <w:t xml:space="preserve"> accommodation and other services to people with disability who need a high level of care for 2 or more residents</w:t>
            </w:r>
          </w:p>
          <w:p w14:paraId="2A932D6F" w14:textId="2B9B09A0" w:rsidR="005666EA" w:rsidRPr="00051BE2" w:rsidRDefault="00CF227D" w:rsidP="00CA6E3B">
            <w:pPr>
              <w:pStyle w:val="ListBullet"/>
              <w:ind w:left="427" w:hanging="283"/>
            </w:pPr>
            <w:r>
              <w:t>Ensures</w:t>
            </w:r>
            <w:r w:rsidR="00CC0E9F">
              <w:t xml:space="preserve"> occupants have the right to </w:t>
            </w:r>
            <w:r w:rsidR="006F1849">
              <w:t>clean, secure</w:t>
            </w:r>
            <w:r w:rsidR="00FC1780">
              <w:t xml:space="preserve"> and quiet accommodat</w:t>
            </w:r>
            <w:r w:rsidR="0032146C">
              <w:t>i</w:t>
            </w:r>
            <w:r w:rsidR="00FC1780">
              <w:t>on in a good state of repair</w:t>
            </w:r>
          </w:p>
          <w:p w14:paraId="0026D648" w14:textId="47F1EF1A" w:rsidR="002D2BBD" w:rsidRDefault="00A6626C" w:rsidP="00CA6E3B">
            <w:pPr>
              <w:pStyle w:val="ListBullet"/>
              <w:ind w:left="427" w:hanging="283"/>
            </w:pPr>
            <w:r>
              <w:t xml:space="preserve">Authorises </w:t>
            </w:r>
            <w:r w:rsidR="009E09C4">
              <w:t xml:space="preserve">the NSW Civil and Administrative Tribunal (NCAT) to </w:t>
            </w:r>
            <w:r w:rsidR="007743A6">
              <w:t xml:space="preserve">facilitate disputes between proprietors and </w:t>
            </w:r>
            <w:r w:rsidR="004D71BA">
              <w:t>occupant</w:t>
            </w:r>
            <w:r w:rsidR="002E0191">
              <w:t>s</w:t>
            </w:r>
            <w:r w:rsidR="006E0EAC">
              <w:t>.</w:t>
            </w:r>
          </w:p>
          <w:p w14:paraId="36E73F12" w14:textId="45863133" w:rsidR="00207E5C" w:rsidRPr="000738BE" w:rsidRDefault="00D97273" w:rsidP="0085590D">
            <w:pPr>
              <w:pStyle w:val="ListBullet"/>
              <w:spacing w:after="0"/>
              <w:ind w:left="427" w:hanging="283"/>
              <w:rPr>
                <w:i/>
              </w:rPr>
            </w:pPr>
            <w:r w:rsidRPr="00AA002C">
              <w:rPr>
                <w:i/>
                <w:iCs/>
              </w:rPr>
              <w:t xml:space="preserve">N.B: </w:t>
            </w:r>
            <w:r w:rsidR="003179C0" w:rsidRPr="00AA002C">
              <w:rPr>
                <w:i/>
                <w:iCs/>
              </w:rPr>
              <w:t>The Act excludes</w:t>
            </w:r>
            <w:r w:rsidR="00515218" w:rsidRPr="00AA002C">
              <w:rPr>
                <w:i/>
                <w:iCs/>
              </w:rPr>
              <w:t xml:space="preserve"> hotels, motels,</w:t>
            </w:r>
            <w:r w:rsidR="003179C0" w:rsidRPr="00AA002C">
              <w:rPr>
                <w:i/>
                <w:iCs/>
              </w:rPr>
              <w:t xml:space="preserve"> </w:t>
            </w:r>
            <w:r w:rsidR="00B44D83" w:rsidRPr="00606ADC">
              <w:rPr>
                <w:i/>
                <w:iCs/>
              </w:rPr>
              <w:t xml:space="preserve">caravan parks, tents, </w:t>
            </w:r>
            <w:r w:rsidR="00515218" w:rsidRPr="0085590D">
              <w:rPr>
                <w:i/>
                <w:iCs/>
              </w:rPr>
              <w:t>student accommodation, and health and residential care facilit</w:t>
            </w:r>
            <w:r w:rsidR="00515218" w:rsidRPr="005B1517">
              <w:rPr>
                <w:i/>
                <w:iCs/>
              </w:rPr>
              <w:t>ies.</w:t>
            </w:r>
          </w:p>
        </w:tc>
      </w:tr>
      <w:tr w:rsidR="00CF25E5" w:rsidRPr="00806743" w14:paraId="698A87B4" w14:textId="77777777" w:rsidTr="00EC6844">
        <w:trPr>
          <w:trHeight w:val="1524"/>
        </w:trPr>
        <w:tc>
          <w:tcPr>
            <w:tcW w:w="696" w:type="pct"/>
            <w:tcBorders>
              <w:top w:val="single" w:sz="4" w:space="0" w:color="000000" w:themeColor="text1"/>
              <w:bottom w:val="nil"/>
            </w:tcBorders>
          </w:tcPr>
          <w:p w14:paraId="10FC37B0" w14:textId="305806C4" w:rsidR="00CF25E5" w:rsidRDefault="007B438A" w:rsidP="004740A1">
            <w:pPr>
              <w:pStyle w:val="TabletextLeft"/>
              <w:rPr>
                <w:rFonts w:asciiTheme="majorHAnsi" w:hAnsiTheme="majorHAnsi"/>
                <w:szCs w:val="17"/>
              </w:rPr>
            </w:pPr>
            <w:r>
              <w:rPr>
                <w:rFonts w:asciiTheme="majorHAnsi" w:hAnsiTheme="majorHAnsi"/>
                <w:szCs w:val="17"/>
              </w:rPr>
              <w:t>NT</w:t>
            </w:r>
          </w:p>
        </w:tc>
        <w:tc>
          <w:tcPr>
            <w:tcW w:w="928" w:type="pct"/>
          </w:tcPr>
          <w:p w14:paraId="36F1025A" w14:textId="0DF747F4" w:rsidR="00CF25E5" w:rsidRPr="007A36C9" w:rsidRDefault="00C57539" w:rsidP="004740A1">
            <w:pPr>
              <w:pStyle w:val="TabletextLeft"/>
            </w:pPr>
            <w:r w:rsidRPr="00C57539">
              <w:t>Residential Tenancies Regulations</w:t>
            </w:r>
          </w:p>
        </w:tc>
        <w:tc>
          <w:tcPr>
            <w:tcW w:w="3376" w:type="pct"/>
          </w:tcPr>
          <w:p w14:paraId="755A5F0D" w14:textId="3F052F7F" w:rsidR="00C57539" w:rsidRDefault="00DD1659" w:rsidP="00CA6E3B">
            <w:pPr>
              <w:pStyle w:val="ListBullet"/>
              <w:ind w:left="427" w:hanging="283"/>
            </w:pPr>
            <w:r>
              <w:t xml:space="preserve">Applies to </w:t>
            </w:r>
            <w:r w:rsidR="009C6445" w:rsidRPr="009C6445">
              <w:t>boarders and lodgers only if the person boards or lodges from week to week</w:t>
            </w:r>
            <w:r w:rsidR="00497119">
              <w:t>,</w:t>
            </w:r>
            <w:r w:rsidR="009C6445" w:rsidRPr="009C6445">
              <w:t xml:space="preserve"> for more than a week or is one of 3 or more people</w:t>
            </w:r>
            <w:r w:rsidR="003A1F5C">
              <w:t xml:space="preserve"> (compared to 4+ in Victoria)</w:t>
            </w:r>
          </w:p>
          <w:p w14:paraId="4F39CD51" w14:textId="77866B66" w:rsidR="000D4AD9" w:rsidRPr="00051BE2" w:rsidRDefault="000D4AD9" w:rsidP="00CA6E3B">
            <w:pPr>
              <w:pStyle w:val="ListBullet"/>
              <w:ind w:left="427" w:hanging="283"/>
            </w:pPr>
            <w:r>
              <w:t>States occupants have the right to clean, secure and quiet accommodation in a good state of repair</w:t>
            </w:r>
          </w:p>
          <w:p w14:paraId="56F3FF00" w14:textId="12095AB4" w:rsidR="00CF25E5" w:rsidRPr="007A36C9" w:rsidRDefault="00450B4E" w:rsidP="00F0077F">
            <w:pPr>
              <w:pStyle w:val="ListBullet"/>
              <w:spacing w:after="0"/>
              <w:ind w:left="427" w:hanging="283"/>
            </w:pPr>
            <w:r>
              <w:t>F</w:t>
            </w:r>
            <w:r w:rsidRPr="00450B4E">
              <w:t>acilitate</w:t>
            </w:r>
            <w:r>
              <w:t>s</w:t>
            </w:r>
            <w:r w:rsidRPr="00450B4E">
              <w:t xml:space="preserve"> a fair rent </w:t>
            </w:r>
            <w:r>
              <w:t>for</w:t>
            </w:r>
            <w:r w:rsidRPr="00450B4E">
              <w:t xml:space="preserve"> safe and habitable accommodation to tenants</w:t>
            </w:r>
            <w:r w:rsidR="00845F2A">
              <w:t>.</w:t>
            </w:r>
          </w:p>
        </w:tc>
      </w:tr>
      <w:tr w:rsidR="00C57539" w:rsidRPr="00806743" w14:paraId="2433947D" w14:textId="77777777" w:rsidTr="00EC6844">
        <w:tc>
          <w:tcPr>
            <w:tcW w:w="696" w:type="pct"/>
            <w:tcBorders>
              <w:top w:val="nil"/>
            </w:tcBorders>
          </w:tcPr>
          <w:p w14:paraId="02BC1BB5" w14:textId="77777777" w:rsidR="00C57539" w:rsidRDefault="00C57539" w:rsidP="00F34042">
            <w:pPr>
              <w:pStyle w:val="TabletextLeft"/>
              <w:rPr>
                <w:rFonts w:asciiTheme="majorHAnsi" w:hAnsiTheme="majorHAnsi"/>
                <w:szCs w:val="17"/>
              </w:rPr>
            </w:pPr>
          </w:p>
        </w:tc>
        <w:tc>
          <w:tcPr>
            <w:tcW w:w="928" w:type="pct"/>
          </w:tcPr>
          <w:p w14:paraId="057F9CC4" w14:textId="02B0C415" w:rsidR="00C57539" w:rsidRPr="00C57539" w:rsidRDefault="009A2DE1" w:rsidP="00F34042">
            <w:pPr>
              <w:pStyle w:val="TabletextLeft"/>
            </w:pPr>
            <w:r w:rsidRPr="009A2DE1">
              <w:t>Public and Environmental Health Regulations 2018</w:t>
            </w:r>
          </w:p>
        </w:tc>
        <w:tc>
          <w:tcPr>
            <w:tcW w:w="3376" w:type="pct"/>
          </w:tcPr>
          <w:p w14:paraId="14E2A455" w14:textId="507D8EC4" w:rsidR="002B02C7" w:rsidRDefault="002B02C7" w:rsidP="00CA6E3B">
            <w:pPr>
              <w:pStyle w:val="ListBullet"/>
              <w:ind w:left="427" w:hanging="283"/>
            </w:pPr>
            <w:r>
              <w:t xml:space="preserve">Applies to </w:t>
            </w:r>
            <w:r w:rsidRPr="002B02C7">
              <w:t>accomm</w:t>
            </w:r>
            <w:r w:rsidR="00285DE8">
              <w:t>odation</w:t>
            </w:r>
            <w:r w:rsidRPr="002B02C7">
              <w:t xml:space="preserve"> that can </w:t>
            </w:r>
            <w:r w:rsidR="00285DE8">
              <w:t>sleep</w:t>
            </w:r>
            <w:r w:rsidRPr="002B02C7">
              <w:t xml:space="preserve"> 7 </w:t>
            </w:r>
            <w:r w:rsidR="00285DE8">
              <w:t>people or more, ex</w:t>
            </w:r>
            <w:r w:rsidR="00285DE8" w:rsidRPr="002B02C7">
              <w:t xml:space="preserve">cludes ‘normal’ tenant and caravan site agreements </w:t>
            </w:r>
          </w:p>
          <w:p w14:paraId="578078D0" w14:textId="12D873E4" w:rsidR="000D6321" w:rsidRDefault="00985F97" w:rsidP="00CA6E3B">
            <w:pPr>
              <w:pStyle w:val="ListBullet"/>
              <w:ind w:left="427" w:hanging="283"/>
            </w:pPr>
            <w:r>
              <w:t xml:space="preserve">Establishes standards for </w:t>
            </w:r>
            <w:r w:rsidR="000D6321" w:rsidRPr="000D6321">
              <w:t>maintenance, water/ablution facilities, a minimum floor area (unspecified)</w:t>
            </w:r>
            <w:r w:rsidR="00B077E7">
              <w:t>, and changes to b</w:t>
            </w:r>
            <w:r w:rsidR="00B077E7" w:rsidRPr="000D6321">
              <w:t>asic clean linen</w:t>
            </w:r>
          </w:p>
          <w:p w14:paraId="0BADC38C" w14:textId="089B1FE4" w:rsidR="00C57539" w:rsidRPr="007A36C9" w:rsidRDefault="00AB1A6B" w:rsidP="00F0077F">
            <w:pPr>
              <w:pStyle w:val="ListBullet"/>
              <w:spacing w:after="0"/>
              <w:ind w:left="427" w:hanging="283"/>
            </w:pPr>
            <w:r>
              <w:t>D</w:t>
            </w:r>
            <w:r w:rsidRPr="00AB1A6B">
              <w:t>efine</w:t>
            </w:r>
            <w:r>
              <w:t>s</w:t>
            </w:r>
            <w:r w:rsidRPr="00AB1A6B">
              <w:t xml:space="preserve"> commercial visitor accommodation as a regulated activity</w:t>
            </w:r>
            <w:r w:rsidR="00285DE8">
              <w:t>.</w:t>
            </w:r>
          </w:p>
        </w:tc>
      </w:tr>
      <w:tr w:rsidR="00CF25E5" w:rsidRPr="00806743" w14:paraId="7218CEBB" w14:textId="77777777" w:rsidTr="00EC6844">
        <w:tc>
          <w:tcPr>
            <w:tcW w:w="696" w:type="pct"/>
          </w:tcPr>
          <w:p w14:paraId="0284E307" w14:textId="4CD7835E" w:rsidR="00CF25E5" w:rsidRDefault="007B438A" w:rsidP="004740A1">
            <w:pPr>
              <w:pStyle w:val="TabletextLeft"/>
              <w:rPr>
                <w:rFonts w:asciiTheme="majorHAnsi" w:hAnsiTheme="majorHAnsi"/>
                <w:szCs w:val="17"/>
              </w:rPr>
            </w:pPr>
            <w:r>
              <w:rPr>
                <w:rFonts w:asciiTheme="majorHAnsi" w:hAnsiTheme="majorHAnsi"/>
                <w:szCs w:val="17"/>
              </w:rPr>
              <w:t>QLD</w:t>
            </w:r>
          </w:p>
        </w:tc>
        <w:tc>
          <w:tcPr>
            <w:tcW w:w="928" w:type="pct"/>
          </w:tcPr>
          <w:p w14:paraId="3F0646D4" w14:textId="11275639" w:rsidR="00CF25E5" w:rsidRDefault="0086060D" w:rsidP="004740A1">
            <w:pPr>
              <w:pStyle w:val="TabletextLeft"/>
              <w:rPr>
                <w:rFonts w:asciiTheme="majorHAnsi" w:hAnsiTheme="majorHAnsi"/>
                <w:szCs w:val="17"/>
              </w:rPr>
            </w:pPr>
            <w:r w:rsidRPr="0086060D">
              <w:rPr>
                <w:rFonts w:asciiTheme="majorHAnsi" w:hAnsiTheme="majorHAnsi"/>
                <w:szCs w:val="17"/>
              </w:rPr>
              <w:t xml:space="preserve">Residential Tenancies </w:t>
            </w:r>
            <w:r w:rsidR="00785C53" w:rsidRPr="00785C53">
              <w:rPr>
                <w:rFonts w:asciiTheme="majorHAnsi" w:hAnsiTheme="majorHAnsi"/>
                <w:szCs w:val="17"/>
              </w:rPr>
              <w:t xml:space="preserve">and Rooming Accommodation </w:t>
            </w:r>
            <w:r w:rsidRPr="0086060D">
              <w:rPr>
                <w:rFonts w:asciiTheme="majorHAnsi" w:hAnsiTheme="majorHAnsi"/>
                <w:szCs w:val="17"/>
              </w:rPr>
              <w:t xml:space="preserve">Act </w:t>
            </w:r>
            <w:r w:rsidR="00785C53" w:rsidRPr="00785C53">
              <w:rPr>
                <w:rFonts w:asciiTheme="majorHAnsi" w:hAnsiTheme="majorHAnsi"/>
                <w:szCs w:val="17"/>
              </w:rPr>
              <w:t>2008</w:t>
            </w:r>
          </w:p>
        </w:tc>
        <w:tc>
          <w:tcPr>
            <w:tcW w:w="3376" w:type="pct"/>
          </w:tcPr>
          <w:p w14:paraId="0CE50087" w14:textId="48C03D7B" w:rsidR="0086060D" w:rsidRDefault="00552D01" w:rsidP="00CA6E3B">
            <w:pPr>
              <w:pStyle w:val="ListBullet"/>
              <w:ind w:left="427" w:hanging="283"/>
            </w:pPr>
            <w:r>
              <w:t>Applies to</w:t>
            </w:r>
            <w:r w:rsidR="00817545" w:rsidRPr="00817545">
              <w:t xml:space="preserve"> </w:t>
            </w:r>
            <w:r w:rsidR="00490814">
              <w:t>rooming style accommodation including</w:t>
            </w:r>
            <w:r w:rsidR="00817545" w:rsidRPr="00817545">
              <w:t xml:space="preserve"> boarding houses, supported accommodation, off-campus student accommodation, licensed premises and employer-provided accommodation</w:t>
            </w:r>
            <w:r w:rsidR="002164AC">
              <w:t>, and rooming houses</w:t>
            </w:r>
            <w:r w:rsidR="00871F32">
              <w:t xml:space="preserve"> with shared facilities</w:t>
            </w:r>
          </w:p>
          <w:p w14:paraId="6ED81133" w14:textId="120372A6" w:rsidR="00CF25E5" w:rsidRDefault="00A46B3D" w:rsidP="00F0077F">
            <w:pPr>
              <w:pStyle w:val="ListBullet"/>
              <w:spacing w:after="0"/>
              <w:ind w:left="427" w:hanging="283"/>
            </w:pPr>
            <w:r>
              <w:t>Prescribes</w:t>
            </w:r>
            <w:r w:rsidRPr="00A46B3D">
              <w:t xml:space="preserve"> minimum housing standards for rental accommodation</w:t>
            </w:r>
            <w:r w:rsidR="00EF5CCB">
              <w:t xml:space="preserve"> to support occupant health and safety</w:t>
            </w:r>
            <w:r w:rsidR="00490814">
              <w:t>.</w:t>
            </w:r>
          </w:p>
        </w:tc>
      </w:tr>
      <w:tr w:rsidR="0086060D" w:rsidRPr="00806743" w14:paraId="3562AF3B" w14:textId="77777777" w:rsidTr="00EC6844">
        <w:tc>
          <w:tcPr>
            <w:tcW w:w="696" w:type="pct"/>
          </w:tcPr>
          <w:p w14:paraId="7DCC22CB" w14:textId="77777777" w:rsidR="0086060D" w:rsidRDefault="0086060D" w:rsidP="00575F99">
            <w:pPr>
              <w:pStyle w:val="TabletextLeft"/>
              <w:rPr>
                <w:rFonts w:asciiTheme="majorHAnsi" w:hAnsiTheme="majorHAnsi"/>
                <w:szCs w:val="17"/>
              </w:rPr>
            </w:pPr>
          </w:p>
        </w:tc>
        <w:tc>
          <w:tcPr>
            <w:tcW w:w="928" w:type="pct"/>
          </w:tcPr>
          <w:p w14:paraId="1B5FCBA5" w14:textId="3E782103" w:rsidR="0086060D" w:rsidRPr="0086060D" w:rsidRDefault="00F76585" w:rsidP="00575F99">
            <w:pPr>
              <w:pStyle w:val="TabletextLeft"/>
              <w:rPr>
                <w:rFonts w:asciiTheme="majorHAnsi" w:hAnsiTheme="majorHAnsi"/>
                <w:szCs w:val="17"/>
              </w:rPr>
            </w:pPr>
            <w:r w:rsidRPr="00F76585">
              <w:rPr>
                <w:rFonts w:asciiTheme="majorHAnsi" w:hAnsiTheme="majorHAnsi"/>
                <w:szCs w:val="17"/>
              </w:rPr>
              <w:t>Building Act 1975</w:t>
            </w:r>
          </w:p>
        </w:tc>
        <w:tc>
          <w:tcPr>
            <w:tcW w:w="3376" w:type="pct"/>
          </w:tcPr>
          <w:p w14:paraId="45144332" w14:textId="1D27C8EB" w:rsidR="0086060D" w:rsidRDefault="00FB3340" w:rsidP="00F0077F">
            <w:pPr>
              <w:pStyle w:val="ListBullet"/>
              <w:spacing w:after="0"/>
              <w:ind w:left="427" w:hanging="283"/>
            </w:pPr>
            <w:r>
              <w:t xml:space="preserve">Applies to </w:t>
            </w:r>
            <w:r w:rsidR="00CA5B91">
              <w:t>affordable</w:t>
            </w:r>
            <w:r w:rsidRPr="00FB3340">
              <w:t xml:space="preserve"> accommodation</w:t>
            </w:r>
            <w:r w:rsidR="00FD4589">
              <w:t xml:space="preserve"> </w:t>
            </w:r>
            <w:r w:rsidR="002E247B">
              <w:t xml:space="preserve">including </w:t>
            </w:r>
            <w:r w:rsidRPr="00FB3340">
              <w:t>boarding house</w:t>
            </w:r>
            <w:r w:rsidR="002E247B">
              <w:t>s</w:t>
            </w:r>
            <w:r w:rsidRPr="00FB3340">
              <w:t xml:space="preserve">, </w:t>
            </w:r>
            <w:r w:rsidR="002E247B">
              <w:t>hostels</w:t>
            </w:r>
            <w:r w:rsidRPr="00FB3340">
              <w:t>, guesthouse</w:t>
            </w:r>
            <w:r w:rsidR="002E247B">
              <w:t>s</w:t>
            </w:r>
            <w:r w:rsidRPr="00FB3340">
              <w:t xml:space="preserve">, B&amp;Bs, </w:t>
            </w:r>
            <w:r w:rsidR="002E247B" w:rsidRPr="00FB3340">
              <w:t>farm sta</w:t>
            </w:r>
            <w:r w:rsidR="002E247B">
              <w:t>ys</w:t>
            </w:r>
            <w:r w:rsidRPr="00FB3340">
              <w:t>,</w:t>
            </w:r>
            <w:r w:rsidR="002E247B">
              <w:t xml:space="preserve"> and </w:t>
            </w:r>
            <w:r w:rsidRPr="00FB3340">
              <w:t>hotel</w:t>
            </w:r>
            <w:r w:rsidR="002E247B">
              <w:t>s that accommodate six or more people</w:t>
            </w:r>
            <w:r w:rsidR="00B47ED1">
              <w:t>.</w:t>
            </w:r>
          </w:p>
        </w:tc>
      </w:tr>
      <w:tr w:rsidR="00CF25E5" w:rsidRPr="00806743" w14:paraId="484AD8B3" w14:textId="77777777" w:rsidTr="00EC6844">
        <w:tc>
          <w:tcPr>
            <w:tcW w:w="696" w:type="pct"/>
          </w:tcPr>
          <w:p w14:paraId="3CBFC9DB" w14:textId="6AFAAF96" w:rsidR="00CF25E5" w:rsidRDefault="007B438A" w:rsidP="004740A1">
            <w:pPr>
              <w:pStyle w:val="TabletextLeft"/>
              <w:rPr>
                <w:rFonts w:asciiTheme="majorHAnsi" w:hAnsiTheme="majorHAnsi"/>
                <w:szCs w:val="17"/>
              </w:rPr>
            </w:pPr>
            <w:r>
              <w:rPr>
                <w:rFonts w:asciiTheme="majorHAnsi" w:hAnsiTheme="majorHAnsi"/>
                <w:szCs w:val="17"/>
              </w:rPr>
              <w:t>SA</w:t>
            </w:r>
          </w:p>
        </w:tc>
        <w:tc>
          <w:tcPr>
            <w:tcW w:w="928" w:type="pct"/>
          </w:tcPr>
          <w:p w14:paraId="24AF9C05" w14:textId="342B1134" w:rsidR="00CF25E5" w:rsidRDefault="00105A76" w:rsidP="004740A1">
            <w:pPr>
              <w:pStyle w:val="TabletextLeft"/>
              <w:rPr>
                <w:rFonts w:asciiTheme="majorHAnsi" w:hAnsiTheme="majorHAnsi"/>
                <w:szCs w:val="17"/>
              </w:rPr>
            </w:pPr>
            <w:r w:rsidRPr="00105A76">
              <w:rPr>
                <w:rFonts w:asciiTheme="majorHAnsi" w:hAnsiTheme="majorHAnsi"/>
                <w:szCs w:val="17"/>
              </w:rPr>
              <w:t>Residential Tenancies Act 1995</w:t>
            </w:r>
          </w:p>
        </w:tc>
        <w:tc>
          <w:tcPr>
            <w:tcW w:w="3376" w:type="pct"/>
          </w:tcPr>
          <w:p w14:paraId="14F12531" w14:textId="29B1A241" w:rsidR="00CF25E5" w:rsidRDefault="008F068B" w:rsidP="00CA6E3B">
            <w:pPr>
              <w:pStyle w:val="ListBullet"/>
              <w:ind w:left="427" w:hanging="283"/>
            </w:pPr>
            <w:r>
              <w:t>Applies to rooms available on a commercial basis</w:t>
            </w:r>
            <w:r w:rsidR="004F7B47">
              <w:t xml:space="preserve"> for residential occupation</w:t>
            </w:r>
          </w:p>
          <w:p w14:paraId="2DD38AC2" w14:textId="277EF657" w:rsidR="000437B6" w:rsidRDefault="000054B7" w:rsidP="00CA6E3B">
            <w:pPr>
              <w:pStyle w:val="ListBullet"/>
              <w:ind w:left="427" w:hanging="283"/>
            </w:pPr>
            <w:r>
              <w:t xml:space="preserve">Requires </w:t>
            </w:r>
            <w:r w:rsidR="00282045">
              <w:t xml:space="preserve">proprietors to </w:t>
            </w:r>
            <w:r w:rsidR="00B01919">
              <w:t>ensure the premises are in</w:t>
            </w:r>
            <w:r w:rsidR="003E5727">
              <w:t xml:space="preserve"> clean and in</w:t>
            </w:r>
            <w:r w:rsidR="00B01919">
              <w:t xml:space="preserve"> a reasonable state of repair at the beginning of an occupant’s tenancy</w:t>
            </w:r>
            <w:r w:rsidR="00FA57E0">
              <w:t xml:space="preserve"> and ensure the upkee</w:t>
            </w:r>
            <w:r w:rsidR="00C85C72">
              <w:t>p of facilities</w:t>
            </w:r>
          </w:p>
          <w:p w14:paraId="00012DE8" w14:textId="50018CD4" w:rsidR="00CF25E5" w:rsidRDefault="007811B3" w:rsidP="00F0077F">
            <w:pPr>
              <w:pStyle w:val="ListBullet"/>
              <w:spacing w:after="0"/>
              <w:ind w:left="427" w:hanging="283"/>
            </w:pPr>
            <w:r>
              <w:rPr>
                <w:i/>
                <w:iCs/>
              </w:rPr>
              <w:t xml:space="preserve">N.B: </w:t>
            </w:r>
            <w:r w:rsidR="00913255">
              <w:rPr>
                <w:i/>
                <w:iCs/>
              </w:rPr>
              <w:t>T</w:t>
            </w:r>
            <w:r>
              <w:rPr>
                <w:i/>
                <w:iCs/>
              </w:rPr>
              <w:t xml:space="preserve">he Act excludes </w:t>
            </w:r>
            <w:r w:rsidRPr="00515218">
              <w:rPr>
                <w:i/>
                <w:iCs/>
              </w:rPr>
              <w:t>hotels, motels, caravan parks, tents, student accommodation, and health and residential care facilities.</w:t>
            </w:r>
          </w:p>
        </w:tc>
      </w:tr>
      <w:tr w:rsidR="00CF25E5" w:rsidRPr="00806743" w14:paraId="58227DF7" w14:textId="77777777" w:rsidTr="00EC6844">
        <w:tc>
          <w:tcPr>
            <w:tcW w:w="696" w:type="pct"/>
          </w:tcPr>
          <w:p w14:paraId="7A682670" w14:textId="44E36E8A" w:rsidR="00CF25E5" w:rsidRPr="00805BBD" w:rsidRDefault="007B438A" w:rsidP="004740A1">
            <w:pPr>
              <w:pStyle w:val="TabletextLeft"/>
            </w:pPr>
            <w:r>
              <w:t>Tas</w:t>
            </w:r>
          </w:p>
        </w:tc>
        <w:tc>
          <w:tcPr>
            <w:tcW w:w="928" w:type="pct"/>
          </w:tcPr>
          <w:p w14:paraId="08979578" w14:textId="3E53DBE1" w:rsidR="00CF25E5" w:rsidRDefault="002F4F3A" w:rsidP="004740A1">
            <w:pPr>
              <w:pStyle w:val="TabletextLeft"/>
              <w:rPr>
                <w:rFonts w:asciiTheme="majorHAnsi" w:hAnsiTheme="majorHAnsi"/>
                <w:szCs w:val="17"/>
              </w:rPr>
            </w:pPr>
            <w:r w:rsidRPr="002F4F3A">
              <w:rPr>
                <w:rFonts w:asciiTheme="majorHAnsi" w:hAnsiTheme="majorHAnsi"/>
                <w:szCs w:val="17"/>
              </w:rPr>
              <w:t>Residential Tenancies Act 1997</w:t>
            </w:r>
          </w:p>
        </w:tc>
        <w:tc>
          <w:tcPr>
            <w:tcW w:w="3376" w:type="pct"/>
          </w:tcPr>
          <w:p w14:paraId="3BA0385D" w14:textId="77777777" w:rsidR="00CF25E5" w:rsidRDefault="003E32C9" w:rsidP="00CA6E3B">
            <w:pPr>
              <w:pStyle w:val="ListBullet"/>
              <w:ind w:left="427" w:hanging="283"/>
            </w:pPr>
            <w:r>
              <w:t xml:space="preserve">Applies to a room </w:t>
            </w:r>
            <w:r w:rsidR="000A0B80">
              <w:t xml:space="preserve">which </w:t>
            </w:r>
            <w:r w:rsidR="009C0C6E">
              <w:t>is occupied as the principle place of residence</w:t>
            </w:r>
            <w:r w:rsidR="000A0B80">
              <w:t xml:space="preserve"> and </w:t>
            </w:r>
            <w:r w:rsidR="005900AC">
              <w:t>ancillary shared facilities (bathrooms, toilets, or kitchens)</w:t>
            </w:r>
          </w:p>
          <w:p w14:paraId="3BE64230" w14:textId="77777777" w:rsidR="006F00D4" w:rsidRDefault="001875AE" w:rsidP="00CA6E3B">
            <w:pPr>
              <w:pStyle w:val="ListBullet"/>
              <w:ind w:left="427" w:hanging="283"/>
            </w:pPr>
            <w:r>
              <w:t xml:space="preserve">Excludes hotels, motels, </w:t>
            </w:r>
            <w:r w:rsidR="003C0780">
              <w:t>health and residential care facilities</w:t>
            </w:r>
            <w:r w:rsidR="00AC6D1A">
              <w:t xml:space="preserve">, student </w:t>
            </w:r>
            <w:r w:rsidR="001A0AF1">
              <w:t>accommodation</w:t>
            </w:r>
            <w:r w:rsidR="00D07A48">
              <w:t>, or holiday accommodation</w:t>
            </w:r>
          </w:p>
          <w:p w14:paraId="043DAD95" w14:textId="77777777" w:rsidR="00687140" w:rsidRDefault="00687140" w:rsidP="00CA6E3B">
            <w:pPr>
              <w:pStyle w:val="ListBullet"/>
              <w:ind w:left="427" w:hanging="283"/>
            </w:pPr>
            <w:r>
              <w:t xml:space="preserve">States that </w:t>
            </w:r>
            <w:r w:rsidR="00482041">
              <w:t xml:space="preserve">a proprietor must not </w:t>
            </w:r>
            <w:r w:rsidR="00482041" w:rsidRPr="00482041">
              <w:t>permit boarding premises to be occupied by more than one tenant unless they are joint tenants under the residential tenancy agreement or one of them is a carer for the other person</w:t>
            </w:r>
          </w:p>
          <w:p w14:paraId="16FA6914" w14:textId="77777777" w:rsidR="00482041" w:rsidRDefault="00482041" w:rsidP="00CA6E3B">
            <w:pPr>
              <w:pStyle w:val="ListBullet"/>
              <w:ind w:left="427" w:hanging="283"/>
            </w:pPr>
            <w:r>
              <w:t xml:space="preserve">Requires </w:t>
            </w:r>
            <w:r w:rsidR="0090263B">
              <w:t>proprietors to provide</w:t>
            </w:r>
            <w:r w:rsidR="00E37307">
              <w:t xml:space="preserve"> private</w:t>
            </w:r>
            <w:r w:rsidR="0090263B">
              <w:t xml:space="preserve"> access to </w:t>
            </w:r>
            <w:r w:rsidR="00BA2582">
              <w:t xml:space="preserve">a </w:t>
            </w:r>
            <w:r w:rsidR="0090263B">
              <w:t>toilet</w:t>
            </w:r>
            <w:r w:rsidR="00BA2582">
              <w:t xml:space="preserve"> and hand-washing</w:t>
            </w:r>
            <w:r w:rsidR="0090263B">
              <w:t xml:space="preserve"> facilities</w:t>
            </w:r>
            <w:r w:rsidR="00BA2582">
              <w:t xml:space="preserve"> 24 hours a day, and </w:t>
            </w:r>
            <w:r w:rsidR="006131BE">
              <w:t>reasonable use of a bathroom or shower at least once a day</w:t>
            </w:r>
          </w:p>
          <w:p w14:paraId="3A4DDCF5" w14:textId="3D6A565D" w:rsidR="00CF25E5" w:rsidRDefault="00F6226E" w:rsidP="00F0077F">
            <w:pPr>
              <w:pStyle w:val="ListBullet"/>
              <w:spacing w:after="0"/>
              <w:ind w:left="427" w:hanging="283"/>
            </w:pPr>
            <w:r>
              <w:t>Authorises the Commissioner</w:t>
            </w:r>
            <w:r w:rsidR="00644EAE">
              <w:t xml:space="preserve"> to </w:t>
            </w:r>
            <w:r w:rsidR="00210A30">
              <w:t xml:space="preserve">require proprietors to </w:t>
            </w:r>
            <w:r w:rsidR="00424028">
              <w:t xml:space="preserve">comply with </w:t>
            </w:r>
            <w:r w:rsidR="009E34BE">
              <w:t xml:space="preserve">standards outlined in </w:t>
            </w:r>
            <w:r w:rsidR="00424028">
              <w:t>the Act.</w:t>
            </w:r>
          </w:p>
        </w:tc>
      </w:tr>
      <w:tr w:rsidR="00CF25E5" w:rsidRPr="00806743" w14:paraId="719AFF4F" w14:textId="77777777" w:rsidTr="00EC6844">
        <w:tc>
          <w:tcPr>
            <w:tcW w:w="696" w:type="pct"/>
          </w:tcPr>
          <w:p w14:paraId="39C61492" w14:textId="4D450814" w:rsidR="00CF25E5" w:rsidRDefault="007B438A" w:rsidP="004740A1">
            <w:pPr>
              <w:pStyle w:val="TabletextLeft"/>
              <w:rPr>
                <w:rFonts w:asciiTheme="majorHAnsi" w:hAnsiTheme="majorHAnsi"/>
                <w:szCs w:val="17"/>
              </w:rPr>
            </w:pPr>
            <w:r>
              <w:rPr>
                <w:rFonts w:asciiTheme="majorHAnsi" w:hAnsiTheme="majorHAnsi"/>
                <w:szCs w:val="17"/>
              </w:rPr>
              <w:t>WA</w:t>
            </w:r>
          </w:p>
        </w:tc>
        <w:tc>
          <w:tcPr>
            <w:tcW w:w="928" w:type="pct"/>
          </w:tcPr>
          <w:p w14:paraId="7F0FFBA7" w14:textId="3CC868CB" w:rsidR="00CF25E5" w:rsidRDefault="004322F8" w:rsidP="004740A1">
            <w:pPr>
              <w:pStyle w:val="TabletextLeft"/>
              <w:rPr>
                <w:rFonts w:asciiTheme="majorHAnsi" w:hAnsiTheme="majorHAnsi"/>
                <w:szCs w:val="17"/>
              </w:rPr>
            </w:pPr>
            <w:r w:rsidRPr="004322F8">
              <w:rPr>
                <w:rFonts w:asciiTheme="majorHAnsi" w:hAnsiTheme="majorHAnsi"/>
                <w:szCs w:val="17"/>
              </w:rPr>
              <w:t>Health (Misc Provisions) Act 1911</w:t>
            </w:r>
          </w:p>
        </w:tc>
        <w:tc>
          <w:tcPr>
            <w:tcW w:w="3376" w:type="pct"/>
          </w:tcPr>
          <w:p w14:paraId="78DAA329" w14:textId="11912FF1" w:rsidR="00470E7E" w:rsidRDefault="00470E7E" w:rsidP="00770C59">
            <w:pPr>
              <w:pStyle w:val="ListBullet"/>
              <w:ind w:left="427" w:hanging="283"/>
            </w:pPr>
            <w:r>
              <w:t xml:space="preserve">Applies to </w:t>
            </w:r>
            <w:r w:rsidR="006C2D70" w:rsidRPr="006C2D70">
              <w:t>any building or structure</w:t>
            </w:r>
            <w:r w:rsidR="006C2D70">
              <w:t xml:space="preserve"> that provides</w:t>
            </w:r>
            <w:r w:rsidR="006C2D70" w:rsidRPr="006C2D70">
              <w:t xml:space="preserve"> lodging </w:t>
            </w:r>
            <w:r w:rsidR="006C2D70">
              <w:t>for</w:t>
            </w:r>
            <w:r w:rsidR="006C2D70" w:rsidRPr="006C2D70">
              <w:t xml:space="preserve"> more than </w:t>
            </w:r>
            <w:r w:rsidR="006C2D70">
              <w:t>six people</w:t>
            </w:r>
          </w:p>
          <w:p w14:paraId="37C9DEC2" w14:textId="42BBD4FB" w:rsidR="00021200" w:rsidRDefault="00CA10DD" w:rsidP="00770C59">
            <w:pPr>
              <w:pStyle w:val="ListBullet"/>
              <w:ind w:left="427" w:hanging="283"/>
            </w:pPr>
            <w:r>
              <w:t xml:space="preserve">Establishes standards for </w:t>
            </w:r>
            <w:r w:rsidR="00091AF8">
              <w:t>the cleanliness of facil</w:t>
            </w:r>
            <w:r w:rsidR="00E4334B">
              <w:t>ities</w:t>
            </w:r>
          </w:p>
          <w:p w14:paraId="71771940" w14:textId="77777777" w:rsidR="00CF25E5" w:rsidRDefault="00021200" w:rsidP="00770C59">
            <w:pPr>
              <w:pStyle w:val="ListBullet"/>
              <w:ind w:left="427" w:hanging="283"/>
            </w:pPr>
            <w:r>
              <w:t>R</w:t>
            </w:r>
            <w:r w:rsidR="00887D37">
              <w:t>equires pr</w:t>
            </w:r>
            <w:r w:rsidR="00A37E21">
              <w:t xml:space="preserve">oprietors </w:t>
            </w:r>
            <w:r>
              <w:t xml:space="preserve">to register their premises with local authorities, </w:t>
            </w:r>
            <w:r w:rsidR="00A37E21">
              <w:t>provide</w:t>
            </w:r>
            <w:r w:rsidR="00B92B18">
              <w:t xml:space="preserve"> access to clean water</w:t>
            </w:r>
            <w:r w:rsidR="00E4334B">
              <w:t xml:space="preserve">, and </w:t>
            </w:r>
            <w:r>
              <w:t xml:space="preserve">notify authorities of </w:t>
            </w:r>
            <w:r w:rsidR="007F2A6F">
              <w:t>any deaths on site</w:t>
            </w:r>
          </w:p>
          <w:p w14:paraId="233634F9" w14:textId="60D54F97" w:rsidR="00CF25E5" w:rsidRDefault="004A13C1" w:rsidP="00F0077F">
            <w:pPr>
              <w:pStyle w:val="ListBullet"/>
              <w:spacing w:after="0"/>
              <w:ind w:left="427" w:hanging="283"/>
            </w:pPr>
            <w:r>
              <w:t xml:space="preserve">Provides local government with the authority to </w:t>
            </w:r>
            <w:r w:rsidR="0057224B">
              <w:t xml:space="preserve">renew and update legislation on the </w:t>
            </w:r>
            <w:r w:rsidR="00021224">
              <w:t xml:space="preserve">health and safety requirements </w:t>
            </w:r>
            <w:r w:rsidR="00175A2B">
              <w:t>of registered sites (</w:t>
            </w:r>
            <w:r w:rsidR="007665AC">
              <w:t>for example, regulations around fire safety, prevention and containment of infectious disease).</w:t>
            </w:r>
          </w:p>
        </w:tc>
      </w:tr>
    </w:tbl>
    <w:p w14:paraId="6820CDAE" w14:textId="77777777" w:rsidR="003143C4" w:rsidRPr="003143C4" w:rsidRDefault="003143C4" w:rsidP="003143C4"/>
    <w:p w14:paraId="2A922227" w14:textId="0057D432" w:rsidR="00981265" w:rsidRDefault="00F0004E" w:rsidP="00CA06E5">
      <w:pPr>
        <w:pStyle w:val="Heading2"/>
      </w:pPr>
      <w:bookmarkStart w:id="124" w:name="_Toc9366982"/>
      <w:bookmarkStart w:id="125" w:name="_Toc10111299"/>
      <w:bookmarkStart w:id="126" w:name="_Toc17892126"/>
      <w:bookmarkStart w:id="127" w:name="_Toc19092404"/>
      <w:bookmarkStart w:id="128" w:name="_Toc48638261"/>
      <w:bookmarkStart w:id="129" w:name="_Toc49460283"/>
      <w:bookmarkEnd w:id="124"/>
      <w:bookmarkEnd w:id="125"/>
      <w:bookmarkEnd w:id="126"/>
      <w:bookmarkEnd w:id="127"/>
      <w:r>
        <w:t>Cross-</w:t>
      </w:r>
      <w:r w:rsidR="0021280E">
        <w:t>portfolio</w:t>
      </w:r>
      <w:r>
        <w:t xml:space="preserve"> reviews being undertaken</w:t>
      </w:r>
      <w:bookmarkEnd w:id="128"/>
      <w:bookmarkEnd w:id="129"/>
    </w:p>
    <w:p w14:paraId="76F404BE" w14:textId="77777777" w:rsidR="00040A7E" w:rsidRDefault="0022230A" w:rsidP="0022230A">
      <w:pPr>
        <w:rPr>
          <w:color w:val="000000" w:themeColor="text1"/>
        </w:rPr>
      </w:pPr>
      <w:r>
        <w:rPr>
          <w:color w:val="000000" w:themeColor="text1"/>
        </w:rPr>
        <w:t xml:space="preserve">The PHWA and the Regulations are part of a broader regulatory framework to protect the community through the regulation of accommodation. This includes the planning regime which aims to secure a safe working, living and recreational environment for all Victorians and visitors, and the residential tenancies regime that regulates the relationship between certain accommodation providers and occupants. </w:t>
      </w:r>
    </w:p>
    <w:p w14:paraId="0FF241C2" w14:textId="2210F668" w:rsidR="0022230A" w:rsidRDefault="0022230A" w:rsidP="0022230A">
      <w:pPr>
        <w:rPr>
          <w:color w:val="000000" w:themeColor="text1"/>
        </w:rPr>
      </w:pPr>
      <w:r>
        <w:rPr>
          <w:color w:val="000000" w:themeColor="text1"/>
        </w:rPr>
        <w:t>A number of cross</w:t>
      </w:r>
      <w:r w:rsidR="00A476DB">
        <w:rPr>
          <w:color w:val="000000" w:themeColor="text1"/>
        </w:rPr>
        <w:t>-</w:t>
      </w:r>
      <w:r>
        <w:rPr>
          <w:color w:val="000000" w:themeColor="text1"/>
        </w:rPr>
        <w:t xml:space="preserve">portfolio reviews are currently being undertaken or will be commenced by other Victorian Government departments and agencies, on matters related to prescribed accommodation and the Regulations. These reviews are outlined </w:t>
      </w:r>
      <w:r w:rsidR="000E4E1B">
        <w:rPr>
          <w:color w:val="000000" w:themeColor="text1"/>
        </w:rPr>
        <w:t xml:space="preserve">in </w:t>
      </w:r>
      <w:r w:rsidR="000E4E1B">
        <w:rPr>
          <w:color w:val="000000" w:themeColor="text1"/>
        </w:rPr>
        <w:fldChar w:fldCharType="begin"/>
      </w:r>
      <w:r w:rsidR="000E4E1B">
        <w:rPr>
          <w:color w:val="000000" w:themeColor="text1"/>
        </w:rPr>
        <w:instrText xml:space="preserve"> REF _Ref48646713 \h </w:instrText>
      </w:r>
      <w:r w:rsidR="000E4E1B">
        <w:rPr>
          <w:color w:val="000000" w:themeColor="text1"/>
        </w:rPr>
      </w:r>
      <w:r w:rsidR="000E4E1B">
        <w:rPr>
          <w:color w:val="000000" w:themeColor="text1"/>
        </w:rPr>
        <w:fldChar w:fldCharType="separate"/>
      </w:r>
      <w:r w:rsidR="00795309">
        <w:t xml:space="preserve">Table </w:t>
      </w:r>
      <w:r w:rsidR="00795309">
        <w:rPr>
          <w:noProof/>
        </w:rPr>
        <w:t>1</w:t>
      </w:r>
      <w:r w:rsidR="00795309">
        <w:noBreakHyphen/>
      </w:r>
      <w:r w:rsidR="00795309">
        <w:rPr>
          <w:noProof/>
        </w:rPr>
        <w:t>3</w:t>
      </w:r>
      <w:r w:rsidR="000E4E1B">
        <w:rPr>
          <w:color w:val="000000" w:themeColor="text1"/>
        </w:rPr>
        <w:fldChar w:fldCharType="end"/>
      </w:r>
      <w:r w:rsidR="000E4E1B">
        <w:rPr>
          <w:color w:val="000000" w:themeColor="text1"/>
        </w:rPr>
        <w:t xml:space="preserve"> </w:t>
      </w:r>
      <w:r>
        <w:rPr>
          <w:color w:val="000000" w:themeColor="text1"/>
        </w:rPr>
        <w:t xml:space="preserve">below. </w:t>
      </w:r>
    </w:p>
    <w:p w14:paraId="21A5C4C8" w14:textId="6B4C9007" w:rsidR="000A17B2" w:rsidRPr="000A17B2" w:rsidRDefault="00040A7E" w:rsidP="000A17B2">
      <w:pPr>
        <w:rPr>
          <w:color w:val="000000" w:themeColor="text1"/>
        </w:rPr>
      </w:pPr>
      <w:r>
        <w:rPr>
          <w:color w:val="000000" w:themeColor="text1"/>
        </w:rPr>
        <w:t>These reviews will not be completed</w:t>
      </w:r>
      <w:r w:rsidR="004807D8">
        <w:rPr>
          <w:color w:val="000000" w:themeColor="text1"/>
        </w:rPr>
        <w:t xml:space="preserve"> </w:t>
      </w:r>
      <w:r w:rsidR="00D77202">
        <w:rPr>
          <w:color w:val="000000" w:themeColor="text1"/>
        </w:rPr>
        <w:t>before the release of this RIS</w:t>
      </w:r>
      <w:r w:rsidR="00994DB3">
        <w:rPr>
          <w:color w:val="000000" w:themeColor="text1"/>
        </w:rPr>
        <w:t>. However</w:t>
      </w:r>
      <w:r w:rsidR="00265099">
        <w:rPr>
          <w:color w:val="000000" w:themeColor="text1"/>
        </w:rPr>
        <w:t>,</w:t>
      </w:r>
      <w:r w:rsidR="00994DB3">
        <w:rPr>
          <w:color w:val="000000" w:themeColor="text1"/>
        </w:rPr>
        <w:t xml:space="preserve"> DHHS will co</w:t>
      </w:r>
      <w:r w:rsidR="00D52455">
        <w:rPr>
          <w:color w:val="000000" w:themeColor="text1"/>
        </w:rPr>
        <w:t>nsider</w:t>
      </w:r>
      <w:r w:rsidR="00994DB3">
        <w:rPr>
          <w:color w:val="000000" w:themeColor="text1"/>
        </w:rPr>
        <w:t xml:space="preserve"> the findings of all reviews </w:t>
      </w:r>
      <w:r w:rsidR="0022230A">
        <w:rPr>
          <w:color w:val="000000" w:themeColor="text1"/>
        </w:rPr>
        <w:t xml:space="preserve">in the context of the regulatory objectives of the </w:t>
      </w:r>
      <w:r w:rsidR="00937322">
        <w:rPr>
          <w:color w:val="000000" w:themeColor="text1"/>
        </w:rPr>
        <w:t>PHWA and</w:t>
      </w:r>
      <w:r w:rsidR="00994DB3">
        <w:rPr>
          <w:color w:val="000000" w:themeColor="text1"/>
        </w:rPr>
        <w:t xml:space="preserve"> </w:t>
      </w:r>
      <w:r w:rsidR="00D52455">
        <w:rPr>
          <w:color w:val="000000" w:themeColor="text1"/>
        </w:rPr>
        <w:t xml:space="preserve">determine whether any changes to the </w:t>
      </w:r>
      <w:r w:rsidR="006E05DA">
        <w:rPr>
          <w:color w:val="000000" w:themeColor="text1"/>
        </w:rPr>
        <w:t xml:space="preserve">Regulations should be </w:t>
      </w:r>
      <w:r w:rsidR="00917FB8">
        <w:rPr>
          <w:color w:val="000000" w:themeColor="text1"/>
        </w:rPr>
        <w:t>made once reviews have been completed.</w:t>
      </w:r>
    </w:p>
    <w:p w14:paraId="39E8C122" w14:textId="7C849B9A" w:rsidR="00994DB3" w:rsidRPr="00B210AC" w:rsidRDefault="00776CBB" w:rsidP="00B210AC">
      <w:pPr>
        <w:pStyle w:val="Caption"/>
      </w:pPr>
      <w:bookmarkStart w:id="130" w:name="_Ref48646713"/>
      <w:r>
        <w:lastRenderedPageBreak/>
        <w:t xml:space="preserve">Table </w:t>
      </w:r>
      <w:r w:rsidR="004335F8">
        <w:fldChar w:fldCharType="begin"/>
      </w:r>
      <w:r w:rsidR="004335F8">
        <w:instrText xml:space="preserve"> STYLEREF 1 \s </w:instrText>
      </w:r>
      <w:r w:rsidR="004335F8">
        <w:fldChar w:fldCharType="separate"/>
      </w:r>
      <w:r w:rsidR="00795309">
        <w:rPr>
          <w:noProof/>
        </w:rPr>
        <w:t>1</w:t>
      </w:r>
      <w:r w:rsidR="004335F8">
        <w:fldChar w:fldCharType="end"/>
      </w:r>
      <w:r w:rsidR="004335F8">
        <w:noBreakHyphen/>
      </w:r>
      <w:r w:rsidR="004335F8">
        <w:fldChar w:fldCharType="begin"/>
      </w:r>
      <w:r w:rsidR="004335F8">
        <w:instrText xml:space="preserve"> SEQ Table \* ARABIC \s 1 </w:instrText>
      </w:r>
      <w:r w:rsidR="004335F8">
        <w:fldChar w:fldCharType="separate"/>
      </w:r>
      <w:r w:rsidR="00795309">
        <w:rPr>
          <w:noProof/>
        </w:rPr>
        <w:t>3</w:t>
      </w:r>
      <w:r w:rsidR="004335F8">
        <w:fldChar w:fldCharType="end"/>
      </w:r>
      <w:bookmarkEnd w:id="130"/>
      <w:r w:rsidR="00816856">
        <w:t xml:space="preserve"> C</w:t>
      </w:r>
      <w:r w:rsidR="00265099">
        <w:t>urrent cross-</w:t>
      </w:r>
      <w:r w:rsidR="00BF36D0">
        <w:t>portf</w:t>
      </w:r>
      <w:r w:rsidR="008D63C6">
        <w:t>olio</w:t>
      </w:r>
      <w:r w:rsidR="00265099">
        <w:t xml:space="preserve"> reviews that intersect with the Regulations</w:t>
      </w:r>
    </w:p>
    <w:tbl>
      <w:tblPr>
        <w:tblStyle w:val="Deloittetable"/>
        <w:tblW w:w="0" w:type="auto"/>
        <w:tblLook w:val="04A0" w:firstRow="1" w:lastRow="0" w:firstColumn="1" w:lastColumn="0" w:noHBand="0" w:noVBand="1"/>
      </w:tblPr>
      <w:tblGrid>
        <w:gridCol w:w="2540"/>
        <w:gridCol w:w="3271"/>
        <w:gridCol w:w="3215"/>
      </w:tblGrid>
      <w:tr w:rsidR="00120DCB" w:rsidRPr="003A47E9" w14:paraId="7E88D50D" w14:textId="77777777" w:rsidTr="0036574C">
        <w:trPr>
          <w:cnfStyle w:val="100000000000" w:firstRow="1" w:lastRow="0" w:firstColumn="0" w:lastColumn="0" w:oddVBand="0" w:evenVBand="0" w:oddHBand="0" w:evenHBand="0" w:firstRowFirstColumn="0" w:firstRowLastColumn="0" w:lastRowFirstColumn="0" w:lastRowLastColumn="0"/>
          <w:tblHeader/>
        </w:trPr>
        <w:tc>
          <w:tcPr>
            <w:tcW w:w="0" w:type="auto"/>
            <w:tcBorders>
              <w:left w:val="nil"/>
              <w:bottom w:val="single" w:sz="4" w:space="0" w:color="000000" w:themeColor="text1"/>
              <w:right w:val="nil"/>
            </w:tcBorders>
            <w:hideMark/>
          </w:tcPr>
          <w:p w14:paraId="0DF67571" w14:textId="77777777" w:rsidR="00120DCB" w:rsidRPr="003A47E9" w:rsidRDefault="00120DCB" w:rsidP="006C2DC5">
            <w:pPr>
              <w:pStyle w:val="TabletextLeft"/>
              <w:spacing w:after="60"/>
              <w:rPr>
                <w:rFonts w:asciiTheme="majorHAnsi" w:hAnsiTheme="majorHAnsi"/>
                <w:b/>
                <w:szCs w:val="17"/>
                <w:lang w:val="en-GB"/>
              </w:rPr>
            </w:pPr>
            <w:bookmarkStart w:id="131" w:name="_Toc9366983"/>
            <w:bookmarkStart w:id="132" w:name="_Toc10111301"/>
            <w:r w:rsidRPr="003A47E9">
              <w:rPr>
                <w:rFonts w:asciiTheme="majorHAnsi" w:hAnsiTheme="majorHAnsi"/>
                <w:b/>
                <w:szCs w:val="17"/>
                <w:lang w:val="en-GB"/>
              </w:rPr>
              <w:t>Regulation</w:t>
            </w:r>
          </w:p>
        </w:tc>
        <w:tc>
          <w:tcPr>
            <w:tcW w:w="0" w:type="auto"/>
            <w:tcBorders>
              <w:left w:val="nil"/>
              <w:bottom w:val="single" w:sz="4" w:space="0" w:color="000000" w:themeColor="text1"/>
              <w:right w:val="nil"/>
            </w:tcBorders>
            <w:hideMark/>
          </w:tcPr>
          <w:p w14:paraId="4304295F" w14:textId="77777777" w:rsidR="00120DCB" w:rsidRPr="003A47E9" w:rsidRDefault="00120DCB" w:rsidP="00C45F0F">
            <w:pPr>
              <w:pStyle w:val="TabletextLeft"/>
              <w:spacing w:after="60"/>
              <w:ind w:right="186"/>
              <w:rPr>
                <w:rFonts w:asciiTheme="majorHAnsi" w:hAnsiTheme="majorHAnsi"/>
                <w:b/>
                <w:szCs w:val="17"/>
                <w:lang w:val="en-GB"/>
              </w:rPr>
            </w:pPr>
            <w:r w:rsidRPr="003A47E9">
              <w:rPr>
                <w:rFonts w:asciiTheme="majorHAnsi" w:hAnsiTheme="majorHAnsi"/>
                <w:b/>
                <w:szCs w:val="17"/>
                <w:lang w:val="en-GB"/>
              </w:rPr>
              <w:t>Scope of review</w:t>
            </w:r>
          </w:p>
        </w:tc>
        <w:tc>
          <w:tcPr>
            <w:tcW w:w="0" w:type="auto"/>
            <w:tcBorders>
              <w:left w:val="nil"/>
              <w:bottom w:val="single" w:sz="4" w:space="0" w:color="000000" w:themeColor="text1"/>
              <w:right w:val="nil"/>
            </w:tcBorders>
            <w:hideMark/>
          </w:tcPr>
          <w:p w14:paraId="407C6058" w14:textId="3213717F" w:rsidR="00120DCB" w:rsidRPr="003A47E9" w:rsidRDefault="00120DCB" w:rsidP="006C2DC5">
            <w:pPr>
              <w:pStyle w:val="TabletextLeft"/>
              <w:spacing w:after="60"/>
              <w:rPr>
                <w:rFonts w:asciiTheme="majorHAnsi" w:hAnsiTheme="majorHAnsi"/>
                <w:b/>
                <w:szCs w:val="17"/>
                <w:lang w:val="en-GB"/>
              </w:rPr>
            </w:pPr>
            <w:r w:rsidRPr="003A47E9">
              <w:rPr>
                <w:rFonts w:asciiTheme="majorHAnsi" w:hAnsiTheme="majorHAnsi"/>
                <w:b/>
                <w:szCs w:val="17"/>
                <w:lang w:val="en-GB"/>
              </w:rPr>
              <w:t>Intersection of review with Regulations</w:t>
            </w:r>
          </w:p>
        </w:tc>
      </w:tr>
      <w:tr w:rsidR="00120DCB" w:rsidRPr="003A47E9" w14:paraId="3E2BD3FC" w14:textId="77777777" w:rsidTr="00120DCB">
        <w:tc>
          <w:tcPr>
            <w:tcW w:w="0" w:type="auto"/>
            <w:tcBorders>
              <w:top w:val="single" w:sz="4" w:space="0" w:color="000000" w:themeColor="text1"/>
              <w:left w:val="nil"/>
              <w:bottom w:val="single" w:sz="4" w:space="0" w:color="000000" w:themeColor="text1"/>
              <w:right w:val="nil"/>
            </w:tcBorders>
            <w:hideMark/>
          </w:tcPr>
          <w:p w14:paraId="62623FB1" w14:textId="77777777" w:rsidR="00120DCB" w:rsidRPr="003A47E9" w:rsidRDefault="00120DCB" w:rsidP="006C2DC5">
            <w:pPr>
              <w:pStyle w:val="TabletextLeft"/>
              <w:spacing w:after="60"/>
              <w:ind w:right="428"/>
              <w:rPr>
                <w:rFonts w:asciiTheme="majorHAnsi" w:hAnsiTheme="majorHAnsi"/>
                <w:szCs w:val="17"/>
                <w:lang w:val="en-GB"/>
              </w:rPr>
            </w:pPr>
            <w:r w:rsidRPr="00F0077F">
              <w:rPr>
                <w:rFonts w:asciiTheme="majorHAnsi" w:hAnsiTheme="majorHAnsi"/>
                <w:i/>
                <w:iCs/>
                <w:szCs w:val="17"/>
                <w:lang w:val="en-GB"/>
              </w:rPr>
              <w:t>Residential Tenancies Act 1997</w:t>
            </w:r>
            <w:r w:rsidRPr="003A47E9">
              <w:rPr>
                <w:rFonts w:asciiTheme="majorHAnsi" w:hAnsiTheme="majorHAnsi"/>
                <w:szCs w:val="17"/>
                <w:lang w:val="en-GB"/>
              </w:rPr>
              <w:t xml:space="preserve"> (RTA) </w:t>
            </w:r>
          </w:p>
          <w:p w14:paraId="4288D13B" w14:textId="77777777" w:rsidR="00120DCB" w:rsidRDefault="00120DCB" w:rsidP="006C2DC5">
            <w:pPr>
              <w:pStyle w:val="TabletextLeft"/>
              <w:spacing w:after="60"/>
              <w:ind w:right="428"/>
              <w:rPr>
                <w:rFonts w:asciiTheme="majorHAnsi" w:hAnsiTheme="majorHAnsi"/>
                <w:szCs w:val="17"/>
                <w:lang w:val="en-GB"/>
              </w:rPr>
            </w:pPr>
            <w:r w:rsidRPr="003A47E9">
              <w:rPr>
                <w:rFonts w:asciiTheme="majorHAnsi" w:hAnsiTheme="majorHAnsi"/>
                <w:szCs w:val="17"/>
                <w:lang w:val="en-GB"/>
              </w:rPr>
              <w:t>(Department of Justice and Community Safety (DJCS))</w:t>
            </w:r>
          </w:p>
          <w:p w14:paraId="57A1A47D" w14:textId="77777777" w:rsidR="00120DCB" w:rsidRDefault="00120DCB" w:rsidP="006C2DC5">
            <w:pPr>
              <w:pStyle w:val="TabletextLeft"/>
              <w:spacing w:after="60"/>
              <w:ind w:right="428"/>
              <w:rPr>
                <w:rFonts w:asciiTheme="majorHAnsi" w:hAnsiTheme="majorHAnsi"/>
                <w:szCs w:val="17"/>
                <w:lang w:val="en-GB"/>
              </w:rPr>
            </w:pPr>
          </w:p>
          <w:p w14:paraId="6F3046D8" w14:textId="77777777" w:rsidR="00120DCB" w:rsidRPr="00853D6D" w:rsidRDefault="00120DCB" w:rsidP="0091440E">
            <w:pPr>
              <w:pStyle w:val="TabletextLeft"/>
              <w:ind w:right="428"/>
              <w:rPr>
                <w:rFonts w:asciiTheme="majorHAnsi" w:hAnsiTheme="majorHAnsi"/>
                <w:szCs w:val="17"/>
                <w:lang w:val="en-GB"/>
              </w:rPr>
            </w:pPr>
            <w:r w:rsidRPr="00853D6D">
              <w:rPr>
                <w:rFonts w:asciiTheme="majorHAnsi" w:hAnsiTheme="majorHAnsi"/>
                <w:szCs w:val="17"/>
                <w:lang w:val="en-GB"/>
              </w:rPr>
              <w:t>Timing of findings/</w:t>
            </w:r>
          </w:p>
          <w:p w14:paraId="6E325FC3" w14:textId="20EBA143" w:rsidR="00120DCB" w:rsidRPr="003A47E9" w:rsidRDefault="00120DCB" w:rsidP="0091440E">
            <w:pPr>
              <w:pStyle w:val="TabletextLeft"/>
              <w:ind w:right="428"/>
              <w:rPr>
                <w:rFonts w:asciiTheme="majorHAnsi" w:hAnsiTheme="majorHAnsi"/>
                <w:szCs w:val="17"/>
                <w:lang w:val="en-GB"/>
              </w:rPr>
            </w:pPr>
            <w:r w:rsidRPr="00853D6D">
              <w:rPr>
                <w:rFonts w:asciiTheme="majorHAnsi" w:hAnsiTheme="majorHAnsi"/>
                <w:szCs w:val="17"/>
                <w:lang w:val="en-GB"/>
              </w:rPr>
              <w:t>Recommendations: Late 2021</w:t>
            </w:r>
          </w:p>
        </w:tc>
        <w:tc>
          <w:tcPr>
            <w:tcW w:w="0" w:type="auto"/>
            <w:tcBorders>
              <w:top w:val="single" w:sz="4" w:space="0" w:color="000000" w:themeColor="text1"/>
              <w:left w:val="nil"/>
              <w:bottom w:val="single" w:sz="4" w:space="0" w:color="000000" w:themeColor="text1"/>
              <w:right w:val="nil"/>
            </w:tcBorders>
            <w:hideMark/>
          </w:tcPr>
          <w:p w14:paraId="1D909C5A" w14:textId="15022CE8" w:rsidR="00120DCB" w:rsidRPr="000F6510" w:rsidRDefault="00120DCB" w:rsidP="00C45F0F">
            <w:pPr>
              <w:spacing w:after="0" w:line="240" w:lineRule="auto"/>
              <w:ind w:right="186"/>
              <w:rPr>
                <w:rFonts w:ascii="Times New Roman" w:hAnsi="Times New Roman" w:cs="Times New Roman"/>
                <w:sz w:val="24"/>
                <w:szCs w:val="24"/>
                <w:lang w:eastAsia="en-AU"/>
              </w:rPr>
            </w:pPr>
            <w:r>
              <w:t xml:space="preserve">The definition of rooming house for the purposes of the RTA and the </w:t>
            </w:r>
            <w:r w:rsidR="00E175C3" w:rsidRPr="00F0077F">
              <w:rPr>
                <w:i/>
                <w:iCs/>
              </w:rPr>
              <w:t xml:space="preserve">Rooming House Operators Act 2016 </w:t>
            </w:r>
            <w:r w:rsidR="00E175C3">
              <w:t>(Rooming House Operators Act)</w:t>
            </w:r>
            <w:r>
              <w:t xml:space="preserve">, including the impact of any definitional change for the Regulations. The proposed review will consider options for a more modern definition to reflect existing accommodation offerings such as ‘new model’ rooming houses aimed at skilled workers and international students. </w:t>
            </w:r>
            <w:r>
              <w:rPr>
                <w:rFonts w:ascii="Times New Roman" w:hAnsi="Times New Roman" w:cs="Times New Roman"/>
                <w:sz w:val="24"/>
                <w:szCs w:val="24"/>
                <w:lang w:eastAsia="en-AU"/>
              </w:rPr>
              <w:t xml:space="preserve"> </w:t>
            </w:r>
          </w:p>
        </w:tc>
        <w:tc>
          <w:tcPr>
            <w:tcW w:w="0" w:type="auto"/>
            <w:tcBorders>
              <w:top w:val="single" w:sz="4" w:space="0" w:color="000000" w:themeColor="text1"/>
              <w:left w:val="nil"/>
              <w:bottom w:val="single" w:sz="4" w:space="0" w:color="000000" w:themeColor="text1"/>
              <w:right w:val="nil"/>
            </w:tcBorders>
          </w:tcPr>
          <w:p w14:paraId="1A426399" w14:textId="526A4FE9" w:rsidR="00120DCB" w:rsidRPr="003A47E9" w:rsidRDefault="00120DCB" w:rsidP="006C2DC5">
            <w:pPr>
              <w:pStyle w:val="TabletextLeft"/>
              <w:spacing w:after="60"/>
              <w:rPr>
                <w:rFonts w:asciiTheme="majorHAnsi" w:hAnsiTheme="majorHAnsi"/>
                <w:szCs w:val="17"/>
                <w:lang w:val="en-GB"/>
              </w:rPr>
            </w:pPr>
            <w:r w:rsidRPr="003A47E9">
              <w:rPr>
                <w:rFonts w:asciiTheme="majorHAnsi" w:hAnsiTheme="majorHAnsi"/>
                <w:szCs w:val="17"/>
                <w:lang w:val="en-GB"/>
              </w:rPr>
              <w:t>It is proposed to amend the regulations to adopt the definition of ‘rooming house’ in the RTA by reference. Amendments to the definition arising out of the DJCS review may therefore affect the coverage of the regulations as they apply to rooming houses.</w:t>
            </w:r>
          </w:p>
          <w:p w14:paraId="7FF391C3" w14:textId="77777777" w:rsidR="00120DCB" w:rsidRPr="003A47E9" w:rsidRDefault="00120DCB" w:rsidP="00F0077F">
            <w:pPr>
              <w:pStyle w:val="TabletextLeft"/>
              <w:rPr>
                <w:rFonts w:asciiTheme="majorHAnsi" w:hAnsiTheme="majorHAnsi"/>
                <w:szCs w:val="17"/>
                <w:lang w:val="en-GB"/>
              </w:rPr>
            </w:pPr>
            <w:r w:rsidRPr="003A47E9">
              <w:rPr>
                <w:rFonts w:asciiTheme="majorHAnsi" w:hAnsiTheme="majorHAnsi"/>
                <w:szCs w:val="17"/>
                <w:lang w:val="en-GB"/>
              </w:rPr>
              <w:t xml:space="preserve">Consideration will be given to any ‘new models’ identified in the review including the interface with existing categories of prescribed accommodation such as ‘student dormitory’.   </w:t>
            </w:r>
          </w:p>
        </w:tc>
      </w:tr>
      <w:tr w:rsidR="00120DCB" w:rsidRPr="003A47E9" w14:paraId="4BDE68A3" w14:textId="77777777" w:rsidTr="00120DCB">
        <w:trPr>
          <w:trHeight w:val="1310"/>
        </w:trPr>
        <w:tc>
          <w:tcPr>
            <w:tcW w:w="0" w:type="auto"/>
            <w:tcBorders>
              <w:top w:val="single" w:sz="4" w:space="0" w:color="000000" w:themeColor="text1"/>
              <w:left w:val="nil"/>
              <w:bottom w:val="single" w:sz="4" w:space="0" w:color="000000" w:themeColor="text1"/>
              <w:right w:val="nil"/>
            </w:tcBorders>
          </w:tcPr>
          <w:p w14:paraId="146F2727" w14:textId="77777777" w:rsidR="00120DCB" w:rsidRPr="003A47E9" w:rsidRDefault="00120DCB" w:rsidP="006C2DC5">
            <w:pPr>
              <w:pStyle w:val="TabletextLeft"/>
              <w:spacing w:after="60"/>
              <w:rPr>
                <w:rFonts w:asciiTheme="majorHAnsi" w:hAnsiTheme="majorHAnsi"/>
                <w:szCs w:val="17"/>
                <w:lang w:val="en-GB"/>
              </w:rPr>
            </w:pPr>
            <w:r w:rsidRPr="003A47E9">
              <w:rPr>
                <w:rFonts w:asciiTheme="majorHAnsi" w:hAnsiTheme="majorHAnsi"/>
                <w:szCs w:val="17"/>
                <w:lang w:val="en-GB"/>
              </w:rPr>
              <w:t>Victoria Planning Provisions</w:t>
            </w:r>
          </w:p>
          <w:p w14:paraId="073DBDEA" w14:textId="77777777" w:rsidR="00120DCB" w:rsidRPr="003A47E9" w:rsidRDefault="00120DCB" w:rsidP="006C2DC5">
            <w:pPr>
              <w:pStyle w:val="TabletextLeft"/>
              <w:spacing w:after="60"/>
              <w:rPr>
                <w:rFonts w:asciiTheme="majorHAnsi" w:hAnsiTheme="majorHAnsi"/>
                <w:szCs w:val="17"/>
                <w:lang w:val="en-GB"/>
              </w:rPr>
            </w:pPr>
          </w:p>
          <w:p w14:paraId="6A50D295" w14:textId="76E86557" w:rsidR="00120DCB" w:rsidRDefault="00120DCB" w:rsidP="006C2DC5">
            <w:pPr>
              <w:pStyle w:val="TabletextLeft"/>
              <w:spacing w:after="60"/>
              <w:rPr>
                <w:rFonts w:asciiTheme="majorHAnsi" w:hAnsiTheme="majorHAnsi"/>
                <w:szCs w:val="17"/>
                <w:lang w:val="en-GB"/>
              </w:rPr>
            </w:pPr>
            <w:r w:rsidRPr="003A47E9">
              <w:rPr>
                <w:rFonts w:asciiTheme="majorHAnsi" w:hAnsiTheme="majorHAnsi"/>
                <w:szCs w:val="17"/>
                <w:lang w:val="en-GB"/>
              </w:rPr>
              <w:t>(Department of Environment, Land, Water and Planning (DELWP))</w:t>
            </w:r>
          </w:p>
          <w:p w14:paraId="7659E774" w14:textId="77777777" w:rsidR="00120DCB" w:rsidRDefault="00120DCB" w:rsidP="00853D6D">
            <w:pPr>
              <w:pStyle w:val="TabletextLeft"/>
              <w:spacing w:after="60"/>
              <w:ind w:right="428"/>
              <w:rPr>
                <w:rFonts w:asciiTheme="majorHAnsi" w:hAnsiTheme="majorHAnsi"/>
                <w:szCs w:val="17"/>
                <w:lang w:val="en-GB"/>
              </w:rPr>
            </w:pPr>
          </w:p>
          <w:p w14:paraId="39AB95B7" w14:textId="350405A9" w:rsidR="00120DCB" w:rsidRPr="00853D6D" w:rsidRDefault="00120DCB" w:rsidP="0091440E">
            <w:pPr>
              <w:pStyle w:val="TabletextLeft"/>
              <w:ind w:right="428"/>
              <w:rPr>
                <w:rFonts w:asciiTheme="majorHAnsi" w:hAnsiTheme="majorHAnsi"/>
                <w:szCs w:val="17"/>
                <w:lang w:val="en-GB"/>
              </w:rPr>
            </w:pPr>
            <w:r w:rsidRPr="00853D6D">
              <w:rPr>
                <w:rFonts w:asciiTheme="majorHAnsi" w:hAnsiTheme="majorHAnsi"/>
                <w:szCs w:val="17"/>
                <w:lang w:val="en-GB"/>
              </w:rPr>
              <w:t>Timing of findings/</w:t>
            </w:r>
          </w:p>
          <w:p w14:paraId="66AB7D11" w14:textId="0B00B3F2" w:rsidR="00120DCB" w:rsidRPr="003A47E9" w:rsidRDefault="00120DCB" w:rsidP="0091440E">
            <w:pPr>
              <w:pStyle w:val="TabletextLeft"/>
              <w:ind w:right="428"/>
              <w:rPr>
                <w:rFonts w:asciiTheme="majorHAnsi" w:hAnsiTheme="majorHAnsi"/>
                <w:szCs w:val="17"/>
                <w:lang w:val="en-GB"/>
              </w:rPr>
            </w:pPr>
            <w:r w:rsidRPr="00853D6D">
              <w:rPr>
                <w:rFonts w:asciiTheme="majorHAnsi" w:hAnsiTheme="majorHAnsi"/>
                <w:szCs w:val="17"/>
                <w:lang w:val="en-GB"/>
              </w:rPr>
              <w:t>Recommendations: Late 202</w:t>
            </w:r>
            <w:r>
              <w:rPr>
                <w:rFonts w:asciiTheme="majorHAnsi" w:hAnsiTheme="majorHAnsi"/>
                <w:szCs w:val="17"/>
                <w:lang w:val="en-GB"/>
              </w:rPr>
              <w:t>0</w:t>
            </w:r>
          </w:p>
        </w:tc>
        <w:tc>
          <w:tcPr>
            <w:tcW w:w="0" w:type="auto"/>
            <w:tcBorders>
              <w:top w:val="single" w:sz="4" w:space="0" w:color="000000" w:themeColor="text1"/>
              <w:left w:val="nil"/>
              <w:bottom w:val="single" w:sz="4" w:space="0" w:color="000000" w:themeColor="text1"/>
              <w:right w:val="nil"/>
            </w:tcBorders>
          </w:tcPr>
          <w:p w14:paraId="2C239721" w14:textId="222B6726" w:rsidR="00120DCB" w:rsidRPr="003A47E9" w:rsidRDefault="00120DCB" w:rsidP="00C45F0F">
            <w:pPr>
              <w:pStyle w:val="TabletextLeft"/>
              <w:spacing w:after="60"/>
              <w:ind w:right="186"/>
              <w:rPr>
                <w:rFonts w:asciiTheme="majorHAnsi" w:hAnsiTheme="majorHAnsi"/>
                <w:szCs w:val="17"/>
                <w:lang w:val="en-GB"/>
              </w:rPr>
            </w:pPr>
            <w:r w:rsidRPr="003A47E9">
              <w:rPr>
                <w:rFonts w:asciiTheme="majorHAnsi" w:hAnsiTheme="majorHAnsi"/>
                <w:szCs w:val="17"/>
                <w:lang w:val="en-GB"/>
              </w:rPr>
              <w:t>Whether ‘rural worker accommodation’, should be included as a land use term in the Victoria Planning Provisions, with associated accommodation provisions.</w:t>
            </w:r>
          </w:p>
          <w:p w14:paraId="6C699EE2" w14:textId="77777777" w:rsidR="00120DCB" w:rsidRPr="003A47E9" w:rsidRDefault="00120DCB" w:rsidP="00C45F0F">
            <w:pPr>
              <w:pStyle w:val="TabletextLeft"/>
              <w:spacing w:after="60"/>
              <w:ind w:right="186"/>
              <w:rPr>
                <w:rFonts w:asciiTheme="majorHAnsi" w:hAnsiTheme="majorHAnsi"/>
                <w:szCs w:val="17"/>
                <w:lang w:val="en-GB"/>
              </w:rPr>
            </w:pPr>
          </w:p>
        </w:tc>
        <w:tc>
          <w:tcPr>
            <w:tcW w:w="0" w:type="auto"/>
            <w:tcBorders>
              <w:top w:val="single" w:sz="4" w:space="0" w:color="000000" w:themeColor="text1"/>
              <w:left w:val="nil"/>
              <w:bottom w:val="single" w:sz="4" w:space="0" w:color="000000" w:themeColor="text1"/>
              <w:right w:val="nil"/>
            </w:tcBorders>
          </w:tcPr>
          <w:p w14:paraId="7878C304" w14:textId="607B755C" w:rsidR="00120DCB" w:rsidRPr="003A47E9" w:rsidRDefault="00120DCB" w:rsidP="00F0077F">
            <w:pPr>
              <w:pStyle w:val="TabletextLeft"/>
              <w:rPr>
                <w:rFonts w:asciiTheme="majorHAnsi" w:hAnsiTheme="majorHAnsi"/>
                <w:szCs w:val="17"/>
                <w:lang w:val="en-GB"/>
              </w:rPr>
            </w:pPr>
            <w:r w:rsidRPr="003A47E9">
              <w:rPr>
                <w:rFonts w:asciiTheme="majorHAnsi" w:hAnsiTheme="majorHAnsi"/>
                <w:szCs w:val="17"/>
                <w:lang w:val="en-GB"/>
              </w:rPr>
              <w:t xml:space="preserve">DHHS considers it appropriate to consider the outcomes of the DELWP work pending consideration of further amendments to the PHWA which would be required to implement the recommendations of the 2016 report of the Victorian Government ‘s Inquiry into the Labour Hire Industry and Insecure Work relating to accommodation provided under labour hire arrangements.   </w:t>
            </w:r>
          </w:p>
        </w:tc>
      </w:tr>
      <w:tr w:rsidR="00120DCB" w:rsidRPr="003A47E9" w14:paraId="7217207F" w14:textId="77777777" w:rsidTr="00120DCB">
        <w:tc>
          <w:tcPr>
            <w:tcW w:w="0" w:type="auto"/>
            <w:tcBorders>
              <w:top w:val="single" w:sz="4" w:space="0" w:color="000000" w:themeColor="text1"/>
              <w:left w:val="nil"/>
              <w:bottom w:val="single" w:sz="4" w:space="0" w:color="000000" w:themeColor="text1"/>
              <w:right w:val="nil"/>
            </w:tcBorders>
            <w:shd w:val="clear" w:color="auto" w:fill="FFFFFF" w:themeFill="background1"/>
          </w:tcPr>
          <w:p w14:paraId="2E611C8B" w14:textId="77777777" w:rsidR="00120DCB" w:rsidRPr="003A47E9" w:rsidRDefault="00120DCB" w:rsidP="006C2DC5">
            <w:pPr>
              <w:pStyle w:val="TabletextLeft"/>
              <w:spacing w:after="60"/>
              <w:ind w:right="428"/>
              <w:rPr>
                <w:rFonts w:asciiTheme="majorHAnsi" w:hAnsiTheme="majorHAnsi"/>
                <w:szCs w:val="17"/>
                <w:lang w:val="en-GB"/>
              </w:rPr>
            </w:pPr>
            <w:r w:rsidRPr="003A47E9">
              <w:rPr>
                <w:rFonts w:asciiTheme="majorHAnsi" w:hAnsiTheme="majorHAnsi"/>
                <w:szCs w:val="17"/>
                <w:lang w:val="en-GB"/>
              </w:rPr>
              <w:t xml:space="preserve">Plan Melbourne 2017-50 - Metropolitan Planning Strategy (Action 31) </w:t>
            </w:r>
          </w:p>
          <w:p w14:paraId="7407DB5E" w14:textId="77777777" w:rsidR="00120DCB" w:rsidRPr="003A47E9" w:rsidRDefault="00120DCB" w:rsidP="006C2DC5">
            <w:pPr>
              <w:pStyle w:val="TabletextLeft"/>
              <w:spacing w:after="60"/>
              <w:ind w:right="428"/>
              <w:rPr>
                <w:rFonts w:asciiTheme="majorHAnsi" w:hAnsiTheme="majorHAnsi"/>
                <w:szCs w:val="17"/>
                <w:lang w:val="en-GB"/>
              </w:rPr>
            </w:pPr>
            <w:r w:rsidRPr="003A47E9">
              <w:rPr>
                <w:rFonts w:asciiTheme="majorHAnsi" w:hAnsiTheme="majorHAnsi"/>
                <w:szCs w:val="17"/>
                <w:lang w:val="en-GB"/>
              </w:rPr>
              <w:t>Victoria Planning Provisions</w:t>
            </w:r>
          </w:p>
          <w:p w14:paraId="5C14B1A6" w14:textId="77777777" w:rsidR="00120DCB" w:rsidRDefault="00120DCB" w:rsidP="006C2DC5">
            <w:pPr>
              <w:pStyle w:val="TabletextLeft"/>
              <w:spacing w:after="60"/>
              <w:ind w:right="428"/>
              <w:rPr>
                <w:rFonts w:asciiTheme="majorHAnsi" w:hAnsiTheme="majorHAnsi"/>
                <w:szCs w:val="17"/>
                <w:lang w:val="en-GB"/>
              </w:rPr>
            </w:pPr>
            <w:r w:rsidRPr="003A47E9">
              <w:rPr>
                <w:rFonts w:asciiTheme="majorHAnsi" w:hAnsiTheme="majorHAnsi"/>
                <w:szCs w:val="17"/>
                <w:lang w:val="en-GB"/>
              </w:rPr>
              <w:t>(DELWP)</w:t>
            </w:r>
          </w:p>
          <w:p w14:paraId="378D773B" w14:textId="77777777" w:rsidR="00120DCB" w:rsidRDefault="00120DCB" w:rsidP="006C2DC5">
            <w:pPr>
              <w:pStyle w:val="TabletextLeft"/>
              <w:spacing w:after="60"/>
              <w:ind w:right="428"/>
              <w:rPr>
                <w:rFonts w:asciiTheme="majorHAnsi" w:hAnsiTheme="majorHAnsi"/>
                <w:szCs w:val="17"/>
                <w:lang w:val="en-GB"/>
              </w:rPr>
            </w:pPr>
          </w:p>
          <w:p w14:paraId="4923D498" w14:textId="77777777" w:rsidR="00120DCB" w:rsidRPr="00853D6D" w:rsidRDefault="00120DCB" w:rsidP="0091440E">
            <w:pPr>
              <w:pStyle w:val="TabletextLeft"/>
              <w:ind w:right="428"/>
              <w:rPr>
                <w:rFonts w:asciiTheme="majorHAnsi" w:hAnsiTheme="majorHAnsi"/>
                <w:szCs w:val="17"/>
                <w:lang w:val="en-GB"/>
              </w:rPr>
            </w:pPr>
            <w:r w:rsidRPr="00853D6D">
              <w:rPr>
                <w:rFonts w:asciiTheme="majorHAnsi" w:hAnsiTheme="majorHAnsi"/>
                <w:szCs w:val="17"/>
                <w:lang w:val="en-GB"/>
              </w:rPr>
              <w:t>Timing of findings/</w:t>
            </w:r>
          </w:p>
          <w:p w14:paraId="7E8B59EE" w14:textId="7E9FB3F7" w:rsidR="00120DCB" w:rsidRPr="003A47E9" w:rsidRDefault="00120DCB" w:rsidP="0091440E">
            <w:pPr>
              <w:pStyle w:val="TabletextLeft"/>
              <w:ind w:right="428"/>
              <w:rPr>
                <w:rFonts w:asciiTheme="majorHAnsi" w:hAnsiTheme="majorHAnsi"/>
                <w:szCs w:val="17"/>
                <w:lang w:val="en-GB"/>
              </w:rPr>
            </w:pPr>
            <w:r w:rsidRPr="00853D6D">
              <w:rPr>
                <w:rFonts w:asciiTheme="majorHAnsi" w:hAnsiTheme="majorHAnsi"/>
                <w:szCs w:val="17"/>
                <w:lang w:val="en-GB"/>
              </w:rPr>
              <w:t>Recommendations: Late 202</w:t>
            </w:r>
            <w:r>
              <w:rPr>
                <w:rFonts w:asciiTheme="majorHAnsi" w:hAnsiTheme="majorHAnsi"/>
                <w:szCs w:val="17"/>
                <w:lang w:val="en-GB"/>
              </w:rPr>
              <w:t>0</w:t>
            </w:r>
          </w:p>
        </w:tc>
        <w:tc>
          <w:tcPr>
            <w:tcW w:w="0" w:type="auto"/>
            <w:tcBorders>
              <w:top w:val="single" w:sz="4" w:space="0" w:color="000000" w:themeColor="text1"/>
              <w:left w:val="nil"/>
              <w:bottom w:val="single" w:sz="4" w:space="0" w:color="000000" w:themeColor="text1"/>
              <w:right w:val="nil"/>
            </w:tcBorders>
            <w:shd w:val="clear" w:color="auto" w:fill="FFFFFF" w:themeFill="background1"/>
          </w:tcPr>
          <w:p w14:paraId="552E70F5" w14:textId="0F819015" w:rsidR="00120DCB" w:rsidRPr="003A47E9" w:rsidRDefault="00120DCB" w:rsidP="00C45F0F">
            <w:pPr>
              <w:pStyle w:val="TabletextLeft"/>
              <w:spacing w:after="60"/>
              <w:ind w:right="186"/>
              <w:rPr>
                <w:rFonts w:asciiTheme="majorHAnsi" w:hAnsiTheme="majorHAnsi"/>
                <w:szCs w:val="17"/>
                <w:lang w:val="en-GB"/>
              </w:rPr>
            </w:pPr>
            <w:r w:rsidRPr="003A47E9">
              <w:rPr>
                <w:rFonts w:asciiTheme="majorHAnsi" w:hAnsiTheme="majorHAnsi"/>
                <w:szCs w:val="17"/>
                <w:lang w:val="en-GB"/>
              </w:rPr>
              <w:t>Action 31: Develop and implement a streamlined approvals process for specific housing types that address local housing gaps such as student housing.</w:t>
            </w:r>
          </w:p>
          <w:p w14:paraId="71B05A8A" w14:textId="1311F2B7" w:rsidR="00120DCB" w:rsidRPr="003A47E9" w:rsidRDefault="00120DCB" w:rsidP="00F0077F">
            <w:pPr>
              <w:pStyle w:val="TabletextLeft"/>
              <w:ind w:right="186"/>
              <w:rPr>
                <w:rFonts w:asciiTheme="majorHAnsi" w:hAnsiTheme="majorHAnsi"/>
                <w:szCs w:val="17"/>
                <w:lang w:val="en-GB"/>
              </w:rPr>
            </w:pPr>
            <w:r w:rsidRPr="003A47E9">
              <w:rPr>
                <w:rFonts w:asciiTheme="majorHAnsi" w:hAnsiTheme="majorHAnsi"/>
                <w:szCs w:val="17"/>
                <w:lang w:val="en-GB"/>
              </w:rPr>
              <w:t>This would likely require consideration of whether ‘student accommodation’ should be included as a land use term in the Victoria Planning Provisions, with associated provisions.</w:t>
            </w:r>
          </w:p>
        </w:tc>
        <w:tc>
          <w:tcPr>
            <w:tcW w:w="0" w:type="auto"/>
            <w:tcBorders>
              <w:top w:val="single" w:sz="4" w:space="0" w:color="000000" w:themeColor="text1"/>
              <w:left w:val="nil"/>
              <w:bottom w:val="single" w:sz="4" w:space="0" w:color="000000" w:themeColor="text1"/>
              <w:right w:val="nil"/>
            </w:tcBorders>
            <w:shd w:val="clear" w:color="auto" w:fill="FFFFFF" w:themeFill="background1"/>
          </w:tcPr>
          <w:p w14:paraId="3E91953D" w14:textId="32991EDD" w:rsidR="00120DCB" w:rsidRPr="003A47E9" w:rsidRDefault="00120DCB" w:rsidP="006C2DC5">
            <w:pPr>
              <w:pStyle w:val="TabletextLeft"/>
              <w:spacing w:after="60"/>
              <w:rPr>
                <w:rFonts w:asciiTheme="majorHAnsi" w:hAnsiTheme="majorHAnsi"/>
                <w:szCs w:val="17"/>
                <w:lang w:val="en-GB"/>
              </w:rPr>
            </w:pPr>
            <w:r w:rsidRPr="003A47E9">
              <w:rPr>
                <w:rFonts w:asciiTheme="majorHAnsi" w:hAnsiTheme="majorHAnsi"/>
                <w:szCs w:val="17"/>
                <w:lang w:val="en-GB"/>
              </w:rPr>
              <w:t>DELWP’s consideration of ‘student accommodation’ may be relevant to DHHS’ consideration of whether ‘student dormitories’ is a ‘fit for purpose’ definition under the ‘Regulations’</w:t>
            </w:r>
            <w:r w:rsidR="00766681">
              <w:rPr>
                <w:rFonts w:asciiTheme="majorHAnsi" w:hAnsiTheme="majorHAnsi"/>
                <w:szCs w:val="17"/>
                <w:lang w:val="en-GB"/>
              </w:rPr>
              <w:t>.</w:t>
            </w:r>
          </w:p>
        </w:tc>
      </w:tr>
      <w:tr w:rsidR="00120DCB" w:rsidRPr="003A47E9" w14:paraId="1E7239ED" w14:textId="77777777" w:rsidTr="00120DCB">
        <w:tc>
          <w:tcPr>
            <w:tcW w:w="0" w:type="auto"/>
            <w:tcBorders>
              <w:top w:val="single" w:sz="4" w:space="0" w:color="000000" w:themeColor="text1"/>
              <w:left w:val="nil"/>
              <w:bottom w:val="single" w:sz="4" w:space="0" w:color="000000" w:themeColor="text1"/>
              <w:right w:val="nil"/>
            </w:tcBorders>
            <w:hideMark/>
          </w:tcPr>
          <w:p w14:paraId="4FC9D7F6" w14:textId="3741C998" w:rsidR="00120DCB" w:rsidRPr="00F0077F" w:rsidRDefault="00120DCB" w:rsidP="006C2DC5">
            <w:pPr>
              <w:pStyle w:val="TabletextLeft"/>
              <w:spacing w:after="60"/>
              <w:ind w:right="428"/>
              <w:rPr>
                <w:rFonts w:asciiTheme="majorHAnsi" w:hAnsiTheme="majorHAnsi"/>
                <w:i/>
                <w:szCs w:val="17"/>
                <w:lang w:val="en-GB"/>
              </w:rPr>
            </w:pPr>
            <w:r w:rsidRPr="00F0077F">
              <w:rPr>
                <w:rFonts w:asciiTheme="majorHAnsi" w:hAnsiTheme="majorHAnsi"/>
                <w:i/>
                <w:szCs w:val="17"/>
                <w:lang w:val="en-GB"/>
              </w:rPr>
              <w:t xml:space="preserve">Owners Corporation Amendment (Short-stay Accommodation) Act 2018 </w:t>
            </w:r>
          </w:p>
          <w:p w14:paraId="55BEE10A" w14:textId="77777777" w:rsidR="00120DCB" w:rsidRDefault="00120DCB" w:rsidP="006C2DC5">
            <w:pPr>
              <w:pStyle w:val="TabletextLeft"/>
              <w:spacing w:after="60"/>
              <w:ind w:right="428"/>
              <w:rPr>
                <w:rFonts w:asciiTheme="majorHAnsi" w:hAnsiTheme="majorHAnsi"/>
                <w:szCs w:val="17"/>
                <w:lang w:val="en-GB"/>
              </w:rPr>
            </w:pPr>
            <w:r w:rsidRPr="003A47E9">
              <w:rPr>
                <w:rFonts w:asciiTheme="majorHAnsi" w:hAnsiTheme="majorHAnsi"/>
                <w:szCs w:val="17"/>
                <w:lang w:val="en-GB"/>
              </w:rPr>
              <w:t>(DJCS)</w:t>
            </w:r>
          </w:p>
          <w:p w14:paraId="325E0567" w14:textId="77777777" w:rsidR="00120DCB" w:rsidRDefault="00120DCB" w:rsidP="006C2DC5">
            <w:pPr>
              <w:pStyle w:val="TabletextLeft"/>
              <w:spacing w:after="60"/>
              <w:ind w:right="428"/>
              <w:rPr>
                <w:rFonts w:asciiTheme="majorHAnsi" w:hAnsiTheme="majorHAnsi"/>
                <w:szCs w:val="17"/>
                <w:lang w:val="en-GB"/>
              </w:rPr>
            </w:pPr>
          </w:p>
          <w:p w14:paraId="5C01FD7C" w14:textId="77777777" w:rsidR="00120DCB" w:rsidRPr="00853D6D" w:rsidRDefault="00120DCB" w:rsidP="0091440E">
            <w:pPr>
              <w:pStyle w:val="TabletextLeft"/>
              <w:ind w:right="428"/>
              <w:rPr>
                <w:rFonts w:asciiTheme="majorHAnsi" w:hAnsiTheme="majorHAnsi"/>
                <w:szCs w:val="17"/>
                <w:lang w:val="en-GB"/>
              </w:rPr>
            </w:pPr>
            <w:r w:rsidRPr="00853D6D">
              <w:rPr>
                <w:rFonts w:asciiTheme="majorHAnsi" w:hAnsiTheme="majorHAnsi"/>
                <w:szCs w:val="17"/>
                <w:lang w:val="en-GB"/>
              </w:rPr>
              <w:t>Timing of findings/</w:t>
            </w:r>
          </w:p>
          <w:p w14:paraId="7C469215" w14:textId="649D17A9" w:rsidR="00120DCB" w:rsidRPr="003A47E9" w:rsidRDefault="00120DCB" w:rsidP="0091440E">
            <w:pPr>
              <w:pStyle w:val="TabletextLeft"/>
              <w:ind w:right="428"/>
              <w:rPr>
                <w:rFonts w:asciiTheme="majorHAnsi" w:hAnsiTheme="majorHAnsi"/>
                <w:szCs w:val="17"/>
                <w:lang w:val="en-GB"/>
              </w:rPr>
            </w:pPr>
            <w:r w:rsidRPr="00853D6D">
              <w:rPr>
                <w:rFonts w:asciiTheme="majorHAnsi" w:hAnsiTheme="majorHAnsi"/>
                <w:szCs w:val="17"/>
                <w:lang w:val="en-GB"/>
              </w:rPr>
              <w:t xml:space="preserve">Recommendations: </w:t>
            </w:r>
            <w:r w:rsidRPr="006C2DC5">
              <w:rPr>
                <w:rFonts w:asciiTheme="majorHAnsi" w:hAnsiTheme="majorHAnsi"/>
                <w:szCs w:val="17"/>
                <w:lang w:val="en-GB"/>
              </w:rPr>
              <w:t>To be undertaken in 2021</w:t>
            </w:r>
          </w:p>
        </w:tc>
        <w:tc>
          <w:tcPr>
            <w:tcW w:w="0" w:type="auto"/>
            <w:tcBorders>
              <w:top w:val="single" w:sz="4" w:space="0" w:color="000000" w:themeColor="text1"/>
              <w:left w:val="nil"/>
              <w:bottom w:val="single" w:sz="4" w:space="0" w:color="000000" w:themeColor="text1"/>
              <w:right w:val="nil"/>
            </w:tcBorders>
          </w:tcPr>
          <w:p w14:paraId="6FD4DA78" w14:textId="10A504DE" w:rsidR="00120DCB" w:rsidRPr="003A47E9" w:rsidRDefault="00120DCB" w:rsidP="00C45F0F">
            <w:pPr>
              <w:pStyle w:val="TabletextLeft"/>
              <w:spacing w:after="60"/>
              <w:ind w:right="186"/>
              <w:rPr>
                <w:rFonts w:asciiTheme="majorHAnsi" w:hAnsiTheme="majorHAnsi"/>
                <w:szCs w:val="17"/>
                <w:lang w:val="en-GB"/>
              </w:rPr>
            </w:pPr>
            <w:r w:rsidRPr="003A47E9">
              <w:rPr>
                <w:rFonts w:asciiTheme="majorHAnsi" w:hAnsiTheme="majorHAnsi"/>
                <w:szCs w:val="17"/>
                <w:lang w:val="en-GB"/>
              </w:rPr>
              <w:t xml:space="preserve">The </w:t>
            </w:r>
            <w:r w:rsidR="00E175C3">
              <w:rPr>
                <w:rFonts w:asciiTheme="majorHAnsi" w:hAnsiTheme="majorHAnsi"/>
                <w:szCs w:val="17"/>
                <w:lang w:val="en-GB"/>
              </w:rPr>
              <w:t>Government</w:t>
            </w:r>
            <w:r w:rsidRPr="003A47E9">
              <w:rPr>
                <w:rFonts w:asciiTheme="majorHAnsi" w:hAnsiTheme="majorHAnsi"/>
                <w:szCs w:val="17"/>
                <w:lang w:val="en-GB"/>
              </w:rPr>
              <w:t xml:space="preserve"> has committed to undertake a post implementation review of the Owners Corporation Amendment (Short-stay Accommodation) Act which enables owners corporations to take action against owners and guests of short-stay apartments used for unruly parties. </w:t>
            </w:r>
          </w:p>
          <w:p w14:paraId="2663EC95" w14:textId="4F63A5BA" w:rsidR="00120DCB" w:rsidRPr="003A47E9" w:rsidRDefault="00120DCB" w:rsidP="00C45F0F">
            <w:pPr>
              <w:pStyle w:val="TabletextLeft"/>
              <w:spacing w:after="60"/>
              <w:ind w:right="186"/>
              <w:rPr>
                <w:rFonts w:asciiTheme="majorHAnsi" w:hAnsiTheme="majorHAnsi"/>
                <w:szCs w:val="17"/>
                <w:lang w:val="en-GB"/>
              </w:rPr>
            </w:pPr>
            <w:r w:rsidRPr="003A47E9">
              <w:rPr>
                <w:rFonts w:asciiTheme="majorHAnsi" w:hAnsiTheme="majorHAnsi"/>
                <w:szCs w:val="17"/>
                <w:lang w:val="en-GB"/>
              </w:rPr>
              <w:t>Timing and terms of reference for the post-implementation review are yet to be settle</w:t>
            </w:r>
            <w:r w:rsidR="006E0120">
              <w:rPr>
                <w:rFonts w:asciiTheme="majorHAnsi" w:hAnsiTheme="majorHAnsi"/>
                <w:szCs w:val="17"/>
                <w:lang w:val="en-GB"/>
              </w:rPr>
              <w:t>d</w:t>
            </w:r>
            <w:r w:rsidRPr="003A47E9">
              <w:rPr>
                <w:rFonts w:asciiTheme="majorHAnsi" w:hAnsiTheme="majorHAnsi"/>
                <w:szCs w:val="17"/>
                <w:lang w:val="en-GB"/>
              </w:rPr>
              <w:t>, and will be subject to Ministerial approval.</w:t>
            </w:r>
          </w:p>
          <w:p w14:paraId="6277D104" w14:textId="77777777" w:rsidR="00120DCB" w:rsidRPr="003A47E9" w:rsidRDefault="00120DCB" w:rsidP="00C45F0F">
            <w:pPr>
              <w:pStyle w:val="TabletextLeft"/>
              <w:spacing w:after="60"/>
              <w:ind w:right="186"/>
              <w:rPr>
                <w:rFonts w:asciiTheme="majorHAnsi" w:hAnsiTheme="majorHAnsi"/>
                <w:szCs w:val="17"/>
                <w:lang w:val="en-GB"/>
              </w:rPr>
            </w:pPr>
            <w:r w:rsidRPr="003A47E9">
              <w:rPr>
                <w:rFonts w:asciiTheme="majorHAnsi" w:hAnsiTheme="majorHAnsi"/>
                <w:szCs w:val="17"/>
                <w:lang w:val="en-GB"/>
              </w:rPr>
              <w:t xml:space="preserve">The BRV review of regulatory imbalances in the accommodation sector between traditional and short-stay accommodation will assist informing this. </w:t>
            </w:r>
          </w:p>
        </w:tc>
        <w:tc>
          <w:tcPr>
            <w:tcW w:w="0" w:type="auto"/>
            <w:tcBorders>
              <w:top w:val="single" w:sz="4" w:space="0" w:color="000000" w:themeColor="text1"/>
              <w:left w:val="nil"/>
              <w:bottom w:val="single" w:sz="4" w:space="0" w:color="000000" w:themeColor="text1"/>
              <w:right w:val="nil"/>
            </w:tcBorders>
            <w:hideMark/>
          </w:tcPr>
          <w:p w14:paraId="24279B01" w14:textId="77777777" w:rsidR="00120DCB" w:rsidRPr="003A47E9" w:rsidRDefault="00120DCB" w:rsidP="006C2DC5">
            <w:pPr>
              <w:pStyle w:val="TabletextLeft"/>
              <w:spacing w:after="60"/>
              <w:rPr>
                <w:rFonts w:asciiTheme="majorHAnsi" w:hAnsiTheme="majorHAnsi"/>
                <w:szCs w:val="17"/>
                <w:lang w:val="en-GB"/>
              </w:rPr>
            </w:pPr>
            <w:r w:rsidRPr="003A47E9">
              <w:rPr>
                <w:rFonts w:asciiTheme="majorHAnsi" w:hAnsiTheme="majorHAnsi"/>
                <w:szCs w:val="17"/>
                <w:lang w:val="en-GB"/>
              </w:rPr>
              <w:t xml:space="preserve">The terms of reference and any relevant findings of the DJCS review may be relevant for the regulation of prescribed accommodation, including some short-stay accommodation. </w:t>
            </w:r>
          </w:p>
        </w:tc>
      </w:tr>
      <w:tr w:rsidR="00120DCB" w:rsidRPr="003A47E9" w14:paraId="4863A240" w14:textId="77777777" w:rsidTr="00120DCB">
        <w:tc>
          <w:tcPr>
            <w:tcW w:w="0" w:type="auto"/>
            <w:tcBorders>
              <w:top w:val="single" w:sz="4" w:space="0" w:color="000000" w:themeColor="text1"/>
              <w:left w:val="nil"/>
              <w:bottom w:val="single" w:sz="4" w:space="0" w:color="000000" w:themeColor="text1"/>
              <w:right w:val="nil"/>
            </w:tcBorders>
            <w:hideMark/>
          </w:tcPr>
          <w:p w14:paraId="1F24F44B" w14:textId="77777777" w:rsidR="00120DCB" w:rsidRPr="003A47E9" w:rsidRDefault="00120DCB" w:rsidP="006C2DC5">
            <w:pPr>
              <w:pStyle w:val="TabletextLeft"/>
              <w:spacing w:after="60"/>
              <w:ind w:right="428"/>
              <w:rPr>
                <w:lang w:val="en-GB"/>
              </w:rPr>
            </w:pPr>
            <w:r w:rsidRPr="003A47E9">
              <w:rPr>
                <w:lang w:val="en-GB"/>
              </w:rPr>
              <w:t xml:space="preserve">Review of any regulatory imbalances in </w:t>
            </w:r>
            <w:r w:rsidRPr="003A47E9">
              <w:rPr>
                <w:lang w:val="en-GB"/>
              </w:rPr>
              <w:lastRenderedPageBreak/>
              <w:t xml:space="preserve">the accommodation sector between traditional and short-stay accommodation. </w:t>
            </w:r>
          </w:p>
          <w:p w14:paraId="49A2E18A" w14:textId="77777777" w:rsidR="00120DCB" w:rsidRDefault="00120DCB" w:rsidP="006C2DC5">
            <w:pPr>
              <w:pStyle w:val="TabletextLeft"/>
              <w:spacing w:after="60"/>
              <w:ind w:right="428"/>
              <w:rPr>
                <w:lang w:val="en-GB"/>
              </w:rPr>
            </w:pPr>
            <w:r w:rsidRPr="003A47E9">
              <w:rPr>
                <w:lang w:val="en-GB"/>
              </w:rPr>
              <w:t>(Better Regulation Victoria (BRV))</w:t>
            </w:r>
          </w:p>
          <w:p w14:paraId="61894932" w14:textId="77777777" w:rsidR="00120DCB" w:rsidRDefault="00120DCB" w:rsidP="006C2DC5">
            <w:pPr>
              <w:pStyle w:val="TabletextLeft"/>
              <w:spacing w:after="60"/>
              <w:ind w:right="428"/>
              <w:rPr>
                <w:lang w:val="en-GB"/>
              </w:rPr>
            </w:pPr>
          </w:p>
          <w:p w14:paraId="6E3BBDCC" w14:textId="77777777" w:rsidR="00120DCB" w:rsidRPr="00853D6D" w:rsidRDefault="00120DCB" w:rsidP="0091440E">
            <w:pPr>
              <w:pStyle w:val="TabletextLeft"/>
              <w:ind w:right="428"/>
              <w:rPr>
                <w:rFonts w:asciiTheme="majorHAnsi" w:hAnsiTheme="majorHAnsi"/>
                <w:szCs w:val="17"/>
                <w:lang w:val="en-GB"/>
              </w:rPr>
            </w:pPr>
            <w:r w:rsidRPr="00853D6D">
              <w:rPr>
                <w:rFonts w:asciiTheme="majorHAnsi" w:hAnsiTheme="majorHAnsi"/>
                <w:szCs w:val="17"/>
                <w:lang w:val="en-GB"/>
              </w:rPr>
              <w:t>Timing of findings/</w:t>
            </w:r>
          </w:p>
          <w:p w14:paraId="67BCA7C0" w14:textId="41977DBC" w:rsidR="00120DCB" w:rsidRPr="003A47E9" w:rsidRDefault="00120DCB" w:rsidP="0091440E">
            <w:pPr>
              <w:pStyle w:val="TabletextLeft"/>
              <w:ind w:right="428"/>
              <w:rPr>
                <w:lang w:val="en-GB"/>
              </w:rPr>
            </w:pPr>
            <w:r w:rsidRPr="00853D6D">
              <w:rPr>
                <w:rFonts w:asciiTheme="majorHAnsi" w:hAnsiTheme="majorHAnsi"/>
                <w:szCs w:val="17"/>
                <w:lang w:val="en-GB"/>
              </w:rPr>
              <w:t xml:space="preserve">Recommendations: </w:t>
            </w:r>
            <w:r w:rsidRPr="006C2DC5">
              <w:rPr>
                <w:rFonts w:asciiTheme="majorHAnsi" w:hAnsiTheme="majorHAnsi"/>
                <w:szCs w:val="17"/>
                <w:lang w:val="en-GB"/>
              </w:rPr>
              <w:t>Finalise second half of 2020</w:t>
            </w:r>
          </w:p>
        </w:tc>
        <w:tc>
          <w:tcPr>
            <w:tcW w:w="0" w:type="auto"/>
            <w:tcBorders>
              <w:top w:val="single" w:sz="4" w:space="0" w:color="000000" w:themeColor="text1"/>
              <w:left w:val="nil"/>
              <w:bottom w:val="single" w:sz="4" w:space="0" w:color="000000" w:themeColor="text1"/>
              <w:right w:val="nil"/>
            </w:tcBorders>
            <w:hideMark/>
          </w:tcPr>
          <w:p w14:paraId="4B7C6E08" w14:textId="53E9EF04" w:rsidR="00120DCB" w:rsidRPr="003A47E9" w:rsidRDefault="00120DCB" w:rsidP="00C45F0F">
            <w:pPr>
              <w:pStyle w:val="TabletextLeft"/>
              <w:spacing w:after="60"/>
              <w:ind w:right="186"/>
              <w:rPr>
                <w:rFonts w:asciiTheme="majorHAnsi" w:hAnsiTheme="majorHAnsi"/>
                <w:szCs w:val="17"/>
                <w:lang w:val="en-GB"/>
              </w:rPr>
            </w:pPr>
            <w:r w:rsidRPr="003A47E9">
              <w:rPr>
                <w:rFonts w:asciiTheme="majorHAnsi" w:hAnsiTheme="majorHAnsi"/>
                <w:szCs w:val="17"/>
                <w:lang w:val="en-GB"/>
              </w:rPr>
              <w:lastRenderedPageBreak/>
              <w:t xml:space="preserve">Imbalances in the accommodation sector, specifically differences in </w:t>
            </w:r>
            <w:r w:rsidRPr="003A47E9">
              <w:rPr>
                <w:rFonts w:asciiTheme="majorHAnsi" w:hAnsiTheme="majorHAnsi"/>
                <w:szCs w:val="17"/>
                <w:lang w:val="en-GB"/>
              </w:rPr>
              <w:lastRenderedPageBreak/>
              <w:t>standards and regulations for traditional and short stay accommodation</w:t>
            </w:r>
            <w:r>
              <w:rPr>
                <w:rFonts w:asciiTheme="majorHAnsi" w:hAnsiTheme="majorHAnsi"/>
                <w:szCs w:val="17"/>
                <w:lang w:val="en-GB"/>
              </w:rPr>
              <w:t>.</w:t>
            </w:r>
          </w:p>
        </w:tc>
        <w:tc>
          <w:tcPr>
            <w:tcW w:w="0" w:type="auto"/>
            <w:tcBorders>
              <w:top w:val="single" w:sz="4" w:space="0" w:color="000000" w:themeColor="text1"/>
              <w:left w:val="nil"/>
              <w:bottom w:val="single" w:sz="4" w:space="0" w:color="000000" w:themeColor="text1"/>
              <w:right w:val="nil"/>
            </w:tcBorders>
          </w:tcPr>
          <w:p w14:paraId="1055D89C" w14:textId="77777777" w:rsidR="00120DCB" w:rsidRPr="003A47E9" w:rsidRDefault="00120DCB" w:rsidP="006C2DC5">
            <w:pPr>
              <w:pStyle w:val="TabletextLeft"/>
              <w:spacing w:after="60"/>
              <w:rPr>
                <w:rFonts w:asciiTheme="majorHAnsi" w:hAnsiTheme="majorHAnsi"/>
                <w:szCs w:val="17"/>
                <w:lang w:val="en-GB"/>
              </w:rPr>
            </w:pPr>
            <w:r w:rsidRPr="003A47E9">
              <w:rPr>
                <w:rFonts w:asciiTheme="majorHAnsi" w:hAnsiTheme="majorHAnsi"/>
                <w:szCs w:val="17"/>
                <w:lang w:val="en-GB"/>
              </w:rPr>
              <w:lastRenderedPageBreak/>
              <w:t xml:space="preserve">The observations or key findings of this review may be relevant to the </w:t>
            </w:r>
            <w:r w:rsidRPr="003A47E9">
              <w:rPr>
                <w:rFonts w:asciiTheme="majorHAnsi" w:hAnsiTheme="majorHAnsi"/>
                <w:szCs w:val="17"/>
                <w:lang w:val="en-GB"/>
              </w:rPr>
              <w:lastRenderedPageBreak/>
              <w:t>regulation of prescribed accommodation including some traditional and short-stay accommodation.</w:t>
            </w:r>
          </w:p>
        </w:tc>
      </w:tr>
      <w:tr w:rsidR="00120DCB" w14:paraId="0C5AF37B" w14:textId="77777777" w:rsidTr="00120DCB">
        <w:tc>
          <w:tcPr>
            <w:tcW w:w="0" w:type="auto"/>
            <w:tcBorders>
              <w:top w:val="single" w:sz="4" w:space="0" w:color="000000" w:themeColor="text1"/>
              <w:left w:val="nil"/>
              <w:bottom w:val="single" w:sz="4" w:space="0" w:color="000000" w:themeColor="text1"/>
              <w:right w:val="nil"/>
            </w:tcBorders>
            <w:hideMark/>
          </w:tcPr>
          <w:p w14:paraId="31545954" w14:textId="77777777" w:rsidR="00120DCB" w:rsidRPr="003A47E9" w:rsidRDefault="00120DCB" w:rsidP="00F0077F">
            <w:pPr>
              <w:pStyle w:val="TabletextLeft"/>
              <w:ind w:right="428"/>
              <w:rPr>
                <w:rFonts w:asciiTheme="majorHAnsi" w:hAnsiTheme="majorHAnsi"/>
                <w:szCs w:val="17"/>
                <w:lang w:val="en-GB"/>
              </w:rPr>
            </w:pPr>
            <w:r w:rsidRPr="003A47E9">
              <w:rPr>
                <w:rFonts w:asciiTheme="majorHAnsi" w:hAnsiTheme="majorHAnsi"/>
                <w:szCs w:val="17"/>
                <w:lang w:val="en-GB"/>
              </w:rPr>
              <w:lastRenderedPageBreak/>
              <w:t>Review of the Residential</w:t>
            </w:r>
          </w:p>
          <w:p w14:paraId="0BF3AA75" w14:textId="77777777" w:rsidR="00120DCB" w:rsidRPr="003A47E9" w:rsidRDefault="00120DCB" w:rsidP="00F0077F">
            <w:pPr>
              <w:pStyle w:val="TabletextLeft"/>
              <w:ind w:right="428"/>
              <w:rPr>
                <w:rFonts w:asciiTheme="majorHAnsi" w:hAnsiTheme="majorHAnsi"/>
                <w:szCs w:val="17"/>
                <w:lang w:val="en-GB"/>
              </w:rPr>
            </w:pPr>
            <w:r w:rsidRPr="003A47E9">
              <w:rPr>
                <w:rFonts w:asciiTheme="majorHAnsi" w:hAnsiTheme="majorHAnsi"/>
                <w:szCs w:val="17"/>
                <w:lang w:val="en-GB"/>
              </w:rPr>
              <w:t>Tenancies (Caravan Parks and Movable Dwellings</w:t>
            </w:r>
          </w:p>
          <w:p w14:paraId="7239D06B" w14:textId="77777777" w:rsidR="00120DCB" w:rsidRDefault="00120DCB" w:rsidP="00F0077F">
            <w:pPr>
              <w:pStyle w:val="TabletextLeft"/>
              <w:ind w:right="428"/>
              <w:rPr>
                <w:rFonts w:asciiTheme="majorHAnsi" w:hAnsiTheme="majorHAnsi"/>
                <w:szCs w:val="17"/>
                <w:lang w:val="en-GB"/>
              </w:rPr>
            </w:pPr>
            <w:r w:rsidRPr="003A47E9">
              <w:rPr>
                <w:rFonts w:asciiTheme="majorHAnsi" w:hAnsiTheme="majorHAnsi"/>
                <w:szCs w:val="17"/>
                <w:lang w:val="en-GB"/>
              </w:rPr>
              <w:t>Registration and Standards) Regulations 2020.</w:t>
            </w:r>
          </w:p>
          <w:p w14:paraId="5A62F2F7" w14:textId="77777777" w:rsidR="00120DCB" w:rsidRDefault="00120DCB" w:rsidP="006C2DC5">
            <w:pPr>
              <w:pStyle w:val="TabletextLeft"/>
              <w:spacing w:after="60"/>
              <w:ind w:right="428"/>
              <w:rPr>
                <w:rFonts w:asciiTheme="majorHAnsi" w:hAnsiTheme="majorHAnsi"/>
                <w:szCs w:val="17"/>
                <w:lang w:val="en-GB"/>
              </w:rPr>
            </w:pPr>
            <w:r w:rsidRPr="003A47E9">
              <w:rPr>
                <w:rFonts w:asciiTheme="majorHAnsi" w:hAnsiTheme="majorHAnsi"/>
                <w:szCs w:val="17"/>
                <w:lang w:val="en-GB"/>
              </w:rPr>
              <w:t>(DELWP)</w:t>
            </w:r>
          </w:p>
          <w:p w14:paraId="79646FCC" w14:textId="77777777" w:rsidR="00120DCB" w:rsidRDefault="00120DCB" w:rsidP="006C2DC5">
            <w:pPr>
              <w:pStyle w:val="TabletextLeft"/>
              <w:spacing w:after="60"/>
              <w:ind w:right="428"/>
              <w:rPr>
                <w:rFonts w:asciiTheme="majorHAnsi" w:hAnsiTheme="majorHAnsi"/>
                <w:szCs w:val="17"/>
                <w:lang w:val="en-GB"/>
              </w:rPr>
            </w:pPr>
          </w:p>
          <w:p w14:paraId="1D21DFB2" w14:textId="77777777" w:rsidR="00120DCB" w:rsidRPr="00853D6D" w:rsidRDefault="00120DCB" w:rsidP="0091440E">
            <w:pPr>
              <w:pStyle w:val="TabletextLeft"/>
              <w:ind w:right="428"/>
              <w:rPr>
                <w:rFonts w:asciiTheme="majorHAnsi" w:hAnsiTheme="majorHAnsi"/>
                <w:szCs w:val="17"/>
                <w:lang w:val="en-GB"/>
              </w:rPr>
            </w:pPr>
            <w:r w:rsidRPr="00853D6D">
              <w:rPr>
                <w:rFonts w:asciiTheme="majorHAnsi" w:hAnsiTheme="majorHAnsi"/>
                <w:szCs w:val="17"/>
                <w:lang w:val="en-GB"/>
              </w:rPr>
              <w:t>Timing of findings/</w:t>
            </w:r>
          </w:p>
          <w:p w14:paraId="1DDF1429" w14:textId="61EF218C" w:rsidR="00120DCB" w:rsidRPr="003A47E9" w:rsidRDefault="00120DCB" w:rsidP="0091440E">
            <w:pPr>
              <w:pStyle w:val="TabletextLeft"/>
              <w:ind w:right="428"/>
              <w:rPr>
                <w:rFonts w:asciiTheme="majorHAnsi" w:hAnsiTheme="majorHAnsi"/>
                <w:szCs w:val="17"/>
                <w:lang w:val="en-GB"/>
              </w:rPr>
            </w:pPr>
            <w:r w:rsidRPr="00853D6D">
              <w:rPr>
                <w:rFonts w:asciiTheme="majorHAnsi" w:hAnsiTheme="majorHAnsi"/>
                <w:szCs w:val="17"/>
                <w:lang w:val="en-GB"/>
              </w:rPr>
              <w:t xml:space="preserve">Recommendations: </w:t>
            </w:r>
            <w:r>
              <w:rPr>
                <w:rFonts w:asciiTheme="majorHAnsi" w:hAnsiTheme="majorHAnsi"/>
                <w:szCs w:val="17"/>
                <w:lang w:val="en-GB"/>
              </w:rPr>
              <w:t>2023</w:t>
            </w:r>
          </w:p>
        </w:tc>
        <w:tc>
          <w:tcPr>
            <w:tcW w:w="0" w:type="auto"/>
            <w:tcBorders>
              <w:top w:val="single" w:sz="4" w:space="0" w:color="000000" w:themeColor="text1"/>
              <w:left w:val="nil"/>
              <w:bottom w:val="single" w:sz="4" w:space="0" w:color="000000" w:themeColor="text1"/>
              <w:right w:val="nil"/>
            </w:tcBorders>
          </w:tcPr>
          <w:p w14:paraId="521BB595" w14:textId="78100D93" w:rsidR="00120DCB" w:rsidRPr="003A47E9" w:rsidRDefault="00120DCB" w:rsidP="00C45F0F">
            <w:pPr>
              <w:pStyle w:val="TabletextLeft"/>
              <w:spacing w:after="60"/>
              <w:ind w:right="186"/>
              <w:rPr>
                <w:rFonts w:asciiTheme="majorHAnsi" w:hAnsiTheme="majorHAnsi"/>
                <w:szCs w:val="17"/>
                <w:lang w:val="en-GB"/>
              </w:rPr>
            </w:pPr>
            <w:r w:rsidRPr="003A47E9">
              <w:rPr>
                <w:rFonts w:asciiTheme="majorHAnsi" w:hAnsiTheme="majorHAnsi"/>
                <w:szCs w:val="17"/>
                <w:lang w:val="en-GB"/>
              </w:rPr>
              <w:t>The review will help address issues relating to the safety and standard of living for residents and visitors of caravan parks and moveable dwellings, while keeping the regulatory burden on operators to the minimum level necessary to achieve this.</w:t>
            </w:r>
          </w:p>
          <w:p w14:paraId="0C120586" w14:textId="0967991E" w:rsidR="00120DCB" w:rsidRPr="003A47E9" w:rsidRDefault="00120DCB" w:rsidP="00C45F0F">
            <w:pPr>
              <w:pStyle w:val="TabletextLeft"/>
              <w:spacing w:after="60"/>
              <w:ind w:right="186"/>
              <w:rPr>
                <w:rFonts w:asciiTheme="majorHAnsi" w:hAnsiTheme="majorHAnsi"/>
                <w:szCs w:val="17"/>
                <w:lang w:val="en-GB"/>
              </w:rPr>
            </w:pPr>
            <w:r w:rsidRPr="003A47E9">
              <w:rPr>
                <w:rFonts w:asciiTheme="majorHAnsi" w:hAnsiTheme="majorHAnsi"/>
                <w:szCs w:val="17"/>
                <w:lang w:val="en-GB"/>
              </w:rPr>
              <w:t xml:space="preserve">Proposed changes that are not authorised by Part 14 of the RTA, or changes to the RTA or any other legislation, are outside the scope of this review. </w:t>
            </w:r>
          </w:p>
        </w:tc>
        <w:tc>
          <w:tcPr>
            <w:tcW w:w="0" w:type="auto"/>
            <w:tcBorders>
              <w:top w:val="single" w:sz="4" w:space="0" w:color="000000" w:themeColor="text1"/>
              <w:left w:val="nil"/>
              <w:bottom w:val="single" w:sz="4" w:space="0" w:color="000000" w:themeColor="text1"/>
              <w:right w:val="nil"/>
            </w:tcBorders>
            <w:hideMark/>
          </w:tcPr>
          <w:p w14:paraId="5928C6AE" w14:textId="35172B75" w:rsidR="00120DCB" w:rsidRPr="003A47E9" w:rsidRDefault="00120DCB" w:rsidP="006C2DC5">
            <w:pPr>
              <w:pStyle w:val="TabletextLeft"/>
              <w:spacing w:after="60"/>
              <w:rPr>
                <w:rFonts w:asciiTheme="majorHAnsi" w:hAnsiTheme="majorHAnsi"/>
                <w:szCs w:val="17"/>
                <w:lang w:val="en-GB"/>
              </w:rPr>
            </w:pPr>
            <w:r w:rsidRPr="003A47E9">
              <w:rPr>
                <w:rFonts w:asciiTheme="majorHAnsi" w:hAnsiTheme="majorHAnsi"/>
                <w:szCs w:val="17"/>
                <w:lang w:val="en-GB"/>
              </w:rPr>
              <w:t>DHHS considers it is appropriate to consider the recommendations and stakeholder feedback arising from the DELWP review in considering whether definitions of types of prescribed accommodation (e.g. holiday camps) are fit for purpose.</w:t>
            </w:r>
          </w:p>
        </w:tc>
      </w:tr>
    </w:tbl>
    <w:p w14:paraId="5B9CEB71" w14:textId="77777777" w:rsidR="00617E33" w:rsidRDefault="00617E33" w:rsidP="00CA6E3B">
      <w:pPr>
        <w:sectPr w:rsidR="00617E33" w:rsidSect="00594537">
          <w:headerReference w:type="even" r:id="rId26"/>
          <w:headerReference w:type="default" r:id="rId27"/>
          <w:footerReference w:type="default" r:id="rId28"/>
          <w:headerReference w:type="first" r:id="rId29"/>
          <w:pgSz w:w="11906" w:h="16838" w:code="9"/>
          <w:pgMar w:top="1440" w:right="1440" w:bottom="1440" w:left="1440" w:header="680" w:footer="425" w:gutter="0"/>
          <w:cols w:space="284"/>
          <w:docGrid w:linePitch="360"/>
        </w:sectPr>
      </w:pPr>
    </w:p>
    <w:p w14:paraId="1736AE59" w14:textId="6646F5CC" w:rsidR="009219AD" w:rsidRPr="00F0077F" w:rsidRDefault="009219AD" w:rsidP="00F0077F">
      <w:pPr>
        <w:pStyle w:val="Heading2"/>
      </w:pPr>
      <w:bookmarkStart w:id="133" w:name="_Toc49460284"/>
      <w:bookmarkStart w:id="134" w:name="_Toc48638262"/>
      <w:r w:rsidRPr="00F0077F">
        <w:lastRenderedPageBreak/>
        <w:t>COVID-19 health emergency</w:t>
      </w:r>
      <w:bookmarkEnd w:id="133"/>
    </w:p>
    <w:p w14:paraId="64AEF841" w14:textId="7FD65AFA" w:rsidR="009219AD" w:rsidRPr="00F0077F" w:rsidRDefault="009219AD" w:rsidP="00F0077F">
      <w:r w:rsidRPr="00F0077F">
        <w:t xml:space="preserve">Given the shared nature of many forms of prescribed accommodation, particularly the sharing of facilities such as kitchens, bathrooms and laundries in rooming houses and hostels, and the high occupancy rate of some forms of accommodation such as hotels and motels, there are increased public health risks for occupants. These include the spread of communicable disease, contraction of non-communicable disease such as respiratory illness and other bacterial infections resulting from environments with poor ventilation and excess moisture, and injury from environments not adequately maintained to address the impacts of occupancy turn over and the needs of occupants. </w:t>
      </w:r>
    </w:p>
    <w:p w14:paraId="6CF96DBA" w14:textId="1A53A0C9" w:rsidR="00A36B11" w:rsidRDefault="009219AD">
      <w:r w:rsidRPr="00F0077F">
        <w:t>The COVID-19 health emergency presents additional challenges to particular cohorts of people over and above the rest of the community. While everyone in the community may be at risk of contracting  </w:t>
      </w:r>
      <w:r w:rsidR="00A36B11" w:rsidRPr="00A36B11" w:rsidDel="00A36B11">
        <w:t xml:space="preserve"> </w:t>
      </w:r>
      <w:r w:rsidRPr="00F0077F">
        <w:t xml:space="preserve">COVID-19, certain groups of people are at greater risk of dying or becoming seriously ill </w:t>
      </w:r>
      <w:r w:rsidR="006B69E5">
        <w:t>including</w:t>
      </w:r>
      <w:r w:rsidRPr="00F0077F">
        <w:t xml:space="preserve"> the elderly, those who have pre-existing medical conditions, and those living in higher density accommodation. Given the shared nature of prescribed accommodation, and that more vulnerable groups may occupy that accommodation, including the elderly, and people who may otherwise find themselves homeless, the current health emergency presents opportunities and learnings for altered risk management</w:t>
      </w:r>
      <w:r>
        <w:t xml:space="preserve"> </w:t>
      </w:r>
      <w:r w:rsidRPr="00F0077F">
        <w:t xml:space="preserve">in shared accommodation sectors to respond to heath emergencies. </w:t>
      </w:r>
    </w:p>
    <w:p w14:paraId="5BDA49B7" w14:textId="5AADF14D" w:rsidR="009219AD" w:rsidRPr="009517CF" w:rsidRDefault="009219AD" w:rsidP="00F0077F">
      <w:r w:rsidRPr="00F0077F">
        <w:t xml:space="preserve">It is appropriate for DHHS to carefully consider the data and experiences of the current COVID-19 health emergency to identify ways to tailor regulatory approaches to respond to new and evolving health risks such as </w:t>
      </w:r>
      <w:r w:rsidR="009B1AF6">
        <w:t>coronavirus (</w:t>
      </w:r>
      <w:r w:rsidRPr="00F0077F">
        <w:t>COVID-19</w:t>
      </w:r>
      <w:r w:rsidR="009B1AF6">
        <w:t>)</w:t>
      </w:r>
      <w:r w:rsidRPr="00F0077F">
        <w:t xml:space="preserve">. This includes consulting with relevant sectors, including prescribed accommodation providers and occupants, to obtain their views on how their health needs can be better met in changed and challenging environments such as this. DHHS will consider this data and information and consult with stakeholders with a view to adapting regulatory requirements in the prescribed accommodation sectors as appropriate. This will be an ongoing exercise after the Regulations are remade and information, data and learnings are consolidated. </w:t>
      </w:r>
    </w:p>
    <w:p w14:paraId="2A922234" w14:textId="7DCEA42D" w:rsidR="00F76028" w:rsidRPr="00946F3A" w:rsidRDefault="00F76028" w:rsidP="0002529A">
      <w:pPr>
        <w:pStyle w:val="Heading2"/>
      </w:pPr>
      <w:bookmarkStart w:id="135" w:name="_Toc49460285"/>
      <w:r w:rsidRPr="00DC3399">
        <w:t>RIS process</w:t>
      </w:r>
      <w:bookmarkEnd w:id="131"/>
      <w:bookmarkEnd w:id="132"/>
      <w:bookmarkEnd w:id="134"/>
      <w:bookmarkEnd w:id="135"/>
    </w:p>
    <w:p w14:paraId="2A922235" w14:textId="47CA2795" w:rsidR="00F76028" w:rsidRPr="00C07963" w:rsidRDefault="00F76028" w:rsidP="00F76028">
      <w:r w:rsidRPr="00C07963">
        <w:t xml:space="preserve">Deloitte has prepared this RIS in accordance with the </w:t>
      </w:r>
      <w:r w:rsidRPr="00C07963">
        <w:rPr>
          <w:i/>
        </w:rPr>
        <w:t>Victorian Guide to Regulatio</w:t>
      </w:r>
      <w:r w:rsidR="00F355F0" w:rsidRPr="00C07963">
        <w:rPr>
          <w:i/>
        </w:rPr>
        <w:t>n</w:t>
      </w:r>
      <w:r w:rsidR="00D82E5D">
        <w:rPr>
          <w:i/>
        </w:rPr>
        <w:t>,</w:t>
      </w:r>
      <w:r w:rsidR="00F355F0" w:rsidRPr="00C07963">
        <w:rPr>
          <w:rStyle w:val="FootnoteReference"/>
          <w:i/>
        </w:rPr>
        <w:footnoteReference w:id="11"/>
      </w:r>
      <w:r w:rsidRPr="00C07963">
        <w:t xml:space="preserve"> which provides a best practice approach to analysing any proposed regulatory intervention. This RIS </w:t>
      </w:r>
      <w:r w:rsidR="00B7733D">
        <w:t>identifies</w:t>
      </w:r>
      <w:r w:rsidR="00B7733D" w:rsidRPr="00C07963">
        <w:t xml:space="preserve"> </w:t>
      </w:r>
      <w:r w:rsidRPr="00C07963">
        <w:t xml:space="preserve">the impact of the </w:t>
      </w:r>
      <w:r w:rsidR="002459D2">
        <w:t xml:space="preserve">proposed </w:t>
      </w:r>
      <w:r w:rsidRPr="00C07963">
        <w:t>Regulations</w:t>
      </w:r>
      <w:r w:rsidRPr="00C07963">
        <w:rPr>
          <w:i/>
        </w:rPr>
        <w:t xml:space="preserve"> </w:t>
      </w:r>
      <w:r w:rsidRPr="00C07963">
        <w:t>on Victorian businesses and</w:t>
      </w:r>
      <w:r w:rsidR="00F87CCD">
        <w:t xml:space="preserve"> the</w:t>
      </w:r>
      <w:r w:rsidRPr="00C07963">
        <w:t xml:space="preserve"> community. Key steps in the process are:</w:t>
      </w:r>
    </w:p>
    <w:p w14:paraId="2A922236" w14:textId="77777777" w:rsidR="00F76028" w:rsidRPr="00C07963" w:rsidRDefault="00F76028" w:rsidP="00DC3399">
      <w:pPr>
        <w:pStyle w:val="ListBullet"/>
      </w:pPr>
      <w:r w:rsidRPr="00C07963">
        <w:t>Preparation of the RIS (this document)</w:t>
      </w:r>
    </w:p>
    <w:p w14:paraId="2A922237" w14:textId="326F398F" w:rsidR="00F76028" w:rsidRPr="00C07963" w:rsidRDefault="00F76028" w:rsidP="00DC3399">
      <w:pPr>
        <w:pStyle w:val="ListBullet"/>
      </w:pPr>
      <w:r w:rsidRPr="00C07963">
        <w:t xml:space="preserve">Public comment on the </w:t>
      </w:r>
      <w:r w:rsidR="00856A32">
        <w:t xml:space="preserve">RIS and proposed </w:t>
      </w:r>
      <w:r w:rsidRPr="00C07963">
        <w:t>Regulations</w:t>
      </w:r>
    </w:p>
    <w:p w14:paraId="3BC7DF95" w14:textId="77777777" w:rsidR="00342336" w:rsidRDefault="00F76028" w:rsidP="00DC3399">
      <w:pPr>
        <w:pStyle w:val="ListBullet"/>
      </w:pPr>
      <w:r w:rsidRPr="00C07963">
        <w:t>Addressing public comment</w:t>
      </w:r>
      <w:r w:rsidR="00342336">
        <w:t>s</w:t>
      </w:r>
    </w:p>
    <w:p w14:paraId="2A922238" w14:textId="2431F121" w:rsidR="00F76028" w:rsidRPr="00C07963" w:rsidRDefault="00342336" w:rsidP="00DC3399">
      <w:pPr>
        <w:pStyle w:val="ListBullet"/>
      </w:pPr>
      <w:r>
        <w:t>Finalisation of the Regulations</w:t>
      </w:r>
      <w:r w:rsidR="00F76028" w:rsidRPr="00C07963">
        <w:t>.</w:t>
      </w:r>
    </w:p>
    <w:p w14:paraId="2A922239" w14:textId="77777777" w:rsidR="00F76028" w:rsidRPr="00C07963" w:rsidRDefault="00F76028" w:rsidP="00F76028">
      <w:r w:rsidRPr="00C07963">
        <w:t>These steps are discussed in more detail below.</w:t>
      </w:r>
    </w:p>
    <w:p w14:paraId="2A92223A" w14:textId="77777777" w:rsidR="00F76028" w:rsidRPr="00C07963" w:rsidRDefault="00F76028" w:rsidP="000A471E">
      <w:pPr>
        <w:pStyle w:val="Heading3"/>
      </w:pPr>
      <w:r w:rsidRPr="00C07963">
        <w:t>Preparation of the RIS</w:t>
      </w:r>
    </w:p>
    <w:p w14:paraId="2A92223B" w14:textId="4CCFA732" w:rsidR="00F76028" w:rsidRPr="00C07963" w:rsidRDefault="00F76028" w:rsidP="00F76028">
      <w:r w:rsidRPr="00C07963">
        <w:t xml:space="preserve">The key purpose of this RIS is to assess the impact of </w:t>
      </w:r>
      <w:r w:rsidR="00CD41BA">
        <w:t xml:space="preserve">different options for </w:t>
      </w:r>
      <w:r w:rsidRPr="00C07963">
        <w:t>replac</w:t>
      </w:r>
      <w:r w:rsidR="00CD41BA">
        <w:t>ing</w:t>
      </w:r>
      <w:r w:rsidRPr="00C07963">
        <w:t xml:space="preserve"> the sunsetting </w:t>
      </w:r>
      <w:r w:rsidR="006349EE">
        <w:t>R</w:t>
      </w:r>
      <w:r w:rsidR="006349EE" w:rsidRPr="00C07963">
        <w:t>egulations</w:t>
      </w:r>
      <w:r w:rsidRPr="00C07963">
        <w:t>. The general approach to the assessment is as follows:</w:t>
      </w:r>
    </w:p>
    <w:p w14:paraId="2A92223C" w14:textId="77777777" w:rsidR="00F76028" w:rsidRPr="00C07963" w:rsidRDefault="00F76028" w:rsidP="001244CF">
      <w:pPr>
        <w:pStyle w:val="ListParagraph"/>
        <w:numPr>
          <w:ilvl w:val="3"/>
          <w:numId w:val="15"/>
        </w:numPr>
        <w:spacing w:after="120"/>
        <w:ind w:left="360"/>
        <w:textboxTightWrap w:val="allLines"/>
      </w:pPr>
      <w:r w:rsidRPr="00C07963">
        <w:t xml:space="preserve">Identification of the problem </w:t>
      </w:r>
    </w:p>
    <w:p w14:paraId="2A92223D" w14:textId="435A086F" w:rsidR="00F76028" w:rsidRPr="00C07963" w:rsidRDefault="00F76028" w:rsidP="00F76028">
      <w:r w:rsidRPr="00C07963">
        <w:t xml:space="preserve">This involved consideration of the nature and extent of the problem that </w:t>
      </w:r>
      <w:r w:rsidR="00644CF5">
        <w:t xml:space="preserve">the </w:t>
      </w:r>
      <w:r w:rsidRPr="00C07963">
        <w:t xml:space="preserve">proposed Regulations aim to address, including the need for government intervention, the risks of non-intervention and the objectives of such intervention. </w:t>
      </w:r>
    </w:p>
    <w:p w14:paraId="2A92223E" w14:textId="77777777" w:rsidR="00F76028" w:rsidRPr="00C07963" w:rsidRDefault="00F76028" w:rsidP="001244CF">
      <w:pPr>
        <w:pStyle w:val="ListParagraph"/>
        <w:numPr>
          <w:ilvl w:val="3"/>
          <w:numId w:val="15"/>
        </w:numPr>
        <w:spacing w:after="120"/>
        <w:ind w:left="360"/>
        <w:textboxTightWrap w:val="allLines"/>
      </w:pPr>
      <w:r w:rsidRPr="00C07963">
        <w:t>Identification of the options to achieve the objectives of the proposed Regulations</w:t>
      </w:r>
    </w:p>
    <w:p w14:paraId="20E69067" w14:textId="56B5C76A" w:rsidR="00D32336" w:rsidRDefault="00BF15A4" w:rsidP="009F35AA">
      <w:pPr>
        <w:spacing w:after="0" w:line="240" w:lineRule="auto"/>
      </w:pPr>
      <w:r>
        <w:lastRenderedPageBreak/>
        <w:t>Options that could address the defined problems were identified, including both regulatory and non-regulatory options. Options which were deemed less feasible or less relevant were not pursued any further.</w:t>
      </w:r>
    </w:p>
    <w:p w14:paraId="2A922240" w14:textId="77777777" w:rsidR="00F76028" w:rsidRPr="00C07963" w:rsidRDefault="00F76028" w:rsidP="001244CF">
      <w:pPr>
        <w:pStyle w:val="ListParagraph"/>
        <w:numPr>
          <w:ilvl w:val="3"/>
          <w:numId w:val="15"/>
        </w:numPr>
        <w:spacing w:after="120"/>
        <w:ind w:left="360"/>
        <w:textboxTightWrap w:val="allLines"/>
      </w:pPr>
      <w:r w:rsidRPr="00C07963">
        <w:t>Stakeholder consultations</w:t>
      </w:r>
    </w:p>
    <w:p w14:paraId="2A922241" w14:textId="0AED08C5" w:rsidR="00F76028" w:rsidRPr="00A32CD0" w:rsidRDefault="00F76028" w:rsidP="00F76028">
      <w:r w:rsidRPr="00C07963">
        <w:t xml:space="preserve">Stakeholder </w:t>
      </w:r>
      <w:r w:rsidRPr="00A32CD0">
        <w:t xml:space="preserve">consultation was undertaken to gather relevant information on the impact of the proposed Regulations and possible alternatives </w:t>
      </w:r>
      <w:r w:rsidR="004F7A67" w:rsidRPr="00A32CD0">
        <w:t xml:space="preserve">for </w:t>
      </w:r>
      <w:r w:rsidRPr="00A32CD0">
        <w:t>different groups. The consultation process included:</w:t>
      </w:r>
    </w:p>
    <w:p w14:paraId="35E43CB0" w14:textId="58FC9C41" w:rsidR="00A32CD0" w:rsidRPr="00A32CD0" w:rsidRDefault="00A32CD0" w:rsidP="00A32CD0">
      <w:pPr>
        <w:pStyle w:val="ListBullet"/>
      </w:pPr>
      <w:r w:rsidRPr="00A32CD0">
        <w:t xml:space="preserve">Consideration of a range of stakeholder input to the department over the last three years, including surveys of environmental health officers at municipal councils, in their administration of the prescribed accommodation scheme, written submissions from stakeholders such as the Registered Accommodation Association of Victoria, departmental meetings with stakeholders, participation in working groups such as a group led by the Commissioner of Residential Tenancies regarding rooming house accommodation, and an intergovernmental working group considering the sunset review of the Regulations, and round table discussions with Victorian Government and local government representatives in the </w:t>
      </w:r>
      <w:r w:rsidR="008041FF" w:rsidRPr="00A32CD0">
        <w:t>portfolio</w:t>
      </w:r>
      <w:r w:rsidR="008041FF">
        <w:t xml:space="preserve"> areas</w:t>
      </w:r>
      <w:r w:rsidR="008041FF" w:rsidRPr="00A32CD0">
        <w:t xml:space="preserve"> </w:t>
      </w:r>
      <w:r w:rsidRPr="00A32CD0">
        <w:t xml:space="preserve">interfacing with prescribed accommodation. </w:t>
      </w:r>
    </w:p>
    <w:p w14:paraId="0FF8EF14" w14:textId="5308524D" w:rsidR="00A32CD0" w:rsidRPr="00A32CD0" w:rsidRDefault="00082194" w:rsidP="00A32CD0">
      <w:pPr>
        <w:pStyle w:val="ListBullet"/>
      </w:pPr>
      <w:r>
        <w:t>An invitation</w:t>
      </w:r>
      <w:r w:rsidRPr="00A32CD0">
        <w:t xml:space="preserve"> </w:t>
      </w:r>
      <w:r w:rsidR="00A32CD0" w:rsidRPr="00A32CD0">
        <w:t xml:space="preserve">in writing from DHHS, seeking input from stakeholders representing views across the broad spectrum of prescribed accommodation, namely industry, peak bodies, occupiers, and relevant statutory entities. This included providers of accommodation in the large and small tourism sectors, providers of rooming houses, providers of student accommodation, students, the Municipal Association of Victoria representing municipal councils which administer the prescribed accommodation scheme under the PHWA, </w:t>
      </w:r>
      <w:r w:rsidR="00276EBC">
        <w:t>a metropolitan council</w:t>
      </w:r>
      <w:r w:rsidR="00A32CD0" w:rsidRPr="00A32CD0">
        <w:t xml:space="preserve">, and </w:t>
      </w:r>
      <w:r w:rsidR="0097731E">
        <w:t>government stakeholders</w:t>
      </w:r>
      <w:r w:rsidR="00A32CD0" w:rsidRPr="00A32CD0">
        <w:t xml:space="preserve">. </w:t>
      </w:r>
    </w:p>
    <w:p w14:paraId="64C292DD" w14:textId="3AC59419" w:rsidR="002458A0" w:rsidRPr="0032758E" w:rsidRDefault="009E3D14" w:rsidP="00CA6E3B">
      <w:pPr>
        <w:rPr>
          <w:rFonts w:asciiTheme="majorHAnsi" w:hAnsiTheme="majorHAnsi"/>
          <w:highlight w:val="yellow"/>
        </w:rPr>
      </w:pPr>
      <w:r w:rsidRPr="00DB23F4">
        <w:t xml:space="preserve">Appendix B outlines views received in </w:t>
      </w:r>
      <w:r w:rsidR="00FE7CB1" w:rsidRPr="00DB23F4">
        <w:t>written correspondence undertaken with stakeholders during this RIS</w:t>
      </w:r>
      <w:r w:rsidR="00FE7CB1" w:rsidRPr="00282B57">
        <w:rPr>
          <w:rFonts w:asciiTheme="majorHAnsi" w:hAnsiTheme="majorHAnsi"/>
        </w:rPr>
        <w:t xml:space="preserve"> process.</w:t>
      </w:r>
    </w:p>
    <w:p w14:paraId="2A922246" w14:textId="25149071" w:rsidR="00F76028" w:rsidRPr="00C07963" w:rsidRDefault="0089511D" w:rsidP="00282B57">
      <w:r>
        <w:t xml:space="preserve">(4) </w:t>
      </w:r>
      <w:r w:rsidR="00F76028" w:rsidRPr="00C07963">
        <w:t>Assessment of the costs and benefits</w:t>
      </w:r>
    </w:p>
    <w:p w14:paraId="2A922247" w14:textId="0644084F" w:rsidR="00F76028" w:rsidRPr="00C07963" w:rsidRDefault="00F76028" w:rsidP="00F76028">
      <w:r w:rsidRPr="00C07963">
        <w:t xml:space="preserve">Assessment of the costs and benefits under all options, relative to a Base Case of </w:t>
      </w:r>
      <w:r w:rsidR="00F651F1">
        <w:t>no</w:t>
      </w:r>
      <w:r w:rsidR="00F651F1" w:rsidRPr="00C07963">
        <w:t xml:space="preserve"> </w:t>
      </w:r>
      <w:r w:rsidRPr="00C07963">
        <w:t xml:space="preserve">regulations, was undertaken consistent with the requirements of the </w:t>
      </w:r>
      <w:r w:rsidRPr="00C07963">
        <w:rPr>
          <w:i/>
        </w:rPr>
        <w:t>Victorian Guide to Regulation</w:t>
      </w:r>
      <w:r w:rsidRPr="00C07963">
        <w:t>. The analysis reflect</w:t>
      </w:r>
      <w:r w:rsidR="008F693F">
        <w:t>s</w:t>
      </w:r>
      <w:r w:rsidRPr="00C07963">
        <w:t xml:space="preserve"> data held by </w:t>
      </w:r>
      <w:r w:rsidR="00232418">
        <w:t>DHHS</w:t>
      </w:r>
      <w:r w:rsidRPr="00C07963">
        <w:t xml:space="preserve">, data gathered through independent research and information provided by stakeholders. </w:t>
      </w:r>
    </w:p>
    <w:p w14:paraId="2A922248" w14:textId="020A12D4" w:rsidR="00F76028" w:rsidRPr="00C07963" w:rsidRDefault="0089511D" w:rsidP="00282B57">
      <w:r>
        <w:t xml:space="preserve">(5) </w:t>
      </w:r>
      <w:r w:rsidR="00F76028" w:rsidRPr="00C07963">
        <w:t>Assessment of the other impacts</w:t>
      </w:r>
    </w:p>
    <w:p w14:paraId="2A922249" w14:textId="669476CB" w:rsidR="00F76028" w:rsidRPr="00C07963" w:rsidRDefault="00445EC4" w:rsidP="00F76028">
      <w:r>
        <w:t>We have considered</w:t>
      </w:r>
      <w:r w:rsidR="00F76028" w:rsidRPr="00C07963">
        <w:t xml:space="preserve"> the likely impacts of the preferred option on small business</w:t>
      </w:r>
      <w:r w:rsidR="004F7A67">
        <w:t>es</w:t>
      </w:r>
      <w:r w:rsidR="00F76028" w:rsidRPr="00C07963">
        <w:t xml:space="preserve"> and general competition amongst fir</w:t>
      </w:r>
      <w:r w:rsidR="00232418">
        <w:t xml:space="preserve">ms. </w:t>
      </w:r>
    </w:p>
    <w:p w14:paraId="2A92224A" w14:textId="2D8A5FA9" w:rsidR="00F76028" w:rsidRPr="00C07963" w:rsidRDefault="0089511D" w:rsidP="00282B57">
      <w:pPr>
        <w:spacing w:after="120"/>
        <w:textboxTightWrap w:val="allLines"/>
      </w:pPr>
      <w:r>
        <w:t xml:space="preserve">(6) </w:t>
      </w:r>
      <w:r w:rsidR="00F76028" w:rsidRPr="00C07963">
        <w:t>Implementation, enforcement and evaluation</w:t>
      </w:r>
    </w:p>
    <w:p w14:paraId="2A92224B" w14:textId="19E28493" w:rsidR="00F76028" w:rsidRPr="00C07963" w:rsidRDefault="00445EC4" w:rsidP="00F76028">
      <w:r>
        <w:t>These sections describe</w:t>
      </w:r>
      <w:r w:rsidR="00F76028" w:rsidRPr="00C07963">
        <w:t xml:space="preserve"> the arrangements for implementation, enforcement and evaluation of the preferred option. </w:t>
      </w:r>
    </w:p>
    <w:p w14:paraId="2A92224C" w14:textId="77777777" w:rsidR="00F76028" w:rsidRPr="00C07963" w:rsidRDefault="00F76028" w:rsidP="000A471E">
      <w:pPr>
        <w:pStyle w:val="Heading3"/>
      </w:pPr>
      <w:r w:rsidRPr="00C07963">
        <w:t xml:space="preserve">Public comment </w:t>
      </w:r>
    </w:p>
    <w:p w14:paraId="3AD16BDD" w14:textId="71A3F9A4" w:rsidR="00BB054D" w:rsidRDefault="00F76028" w:rsidP="00BB054D">
      <w:r w:rsidRPr="000927D1">
        <w:t xml:space="preserve">The proposed Regulations and this RIS will be released for a </w:t>
      </w:r>
      <w:r w:rsidR="00F63EED">
        <w:t xml:space="preserve">minimum of </w:t>
      </w:r>
      <w:r w:rsidR="008041FF">
        <w:t xml:space="preserve">28 </w:t>
      </w:r>
      <w:r w:rsidR="00F63EED">
        <w:t>days</w:t>
      </w:r>
      <w:r w:rsidR="00997CE2" w:rsidRPr="00997CE2">
        <w:t xml:space="preserve"> </w:t>
      </w:r>
      <w:r w:rsidRPr="000927D1">
        <w:t>to provide businesses, members of the public and other interested parties the opportunity to</w:t>
      </w:r>
      <w:r w:rsidRPr="00C07963">
        <w:t xml:space="preserve"> provide feedback on these items. </w:t>
      </w:r>
    </w:p>
    <w:p w14:paraId="6D99AE67" w14:textId="41E05281" w:rsidR="00C85897" w:rsidRPr="00BB054D" w:rsidRDefault="00C85897" w:rsidP="00C85897">
      <w:r w:rsidRPr="00BB054D">
        <w:t xml:space="preserve">The process for public commentary is outlined in the Foreword to this report. The proposed Regulations and RIS </w:t>
      </w:r>
      <w:r>
        <w:t>are</w:t>
      </w:r>
      <w:r w:rsidRPr="00BB054D">
        <w:t xml:space="preserve"> available on the </w:t>
      </w:r>
      <w:r>
        <w:t xml:space="preserve">DHHS </w:t>
      </w:r>
      <w:r w:rsidRPr="00BB054D">
        <w:t>website</w:t>
      </w:r>
      <w:r w:rsidR="00795C86">
        <w:t xml:space="preserve"> at </w:t>
      </w:r>
      <w:r w:rsidR="00795C86" w:rsidRPr="0033550C">
        <w:t>www2.health.vic.gov.au/public-health/infectious-diseases/public-health-wellbeing-act-regulations/proposed-public-health-and-wellbeing-prescribed-accommodation-regulations-2020</w:t>
      </w:r>
      <w:r>
        <w:t xml:space="preserve">. </w:t>
      </w:r>
    </w:p>
    <w:p w14:paraId="2A92224F" w14:textId="29C4F2D5" w:rsidR="00F76028" w:rsidRPr="00C07963" w:rsidRDefault="00F76028" w:rsidP="000A471E">
      <w:pPr>
        <w:pStyle w:val="Heading3"/>
      </w:pPr>
      <w:r w:rsidRPr="00C07963">
        <w:t>Addressing public comment</w:t>
      </w:r>
    </w:p>
    <w:p w14:paraId="2A922250" w14:textId="2FD8E301" w:rsidR="00A62517" w:rsidRDefault="00232418" w:rsidP="00F76028">
      <w:r>
        <w:t>DHHS</w:t>
      </w:r>
      <w:r w:rsidR="00F76028" w:rsidRPr="00C07963">
        <w:t xml:space="preserve"> will consider all submissions received during the period of public review. </w:t>
      </w:r>
      <w:r>
        <w:t xml:space="preserve">DHHS </w:t>
      </w:r>
      <w:r w:rsidR="00F76028" w:rsidRPr="00C07963">
        <w:t xml:space="preserve">will prepare a formal Response to Public Comment summarising the submissions received and </w:t>
      </w:r>
      <w:r>
        <w:t xml:space="preserve">its </w:t>
      </w:r>
      <w:r w:rsidR="00F76028" w:rsidRPr="00C07963">
        <w:t xml:space="preserve">response. </w:t>
      </w:r>
      <w:r w:rsidR="003043A0">
        <w:t xml:space="preserve">Submissions to the review, and the </w:t>
      </w:r>
      <w:r w:rsidR="00F76028" w:rsidRPr="00C07963">
        <w:t>formal Response to Public Comment document</w:t>
      </w:r>
      <w:r w:rsidR="003043A0">
        <w:t>,</w:t>
      </w:r>
      <w:r w:rsidR="00F76028" w:rsidRPr="00C07963">
        <w:t xml:space="preserve"> will also be made available on</w:t>
      </w:r>
      <w:r w:rsidR="00A461B7">
        <w:t xml:space="preserve"> </w:t>
      </w:r>
      <w:r w:rsidR="00112715">
        <w:t>the</w:t>
      </w:r>
      <w:r w:rsidR="00F76028" w:rsidRPr="00C07963">
        <w:t xml:space="preserve"> </w:t>
      </w:r>
      <w:r w:rsidR="00112715">
        <w:t>DHHS</w:t>
      </w:r>
      <w:r w:rsidR="00112715" w:rsidRPr="00C07963">
        <w:t xml:space="preserve"> </w:t>
      </w:r>
      <w:r w:rsidR="00F76028" w:rsidRPr="00C07963">
        <w:t>website</w:t>
      </w:r>
      <w:r w:rsidR="00795C86">
        <w:t xml:space="preserve"> referred to above</w:t>
      </w:r>
      <w:r w:rsidR="00E40987">
        <w:t>.</w:t>
      </w:r>
    </w:p>
    <w:p w14:paraId="2A922258" w14:textId="2A45EC0F" w:rsidR="0078520B" w:rsidRDefault="00FD766A" w:rsidP="00980420">
      <w:pPr>
        <w:pStyle w:val="Heading1"/>
        <w:ind w:left="567" w:hanging="567"/>
      </w:pPr>
      <w:bookmarkStart w:id="136" w:name="_Toc9366985"/>
      <w:bookmarkStart w:id="137" w:name="_Toc10111303"/>
      <w:bookmarkStart w:id="138" w:name="_Toc17892128"/>
      <w:bookmarkStart w:id="139" w:name="_Toc49460287"/>
      <w:r>
        <w:lastRenderedPageBreak/>
        <w:t>Problem analysis</w:t>
      </w:r>
      <w:bookmarkEnd w:id="136"/>
      <w:bookmarkEnd w:id="137"/>
      <w:bookmarkEnd w:id="138"/>
      <w:bookmarkEnd w:id="139"/>
    </w:p>
    <w:p w14:paraId="2A922259" w14:textId="7468D4D0" w:rsidR="00284758" w:rsidRDefault="0063508B" w:rsidP="00C07963">
      <w:pPr>
        <w:pStyle w:val="Sectionintro"/>
      </w:pPr>
      <w:r>
        <w:t xml:space="preserve">This chapter outlines the nature </w:t>
      </w:r>
      <w:r w:rsidR="00CF7F4E">
        <w:t xml:space="preserve">and </w:t>
      </w:r>
      <w:r>
        <w:t xml:space="preserve">the extent of the problem, which provides the case for </w:t>
      </w:r>
      <w:r w:rsidR="00FC0B0E">
        <w:t xml:space="preserve">the </w:t>
      </w:r>
      <w:r>
        <w:t>regulation</w:t>
      </w:r>
      <w:r w:rsidR="00FC0B0E">
        <w:t xml:space="preserve"> of prescribed accommodation</w:t>
      </w:r>
      <w:r w:rsidR="006248EA">
        <w:t>.</w:t>
      </w:r>
    </w:p>
    <w:p w14:paraId="6CCD58C8" w14:textId="48F03717" w:rsidR="005460EA" w:rsidRPr="00CE2508" w:rsidRDefault="00543C11" w:rsidP="00911F07">
      <w:pPr>
        <w:pStyle w:val="Heading2"/>
      </w:pPr>
      <w:bookmarkStart w:id="140" w:name="_Toc48638265"/>
      <w:bookmarkStart w:id="141" w:name="_Toc49460288"/>
      <w:r w:rsidRPr="00D2202D">
        <w:t>Coverage</w:t>
      </w:r>
      <w:r w:rsidR="00111F58" w:rsidRPr="005A3D16">
        <w:t xml:space="preserve"> of the </w:t>
      </w:r>
      <w:r w:rsidR="004644C2" w:rsidRPr="00CE2508">
        <w:t>prescribed</w:t>
      </w:r>
      <w:r w:rsidR="00111F58" w:rsidRPr="00CE2508">
        <w:t xml:space="preserve"> accommodation sector</w:t>
      </w:r>
      <w:bookmarkEnd w:id="140"/>
      <w:bookmarkEnd w:id="141"/>
    </w:p>
    <w:p w14:paraId="0FEACFDC" w14:textId="7B3E4B48" w:rsidR="004A1635" w:rsidRDefault="0002156C" w:rsidP="0002156C">
      <w:r>
        <w:t>The prescribed accommodation sector consists of residential accommodation, hotels and motels, hostels, student dormitories, holiday camps and rooming houses.</w:t>
      </w:r>
      <w:r>
        <w:rPr>
          <w:rStyle w:val="FootnoteReference"/>
          <w:rFonts w:asciiTheme="minorHAnsi" w:hAnsiTheme="minorHAnsi"/>
        </w:rPr>
        <w:footnoteReference w:id="12"/>
      </w:r>
      <w:r>
        <w:t xml:space="preserve"> </w:t>
      </w:r>
      <w:r w:rsidR="006F03B6">
        <w:t>R</w:t>
      </w:r>
      <w:r>
        <w:t xml:space="preserve">esidential accommodation </w:t>
      </w:r>
      <w:r w:rsidR="006F03B6">
        <w:t xml:space="preserve">may include for example, </w:t>
      </w:r>
      <w:r w:rsidR="001C0794">
        <w:t xml:space="preserve">certain </w:t>
      </w:r>
      <w:r>
        <w:t xml:space="preserve">bed and breakfasts, guesthouses, lodges, cottages and cabins </w:t>
      </w:r>
      <w:r w:rsidRPr="0002156C">
        <w:t>where they accommodate more than five occupants. Houses</w:t>
      </w:r>
      <w:r w:rsidR="004D289D">
        <w:t>,</w:t>
      </w:r>
      <w:r w:rsidRPr="0002156C">
        <w:t xml:space="preserve"> self-contained flats and private holiday homes </w:t>
      </w:r>
      <w:r w:rsidR="00112715" w:rsidRPr="00112715">
        <w:t xml:space="preserve">under the exclusive occupation of the occupier, </w:t>
      </w:r>
      <w:r w:rsidRPr="0002156C">
        <w:t xml:space="preserve">are not prescribed accommodation. </w:t>
      </w:r>
      <w:r w:rsidR="005E5400">
        <w:t>There are however, different views in the sector as to what constitutes ‘exclusive occupation’</w:t>
      </w:r>
      <w:r w:rsidR="00582EB3">
        <w:t>.</w:t>
      </w:r>
      <w:r w:rsidR="00B62710">
        <w:rPr>
          <w:rStyle w:val="FootnoteReference"/>
        </w:rPr>
        <w:footnoteReference w:id="13"/>
      </w:r>
      <w:r w:rsidR="00582EB3">
        <w:t xml:space="preserve"> </w:t>
      </w:r>
    </w:p>
    <w:p w14:paraId="0EDEEB2C" w14:textId="32619064" w:rsidR="0002156C" w:rsidRDefault="0078420B" w:rsidP="0002156C">
      <w:r>
        <w:t>Premises</w:t>
      </w:r>
      <w:r w:rsidR="0002156C" w:rsidRPr="0002156C">
        <w:t xml:space="preserve"> that meet the definition of prescribed accommodation but accommodate </w:t>
      </w:r>
      <w:r w:rsidR="00473E0A">
        <w:t>five occupant</w:t>
      </w:r>
      <w:r w:rsidR="00832D5C">
        <w:t>s</w:t>
      </w:r>
      <w:r w:rsidR="00473E0A">
        <w:t xml:space="preserve"> or less </w:t>
      </w:r>
      <w:r w:rsidR="0002156C" w:rsidRPr="0002156C">
        <w:t>(other than the proprietor’s family) are exempt from the Regulations</w:t>
      </w:r>
      <w:r w:rsidR="00832D5C">
        <w:t>, apart from rooming houses</w:t>
      </w:r>
      <w:r w:rsidR="0002156C" w:rsidRPr="0002156C">
        <w:t>.</w:t>
      </w:r>
      <w:r w:rsidR="004A1635">
        <w:t xml:space="preserve"> </w:t>
      </w:r>
      <w:r w:rsidR="004A1635" w:rsidRPr="0002156C">
        <w:t xml:space="preserve">Aged care facilities are not prescribed accommodation and are separately regulated in the </w:t>
      </w:r>
      <w:r w:rsidR="004A1635" w:rsidRPr="00582EB3">
        <w:rPr>
          <w:i/>
          <w:iCs/>
        </w:rPr>
        <w:t>Commonwealth Aged Care Act 1997</w:t>
      </w:r>
      <w:r w:rsidR="004A1635" w:rsidRPr="0002156C">
        <w:t xml:space="preserve"> and other legislation and regulations.</w:t>
      </w:r>
    </w:p>
    <w:p w14:paraId="780358B1" w14:textId="7EEEA85E" w:rsidR="00586B9F" w:rsidRPr="00CE2508" w:rsidRDefault="002031D5" w:rsidP="000A471E">
      <w:pPr>
        <w:pStyle w:val="Heading3"/>
      </w:pPr>
      <w:r w:rsidRPr="00CE2508">
        <w:t>Residential accommodation</w:t>
      </w:r>
    </w:p>
    <w:p w14:paraId="7E1B5382" w14:textId="63ED28A3" w:rsidR="0002156C" w:rsidRDefault="0002156C" w:rsidP="0002156C">
      <w:r>
        <w:t>The Regulations define residential accommodation as any house, building, or other structure used as a place of abode where a person or persons can live on payment of consideration to the proprietor</w:t>
      </w:r>
      <w:r w:rsidR="00302C9C">
        <w:t xml:space="preserve"> apart from certain other forms of prescribed accommodation</w:t>
      </w:r>
      <w:r>
        <w:t>.</w:t>
      </w:r>
      <w:r>
        <w:rPr>
          <w:rStyle w:val="FootnoteReference"/>
          <w:rFonts w:asciiTheme="minorHAnsi" w:hAnsiTheme="minorHAnsi"/>
        </w:rPr>
        <w:footnoteReference w:id="14"/>
      </w:r>
      <w:r>
        <w:t xml:space="preserve"> The risk profile for the transmission of infectious disease in residential accommodation is considered relatively low. This is because </w:t>
      </w:r>
      <w:r w:rsidR="00952E27">
        <w:t xml:space="preserve">the accommodation has </w:t>
      </w:r>
      <w:r>
        <w:t xml:space="preserve">limited shared facilities and ratings and market forces provide a strong incentive </w:t>
      </w:r>
      <w:r w:rsidR="00952E27">
        <w:t xml:space="preserve">to </w:t>
      </w:r>
      <w:r>
        <w:t>maintain health, hygiene and sanitation standards.</w:t>
      </w:r>
    </w:p>
    <w:p w14:paraId="795F8E92" w14:textId="3E1976DE" w:rsidR="0002156C" w:rsidRDefault="0002156C" w:rsidP="0002156C">
      <w:r>
        <w:t xml:space="preserve">There are exemptions to the </w:t>
      </w:r>
      <w:r w:rsidR="00FB5550">
        <w:t>R</w:t>
      </w:r>
      <w:r>
        <w:t>egulations for houses</w:t>
      </w:r>
      <w:r w:rsidR="008E1614">
        <w:t xml:space="preserve"> </w:t>
      </w:r>
      <w:r w:rsidR="008E1614" w:rsidRPr="008E1614">
        <w:t>(this would include holiday homes)</w:t>
      </w:r>
      <w:r w:rsidR="008E1614">
        <w:t xml:space="preserve"> and </w:t>
      </w:r>
      <w:r>
        <w:t>self-contained flats under exclusive occupation by the occupier</w:t>
      </w:r>
      <w:r w:rsidR="00952E27">
        <w:t>.</w:t>
      </w:r>
      <w:r>
        <w:t xml:space="preserve"> </w:t>
      </w:r>
      <w:r w:rsidR="00952E27">
        <w:t>P</w:t>
      </w:r>
      <w:r>
        <w:t>remise</w:t>
      </w:r>
      <w:r w:rsidR="004D289D">
        <w:t>s</w:t>
      </w:r>
      <w:r w:rsidR="00F42150">
        <w:t xml:space="preserve"> not under the exclusive occupation of the occupier, may be exempt</w:t>
      </w:r>
      <w:r w:rsidDel="00F42150">
        <w:t xml:space="preserve"> </w:t>
      </w:r>
      <w:r>
        <w:t>where the number of persons accommodated (other than the family</w:t>
      </w:r>
      <w:r w:rsidR="00F42150">
        <w:t xml:space="preserve"> of the proprietor</w:t>
      </w:r>
      <w:r>
        <w:t xml:space="preserve">) is not more than five persons. </w:t>
      </w:r>
      <w:r w:rsidR="00894E89">
        <w:t xml:space="preserve">As noted above, there are differing views in the sector as to what constitutes ‘exclusive occupation’. </w:t>
      </w:r>
      <w:r>
        <w:t>These accommodation types are not considered to raise public health issues</w:t>
      </w:r>
      <w:r w:rsidR="008E1614">
        <w:t>,</w:t>
      </w:r>
      <w:r>
        <w:t xml:space="preserve"> for example </w:t>
      </w:r>
      <w:r w:rsidR="00FB5550">
        <w:t>as a result of</w:t>
      </w:r>
      <w:r>
        <w:t xml:space="preserve"> shared facilities or vulnerable cohorts.</w:t>
      </w:r>
    </w:p>
    <w:p w14:paraId="61ED6A0D" w14:textId="0F0FA0A8" w:rsidR="0002156C" w:rsidRDefault="0002156C" w:rsidP="0002156C">
      <w:r>
        <w:t xml:space="preserve">The exemptions mean that short stay accommodation provided in houses, apartments, </w:t>
      </w:r>
      <w:r w:rsidR="007F5490">
        <w:t>and</w:t>
      </w:r>
      <w:r>
        <w:t xml:space="preserve"> holiday houses, which is often advertised on online platforms </w:t>
      </w:r>
      <w:r w:rsidR="00623B04">
        <w:t xml:space="preserve">such </w:t>
      </w:r>
      <w:r>
        <w:t xml:space="preserve">as Airbnb and Stayz, </w:t>
      </w:r>
      <w:r w:rsidR="00F42150">
        <w:t xml:space="preserve">may </w:t>
      </w:r>
      <w:r>
        <w:t xml:space="preserve">not </w:t>
      </w:r>
      <w:r w:rsidR="00F42150">
        <w:t xml:space="preserve">be </w:t>
      </w:r>
      <w:r>
        <w:t xml:space="preserve">covered by the Regulations. There has been concern </w:t>
      </w:r>
      <w:r w:rsidR="007F5490">
        <w:t xml:space="preserve">expressed by some stakeholders </w:t>
      </w:r>
      <w:r>
        <w:t xml:space="preserve">about </w:t>
      </w:r>
      <w:r w:rsidR="007F5490">
        <w:t xml:space="preserve">the </w:t>
      </w:r>
      <w:r w:rsidR="00E87B0A">
        <w:t xml:space="preserve">potential </w:t>
      </w:r>
      <w:r w:rsidR="00E87B0A" w:rsidRPr="00AB05B8">
        <w:t>regulatory imbalance between</w:t>
      </w:r>
      <w:r w:rsidRPr="00AB05B8">
        <w:t xml:space="preserve"> these types of accommodation </w:t>
      </w:r>
      <w:r w:rsidR="00E87B0A" w:rsidRPr="00AB05B8">
        <w:t>and more traditional forms of shared accommodation</w:t>
      </w:r>
      <w:r w:rsidRPr="00AB05B8">
        <w:t xml:space="preserve"> (see section 2.1.7).</w:t>
      </w:r>
    </w:p>
    <w:p w14:paraId="5796533A" w14:textId="59D24C68" w:rsidR="00850C15" w:rsidRPr="00CE2508" w:rsidRDefault="00850C15" w:rsidP="000A471E">
      <w:pPr>
        <w:pStyle w:val="Heading3"/>
      </w:pPr>
      <w:r w:rsidRPr="00CE2508">
        <w:lastRenderedPageBreak/>
        <w:t>Hotels and motels</w:t>
      </w:r>
    </w:p>
    <w:p w14:paraId="4F487BFB" w14:textId="77777777" w:rsidR="0002156C" w:rsidRDefault="0002156C" w:rsidP="0002156C">
      <w:r>
        <w:t xml:space="preserve">The Regulations define a hotel as a residential hotel and any residential premises in respect of which a general licence or on-premises licence is granted under the </w:t>
      </w:r>
      <w:r w:rsidRPr="002A126A">
        <w:rPr>
          <w:i/>
        </w:rPr>
        <w:t>Liquor Control Reform Act 1998</w:t>
      </w:r>
      <w:r>
        <w:t>.</w:t>
      </w:r>
      <w:r>
        <w:rPr>
          <w:rStyle w:val="FootnoteReference"/>
          <w:rFonts w:asciiTheme="minorHAnsi" w:hAnsiTheme="minorHAnsi"/>
        </w:rPr>
        <w:footnoteReference w:id="15"/>
      </w:r>
      <w:r>
        <w:t xml:space="preserve"> It is generally accepted this definition covers accommodation resorts if a general or on-premises licence has been granted. A ‘motel’ is not defined in the Regulations. </w:t>
      </w:r>
    </w:p>
    <w:p w14:paraId="2AC929FF" w14:textId="77777777" w:rsidR="0002156C" w:rsidRDefault="0002156C" w:rsidP="0002156C">
      <w:pPr>
        <w:pStyle w:val="DHHStabletext"/>
        <w:rPr>
          <w:rFonts w:asciiTheme="minorHAnsi" w:hAnsiTheme="minorHAnsi"/>
          <w:sz w:val="18"/>
          <w:szCs w:val="18"/>
        </w:rPr>
      </w:pPr>
      <w:r>
        <w:rPr>
          <w:rFonts w:asciiTheme="minorHAnsi" w:hAnsiTheme="minorHAnsi"/>
          <w:sz w:val="18"/>
          <w:szCs w:val="18"/>
        </w:rPr>
        <w:t>Hotels and motels include a wide range of accommodation standards ranging from one to five star hotels. Four-and-five-star hotels have a very low risk of health concerns because ratings and market forces provide a strong incentive to maintain health and hygiene standards. Lower standard hotels and motels are more likely to have hygiene, cleanliness and maintenance issues.</w:t>
      </w:r>
    </w:p>
    <w:p w14:paraId="025CDF00" w14:textId="61EBA059" w:rsidR="0002156C" w:rsidRDefault="00617773" w:rsidP="005B7148">
      <w:r>
        <w:rPr>
          <w:rFonts w:asciiTheme="minorHAnsi" w:hAnsiTheme="minorHAnsi"/>
        </w:rPr>
        <w:t>Despite competing against each other, hotels and motels are regulated while some commercial residential accommodation properties (such as some of those advertised on online platforms)</w:t>
      </w:r>
      <w:r w:rsidDel="00A36155">
        <w:rPr>
          <w:rFonts w:asciiTheme="minorHAnsi" w:hAnsiTheme="minorHAnsi"/>
        </w:rPr>
        <w:t xml:space="preserve"> </w:t>
      </w:r>
      <w:r>
        <w:rPr>
          <w:rFonts w:asciiTheme="minorHAnsi" w:hAnsiTheme="minorHAnsi"/>
        </w:rPr>
        <w:t>are not where they are under the exclusive occupation of the occupier</w:t>
      </w:r>
      <w:r w:rsidR="0002156C">
        <w:t>.</w:t>
      </w:r>
      <w:r w:rsidR="00B47D80">
        <w:rPr>
          <w:rStyle w:val="FootnoteReference"/>
          <w:rFonts w:asciiTheme="minorHAnsi" w:hAnsiTheme="minorHAnsi"/>
        </w:rPr>
        <w:footnoteReference w:id="16"/>
      </w:r>
      <w:r w:rsidR="0002156C">
        <w:t xml:space="preserve"> This has led to </w:t>
      </w:r>
      <w:r w:rsidR="00934804">
        <w:t xml:space="preserve">some </w:t>
      </w:r>
      <w:r w:rsidR="0002156C">
        <w:t xml:space="preserve">claims that these accommodation types are not on a regulatory level playing field. </w:t>
      </w:r>
    </w:p>
    <w:p w14:paraId="51A7AAFF" w14:textId="0B9C5A96" w:rsidR="00850C15" w:rsidRPr="00CA6E3B" w:rsidRDefault="00850C15" w:rsidP="000A471E">
      <w:pPr>
        <w:pStyle w:val="Heading3"/>
      </w:pPr>
      <w:r w:rsidRPr="00CA6E3B">
        <w:t>Hostels</w:t>
      </w:r>
    </w:p>
    <w:p w14:paraId="73E46E08" w14:textId="68493CC0" w:rsidR="0002156C" w:rsidRDefault="0002156C" w:rsidP="0002156C">
      <w:pPr>
        <w:pStyle w:val="DHHStabletext"/>
        <w:spacing w:after="120"/>
        <w:rPr>
          <w:rFonts w:asciiTheme="minorHAnsi" w:hAnsiTheme="minorHAnsi"/>
          <w:sz w:val="18"/>
          <w:szCs w:val="18"/>
        </w:rPr>
      </w:pPr>
      <w:r>
        <w:rPr>
          <w:rFonts w:asciiTheme="minorHAnsi" w:hAnsiTheme="minorHAnsi"/>
          <w:sz w:val="18"/>
          <w:szCs w:val="18"/>
        </w:rPr>
        <w:t>The Regulations define hostels as any house, building or structure, whether temporary or permanent, which is used primarily for the accommodation of travellers.</w:t>
      </w:r>
      <w:r w:rsidR="005043D4">
        <w:rPr>
          <w:rStyle w:val="FootnoteReference"/>
          <w:rFonts w:asciiTheme="minorHAnsi" w:hAnsiTheme="minorHAnsi"/>
          <w:sz w:val="18"/>
          <w:szCs w:val="18"/>
        </w:rPr>
        <w:footnoteReference w:id="17"/>
      </w:r>
      <w:r>
        <w:rPr>
          <w:rFonts w:asciiTheme="minorHAnsi" w:hAnsiTheme="minorHAnsi"/>
          <w:sz w:val="18"/>
          <w:szCs w:val="18"/>
        </w:rPr>
        <w:t xml:space="preserve"> Hostels provide low-cost accommodation to typically young international and domestic travellers. Shared (dorm-style) bedrooms, amenities, a reception and on-site management are common features of hostels. </w:t>
      </w:r>
    </w:p>
    <w:p w14:paraId="1D5E15DB" w14:textId="5EE7632C" w:rsidR="0002156C" w:rsidRDefault="0002156C" w:rsidP="0002156C">
      <w:pPr>
        <w:pStyle w:val="DHHStabletext"/>
        <w:spacing w:after="120"/>
        <w:rPr>
          <w:rFonts w:asciiTheme="minorHAnsi" w:hAnsiTheme="minorHAnsi"/>
          <w:sz w:val="18"/>
          <w:szCs w:val="18"/>
        </w:rPr>
      </w:pPr>
      <w:r>
        <w:rPr>
          <w:rFonts w:asciiTheme="minorHAnsi" w:hAnsiTheme="minorHAnsi"/>
          <w:sz w:val="18"/>
          <w:szCs w:val="18"/>
        </w:rPr>
        <w:t xml:space="preserve">Because hostels usually involve shared facilities, health and hygiene issues </w:t>
      </w:r>
      <w:r w:rsidR="00473E0A">
        <w:rPr>
          <w:rFonts w:asciiTheme="minorHAnsi" w:hAnsiTheme="minorHAnsi"/>
          <w:sz w:val="18"/>
          <w:szCs w:val="18"/>
        </w:rPr>
        <w:t>may be more likely to</w:t>
      </w:r>
      <w:r w:rsidR="00153A8D">
        <w:rPr>
          <w:rFonts w:asciiTheme="minorHAnsi" w:hAnsiTheme="minorHAnsi"/>
          <w:sz w:val="18"/>
          <w:szCs w:val="18"/>
        </w:rPr>
        <w:t xml:space="preserve"> </w:t>
      </w:r>
      <w:r>
        <w:rPr>
          <w:rFonts w:asciiTheme="minorHAnsi" w:hAnsiTheme="minorHAnsi"/>
          <w:sz w:val="18"/>
          <w:szCs w:val="18"/>
        </w:rPr>
        <w:t>arise</w:t>
      </w:r>
      <w:r w:rsidR="00473E0A">
        <w:rPr>
          <w:rFonts w:asciiTheme="minorHAnsi" w:hAnsiTheme="minorHAnsi"/>
          <w:sz w:val="18"/>
          <w:szCs w:val="18"/>
        </w:rPr>
        <w:t xml:space="preserve">. </w:t>
      </w:r>
    </w:p>
    <w:p w14:paraId="3D792A3B" w14:textId="6ECAAB94" w:rsidR="0002156C" w:rsidRDefault="0002156C" w:rsidP="0002156C">
      <w:pPr>
        <w:pStyle w:val="DHHStabletext"/>
        <w:spacing w:after="120"/>
        <w:rPr>
          <w:rFonts w:asciiTheme="minorHAnsi" w:hAnsiTheme="minorHAnsi"/>
          <w:sz w:val="18"/>
          <w:szCs w:val="18"/>
        </w:rPr>
      </w:pPr>
      <w:r>
        <w:rPr>
          <w:rFonts w:asciiTheme="minorHAnsi" w:hAnsiTheme="minorHAnsi"/>
          <w:sz w:val="18"/>
          <w:szCs w:val="18"/>
        </w:rPr>
        <w:t xml:space="preserve">The delineation between a hostel and a rooming house is </w:t>
      </w:r>
      <w:r w:rsidR="00473E0A">
        <w:rPr>
          <w:rFonts w:asciiTheme="minorHAnsi" w:hAnsiTheme="minorHAnsi"/>
          <w:sz w:val="18"/>
          <w:szCs w:val="18"/>
        </w:rPr>
        <w:t xml:space="preserve">sometimes </w:t>
      </w:r>
      <w:r>
        <w:rPr>
          <w:rFonts w:asciiTheme="minorHAnsi" w:hAnsiTheme="minorHAnsi"/>
          <w:sz w:val="18"/>
          <w:szCs w:val="18"/>
        </w:rPr>
        <w:t>not clear. For example, a property may be considered a hostel during summer when it is used primarily by travellers, and when those accommodated are more transient. In winter however, it may be used by non-travellers for longer stay accommodation, in which case, the business is operating as a rooming house.</w:t>
      </w:r>
    </w:p>
    <w:p w14:paraId="4E68AA84" w14:textId="483263A7" w:rsidR="00850C15" w:rsidRPr="00CA6E3B" w:rsidRDefault="00850C15" w:rsidP="000A471E">
      <w:pPr>
        <w:pStyle w:val="Heading3"/>
      </w:pPr>
      <w:r w:rsidRPr="00CA6E3B">
        <w:t xml:space="preserve">Student </w:t>
      </w:r>
      <w:r w:rsidR="003F4C01" w:rsidRPr="00CA6E3B">
        <w:t>dormitories</w:t>
      </w:r>
    </w:p>
    <w:p w14:paraId="6F26E035" w14:textId="77777777" w:rsidR="0002156C" w:rsidRDefault="0002156C" w:rsidP="0002156C">
      <w:pPr>
        <w:pStyle w:val="DHHStabletext"/>
        <w:rPr>
          <w:rFonts w:asciiTheme="minorHAnsi" w:hAnsiTheme="minorHAnsi"/>
          <w:sz w:val="18"/>
          <w:szCs w:val="18"/>
        </w:rPr>
      </w:pPr>
      <w:r>
        <w:rPr>
          <w:rFonts w:asciiTheme="minorHAnsi" w:hAnsiTheme="minorHAnsi"/>
          <w:sz w:val="18"/>
          <w:szCs w:val="18"/>
        </w:rPr>
        <w:t>In the Regulations a student dormitory means any dormitory, student hostel, hall of residence or residential college for the accommodation of students, which is controlled by or operated under an arrangement or affiliated with:</w:t>
      </w:r>
    </w:p>
    <w:p w14:paraId="41745427" w14:textId="77777777" w:rsidR="0002156C" w:rsidRDefault="0002156C" w:rsidP="0002156C">
      <w:pPr>
        <w:pStyle w:val="ListBullet"/>
        <w:numPr>
          <w:ilvl w:val="0"/>
          <w:numId w:val="87"/>
        </w:numPr>
        <w:ind w:left="720"/>
      </w:pPr>
      <w:r>
        <w:t xml:space="preserve">An institution providing educational services for children of compulsory school age within the meaning of s.1.1.3.(1) of the </w:t>
      </w:r>
      <w:r>
        <w:rPr>
          <w:i/>
          <w:iCs/>
        </w:rPr>
        <w:t>Education and Training Reform Act 2006</w:t>
      </w:r>
    </w:p>
    <w:p w14:paraId="26CD4299" w14:textId="77777777" w:rsidR="0002156C" w:rsidRDefault="0002156C" w:rsidP="0002156C">
      <w:pPr>
        <w:pStyle w:val="ListBullet"/>
        <w:numPr>
          <w:ilvl w:val="0"/>
          <w:numId w:val="87"/>
        </w:numPr>
        <w:ind w:left="720"/>
      </w:pPr>
      <w:r>
        <w:t>Adult, community and further education services</w:t>
      </w:r>
    </w:p>
    <w:p w14:paraId="2B80A6AC" w14:textId="77777777" w:rsidR="0002156C" w:rsidRDefault="0002156C" w:rsidP="0002156C">
      <w:pPr>
        <w:pStyle w:val="ListBullet"/>
        <w:numPr>
          <w:ilvl w:val="0"/>
          <w:numId w:val="87"/>
        </w:numPr>
        <w:ind w:left="720"/>
        <w:rPr>
          <w:b/>
          <w:bCs/>
        </w:rPr>
      </w:pPr>
      <w:r>
        <w:t xml:space="preserve">An autonomous college or adult education institution within the meaning of those definitions in s.1.1.3(1) of the </w:t>
      </w:r>
      <w:r>
        <w:rPr>
          <w:i/>
          <w:iCs/>
        </w:rPr>
        <w:t>Education and Training Reform Act 2006.</w:t>
      </w:r>
      <w:r>
        <w:rPr>
          <w:rStyle w:val="FootnoteReference"/>
          <w:rFonts w:asciiTheme="minorHAnsi" w:hAnsiTheme="minorHAnsi"/>
          <w:i/>
          <w:iCs/>
          <w:szCs w:val="18"/>
        </w:rPr>
        <w:footnoteReference w:id="18"/>
      </w:r>
    </w:p>
    <w:p w14:paraId="0186EC14" w14:textId="77777777" w:rsidR="0002156C" w:rsidRDefault="0002156C" w:rsidP="0002156C">
      <w:pPr>
        <w:pStyle w:val="DHHStablebullet1"/>
        <w:numPr>
          <w:ilvl w:val="0"/>
          <w:numId w:val="0"/>
        </w:numPr>
        <w:rPr>
          <w:rFonts w:asciiTheme="minorHAnsi" w:hAnsiTheme="minorHAnsi"/>
          <w:sz w:val="18"/>
          <w:szCs w:val="18"/>
        </w:rPr>
      </w:pPr>
      <w:r>
        <w:rPr>
          <w:rFonts w:asciiTheme="minorHAnsi" w:hAnsiTheme="minorHAnsi"/>
          <w:sz w:val="18"/>
          <w:szCs w:val="18"/>
        </w:rPr>
        <w:t xml:space="preserve">Student dormitories are concentrated in major Victorian cities. These facilities are considered a medium public health risk given significant shared facilities such as bathrooms, toilets, kitchen and social areas. </w:t>
      </w:r>
    </w:p>
    <w:p w14:paraId="301B7BB5" w14:textId="77777777" w:rsidR="0002156C" w:rsidRDefault="0002156C" w:rsidP="0002156C">
      <w:pPr>
        <w:pStyle w:val="DHHStablebullet1"/>
        <w:numPr>
          <w:ilvl w:val="0"/>
          <w:numId w:val="0"/>
        </w:numPr>
        <w:spacing w:after="120"/>
        <w:rPr>
          <w:rFonts w:asciiTheme="minorHAnsi" w:hAnsiTheme="minorHAnsi"/>
          <w:sz w:val="18"/>
          <w:szCs w:val="18"/>
        </w:rPr>
      </w:pPr>
      <w:r>
        <w:rPr>
          <w:rFonts w:asciiTheme="minorHAnsi" w:hAnsiTheme="minorHAnsi"/>
          <w:sz w:val="18"/>
          <w:szCs w:val="18"/>
        </w:rPr>
        <w:t>In recent times however, student accommodation has transformed significantly. Modern types of student accommodation typically have limited shared facilities and it is reasonable to assume it presents a low public health risk. Modern student accommodation includes:</w:t>
      </w:r>
    </w:p>
    <w:p w14:paraId="33BB3CE1" w14:textId="77777777" w:rsidR="00CF15E8" w:rsidRPr="00CF15E8" w:rsidRDefault="00CF15E8" w:rsidP="00CF15E8">
      <w:pPr>
        <w:numPr>
          <w:ilvl w:val="0"/>
          <w:numId w:val="87"/>
        </w:numPr>
        <w:ind w:left="720"/>
        <w:contextualSpacing/>
        <w:rPr>
          <w:szCs w:val="17"/>
        </w:rPr>
      </w:pPr>
      <w:r w:rsidRPr="00CF15E8">
        <w:rPr>
          <w:szCs w:val="17"/>
        </w:rPr>
        <w:t>Purpose built student accommodation (commercial), designed and utilised for exclusive use by students and operated by commercial student accommodation providers not controlled by or affiliated with an educational institution. The Regulations do not regulate this form of accommodation.</w:t>
      </w:r>
    </w:p>
    <w:p w14:paraId="311B5171" w14:textId="77777777" w:rsidR="00CF15E8" w:rsidRPr="00CF15E8" w:rsidRDefault="00CF15E8" w:rsidP="00CF15E8">
      <w:pPr>
        <w:numPr>
          <w:ilvl w:val="0"/>
          <w:numId w:val="87"/>
        </w:numPr>
        <w:ind w:left="720"/>
        <w:contextualSpacing/>
        <w:rPr>
          <w:szCs w:val="17"/>
        </w:rPr>
      </w:pPr>
      <w:r w:rsidRPr="00CF15E8">
        <w:rPr>
          <w:szCs w:val="17"/>
        </w:rPr>
        <w:lastRenderedPageBreak/>
        <w:t>Managed student housing portfolios (residential student housing portfolios which contain 50 beds or more) operated by student accommodation providers not controlled by or affiliated with an educational institution, specialising in shared rental properties for the exclusive use of students. This type of accommodation is not covered by the Regulations.</w:t>
      </w:r>
    </w:p>
    <w:p w14:paraId="00101D64" w14:textId="77777777" w:rsidR="00CF15E8" w:rsidRPr="00CF15E8" w:rsidRDefault="00CF15E8" w:rsidP="00CF15E8">
      <w:pPr>
        <w:numPr>
          <w:ilvl w:val="0"/>
          <w:numId w:val="87"/>
        </w:numPr>
        <w:ind w:left="720"/>
        <w:contextualSpacing/>
        <w:rPr>
          <w:szCs w:val="17"/>
        </w:rPr>
      </w:pPr>
      <w:r w:rsidRPr="00CF15E8">
        <w:rPr>
          <w:szCs w:val="17"/>
        </w:rPr>
        <w:t>Student hostels (which are often low cost and provide short to mid-term accommodation) operated by student accommodation providers not controlled by or affiliated with an educational institution. These are only covered by the Regulations to the extent they are affiliated with an education provider or university.</w:t>
      </w:r>
      <w:r w:rsidRPr="00CF15E8">
        <w:rPr>
          <w:szCs w:val="17"/>
          <w:vertAlign w:val="superscript"/>
        </w:rPr>
        <w:footnoteReference w:id="19"/>
      </w:r>
    </w:p>
    <w:p w14:paraId="10F232E9" w14:textId="77777777" w:rsidR="0002156C" w:rsidRDefault="0002156C" w:rsidP="0002156C">
      <w:pPr>
        <w:pStyle w:val="DHHStablebullet1"/>
        <w:numPr>
          <w:ilvl w:val="0"/>
          <w:numId w:val="0"/>
        </w:numPr>
        <w:spacing w:after="120"/>
        <w:rPr>
          <w:rFonts w:asciiTheme="minorHAnsi" w:hAnsiTheme="minorHAnsi"/>
          <w:sz w:val="18"/>
          <w:szCs w:val="18"/>
        </w:rPr>
      </w:pPr>
      <w:r>
        <w:rPr>
          <w:rFonts w:asciiTheme="minorHAnsi" w:hAnsiTheme="minorHAnsi"/>
          <w:sz w:val="18"/>
          <w:szCs w:val="18"/>
        </w:rPr>
        <w:t>Similarly, private rentals where students live are not captured by the definition of student dormitories, and homestay arrangements for international secondary or tertiary students are also not covered.</w:t>
      </w:r>
    </w:p>
    <w:p w14:paraId="3697C0C7" w14:textId="68205B88" w:rsidR="0002156C" w:rsidRDefault="0002156C" w:rsidP="0002156C">
      <w:pPr>
        <w:rPr>
          <w:rFonts w:ascii="Times New Roman" w:hAnsi="Times New Roman" w:cs="Times New Roman"/>
          <w:sz w:val="24"/>
          <w:szCs w:val="24"/>
          <w:lang w:eastAsia="en-AU"/>
        </w:rPr>
      </w:pPr>
      <w:r>
        <w:t>Stakeholder feedback from Councils suggest that some students are accommodated in converted private homes and/or high rise apartments. Considering the number of occupants</w:t>
      </w:r>
      <w:r w:rsidR="00473E0A">
        <w:t>, leasing arrangements,</w:t>
      </w:r>
      <w:r>
        <w:t xml:space="preserve"> and the presence of shared facilities, these properties may effectively be operating as illegal rooming houses. This type of accommodation may be an attractive affordable housing option for students, but it could present a risk of overcrowding. </w:t>
      </w:r>
    </w:p>
    <w:p w14:paraId="789B5FED" w14:textId="28E87982" w:rsidR="00850C15" w:rsidRPr="00CE2508" w:rsidRDefault="003F4C01" w:rsidP="000A471E">
      <w:pPr>
        <w:pStyle w:val="Heading3"/>
      </w:pPr>
      <w:r w:rsidRPr="00CE2508">
        <w:t>Holiday camps</w:t>
      </w:r>
    </w:p>
    <w:p w14:paraId="25A77B5A" w14:textId="77777777" w:rsidR="0002156C" w:rsidRDefault="0002156C" w:rsidP="0002156C">
      <w:r>
        <w:t>The Regulations define a holiday camp as any house, building or structure, whether temporary or permanent, which is used for the accommodation of student groups, youth groups or family groups for holiday or recreational purposes.</w:t>
      </w:r>
      <w:r>
        <w:rPr>
          <w:rStyle w:val="FootnoteReference"/>
        </w:rPr>
        <w:footnoteReference w:id="20"/>
      </w:r>
      <w:r>
        <w:t xml:space="preserve"> They provide accommodation for school camps, youth groups and family gatherings, but can also be used for other purposes such as spiritual retreats and special interest camps. </w:t>
      </w:r>
    </w:p>
    <w:p w14:paraId="2533F594" w14:textId="4294570F" w:rsidR="0002156C" w:rsidRDefault="0002156C" w:rsidP="0002156C">
      <w:r>
        <w:t xml:space="preserve">Holiday camps typically offer cabin or dorm style accommodation, shared amenities and purpose-built facilities. Because of their shared bedrooms (dorm-style rooms) and </w:t>
      </w:r>
      <w:r w:rsidR="005B7148">
        <w:t xml:space="preserve">shared </w:t>
      </w:r>
      <w:r>
        <w:t xml:space="preserve">amenities such as bathrooms and toilets, holiday camps </w:t>
      </w:r>
      <w:r w:rsidR="00BD33FC">
        <w:t>may present a public health risk if not managed appropriately</w:t>
      </w:r>
      <w:r>
        <w:t xml:space="preserve">. </w:t>
      </w:r>
    </w:p>
    <w:p w14:paraId="5560E5FD" w14:textId="3FFC42C1" w:rsidR="0002156C" w:rsidRDefault="0002156C" w:rsidP="0002156C">
      <w:r>
        <w:t xml:space="preserve">Holiday camps often offer similar facilities to caravan parks, however caravan parks are separately regulated. This </w:t>
      </w:r>
      <w:r w:rsidR="00473E0A">
        <w:t xml:space="preserve">may </w:t>
      </w:r>
      <w:r>
        <w:t>cause confusion for proprietors and challenges for Councils when undertaking compliance activities.</w:t>
      </w:r>
    </w:p>
    <w:p w14:paraId="313A6921" w14:textId="6D3AAC85" w:rsidR="003F4C01" w:rsidRPr="00CA6E3B" w:rsidRDefault="00331AB6" w:rsidP="000A471E">
      <w:pPr>
        <w:pStyle w:val="Heading3"/>
      </w:pPr>
      <w:r w:rsidRPr="00CA6E3B">
        <w:t>Rooming houses</w:t>
      </w:r>
    </w:p>
    <w:p w14:paraId="33DB71D8" w14:textId="4B99ACEC" w:rsidR="0002156C" w:rsidRDefault="0002156C" w:rsidP="0002156C">
      <w:pPr>
        <w:pStyle w:val="DHHStabletext"/>
        <w:rPr>
          <w:rFonts w:asciiTheme="minorHAnsi" w:hAnsiTheme="minorHAnsi"/>
          <w:sz w:val="18"/>
          <w:szCs w:val="18"/>
        </w:rPr>
      </w:pPr>
      <w:r>
        <w:rPr>
          <w:rFonts w:asciiTheme="minorHAnsi" w:hAnsiTheme="minorHAnsi"/>
          <w:sz w:val="18"/>
          <w:szCs w:val="18"/>
        </w:rPr>
        <w:t>A rooming house is defined in the Regulations as a building in which there is one or more rooms available for occupancy on payment of rent in which the total number of people who may occupy that room or those rooms is not less than four.</w:t>
      </w:r>
      <w:r>
        <w:rPr>
          <w:rStyle w:val="FootnoteReference"/>
          <w:rFonts w:asciiTheme="minorHAnsi" w:hAnsiTheme="minorHAnsi"/>
          <w:sz w:val="18"/>
          <w:szCs w:val="18"/>
        </w:rPr>
        <w:footnoteReference w:id="21"/>
      </w:r>
      <w:r>
        <w:rPr>
          <w:rFonts w:asciiTheme="minorHAnsi" w:hAnsiTheme="minorHAnsi"/>
          <w:sz w:val="18"/>
          <w:szCs w:val="18"/>
        </w:rPr>
        <w:t xml:space="preserve"> Rooming houses are typically characterised by:</w:t>
      </w:r>
    </w:p>
    <w:p w14:paraId="04AB4097" w14:textId="77777777" w:rsidR="0002156C" w:rsidRDefault="0002156C" w:rsidP="0002156C">
      <w:pPr>
        <w:pStyle w:val="ListBullet"/>
        <w:numPr>
          <w:ilvl w:val="0"/>
          <w:numId w:val="87"/>
        </w:numPr>
        <w:ind w:left="720"/>
      </w:pPr>
      <w:r>
        <w:t>Individual rent or lease agreements to use a bedroom, which is different to a share house or exclusive occupation</w:t>
      </w:r>
    </w:p>
    <w:p w14:paraId="38D9A185" w14:textId="77777777" w:rsidR="0002156C" w:rsidRDefault="0002156C" w:rsidP="0002156C">
      <w:pPr>
        <w:pStyle w:val="ListBullet"/>
        <w:numPr>
          <w:ilvl w:val="0"/>
          <w:numId w:val="87"/>
        </w:numPr>
        <w:ind w:left="720"/>
      </w:pPr>
      <w:r>
        <w:t xml:space="preserve">Shared bathroom, kitchen and laundry amenities </w:t>
      </w:r>
    </w:p>
    <w:p w14:paraId="10163BCB" w14:textId="77777777" w:rsidR="0002156C" w:rsidRDefault="0002156C" w:rsidP="0002156C">
      <w:pPr>
        <w:pStyle w:val="ListBullet"/>
        <w:numPr>
          <w:ilvl w:val="0"/>
          <w:numId w:val="87"/>
        </w:numPr>
        <w:ind w:left="720"/>
      </w:pPr>
      <w:r>
        <w:t xml:space="preserve">Locks on bedroom doors </w:t>
      </w:r>
    </w:p>
    <w:p w14:paraId="4000915F" w14:textId="61B41724" w:rsidR="0002156C" w:rsidRDefault="0002156C" w:rsidP="0002156C">
      <w:pPr>
        <w:pStyle w:val="ListBullet"/>
        <w:numPr>
          <w:ilvl w:val="0"/>
          <w:numId w:val="87"/>
        </w:numPr>
        <w:ind w:left="720"/>
      </w:pPr>
      <w:r>
        <w:t xml:space="preserve">Inability </w:t>
      </w:r>
      <w:r w:rsidR="00735C70">
        <w:t xml:space="preserve">to </w:t>
      </w:r>
      <w:r>
        <w:t>choose co-residents</w:t>
      </w:r>
    </w:p>
    <w:p w14:paraId="70D5ACF2" w14:textId="77777777" w:rsidR="0002156C" w:rsidRDefault="0002156C" w:rsidP="0002156C">
      <w:pPr>
        <w:pStyle w:val="ListBullet"/>
        <w:numPr>
          <w:ilvl w:val="0"/>
          <w:numId w:val="87"/>
        </w:numPr>
        <w:ind w:left="720"/>
      </w:pPr>
      <w:r>
        <w:t>No formal support services on the premises.</w:t>
      </w:r>
    </w:p>
    <w:p w14:paraId="5058AC09" w14:textId="2CE08E7E" w:rsidR="0002156C" w:rsidRDefault="0002156C" w:rsidP="0002156C">
      <w:pPr>
        <w:rPr>
          <w:rFonts w:asciiTheme="minorHAnsi" w:hAnsiTheme="minorHAnsi"/>
        </w:rPr>
      </w:pPr>
      <w:r>
        <w:t>Traditional rooming houses tend to be purpose-built, with many bedrooms, and are most commonly located in metropolitan areas. Rooming houses provide short and long-term tenancies and form an affordable housing options for</w:t>
      </w:r>
      <w:r>
        <w:rPr>
          <w:rFonts w:asciiTheme="minorHAnsi" w:hAnsiTheme="minorHAnsi"/>
        </w:rPr>
        <w:t xml:space="preserve"> </w:t>
      </w:r>
      <w:r w:rsidR="00BD33FC">
        <w:rPr>
          <w:rFonts w:asciiTheme="minorHAnsi" w:hAnsiTheme="minorHAnsi"/>
        </w:rPr>
        <w:t xml:space="preserve">people, including </w:t>
      </w:r>
      <w:r>
        <w:rPr>
          <w:rFonts w:asciiTheme="minorHAnsi" w:hAnsiTheme="minorHAnsi"/>
        </w:rPr>
        <w:t>vulnerable cohorts.</w:t>
      </w:r>
    </w:p>
    <w:p w14:paraId="74CCB34D" w14:textId="77777777" w:rsidR="0002156C" w:rsidRDefault="0002156C" w:rsidP="0002156C">
      <w:r>
        <w:lastRenderedPageBreak/>
        <w:t>Rooming houses typically provide accommodation for disadvantaged, vulnerable or marginalised members of the community. Traditionally, rooming houses catered for middle-aged single men and this is still largely the case, however over the last 30 years rooming houses have increasingly housed a wider range of vulnerable people,</w:t>
      </w:r>
      <w:r>
        <w:rPr>
          <w:rStyle w:val="FootnoteReference"/>
        </w:rPr>
        <w:footnoteReference w:id="22"/>
      </w:r>
      <w:r>
        <w:t xml:space="preserve"> homeless people,</w:t>
      </w:r>
      <w:r>
        <w:rPr>
          <w:rStyle w:val="FootnoteReference"/>
        </w:rPr>
        <w:footnoteReference w:id="23"/>
      </w:r>
      <w:r>
        <w:t xml:space="preserve"> those in housing crisis, single parent families and international students or non-English speaking migrants.</w:t>
      </w:r>
      <w:r>
        <w:rPr>
          <w:rStyle w:val="FootnoteReference"/>
        </w:rPr>
        <w:footnoteReference w:id="24"/>
      </w:r>
      <w:r>
        <w:t xml:space="preserve"> </w:t>
      </w:r>
    </w:p>
    <w:p w14:paraId="6C078F99" w14:textId="77777777" w:rsidR="0002156C" w:rsidRDefault="0002156C" w:rsidP="0002156C">
      <w:r>
        <w:t>The risk profile for infectious disease transmission in rooming houses is often high given the presence of shared facilities (such as bedrooms, bathrooms, kitchens and laundries) and the vulnerable cohorts residing in rooming houses.</w:t>
      </w:r>
    </w:p>
    <w:p w14:paraId="791CDFE2" w14:textId="43AA086B" w:rsidR="0002156C" w:rsidRDefault="0002156C" w:rsidP="0002156C">
      <w:pPr>
        <w:pStyle w:val="DHHStabletext"/>
        <w:spacing w:after="120"/>
      </w:pPr>
      <w:r>
        <w:rPr>
          <w:rFonts w:asciiTheme="minorHAnsi" w:hAnsiTheme="minorHAnsi"/>
          <w:sz w:val="18"/>
          <w:szCs w:val="18"/>
        </w:rPr>
        <w:t xml:space="preserve">More recently the rooming house market has been modernised and diversified into small new model or mini rooming houses. </w:t>
      </w:r>
      <w:r w:rsidR="00F848AA">
        <w:rPr>
          <w:rFonts w:asciiTheme="minorHAnsi" w:hAnsiTheme="minorHAnsi"/>
          <w:sz w:val="18"/>
          <w:szCs w:val="18"/>
        </w:rPr>
        <w:t xml:space="preserve">Existing </w:t>
      </w:r>
      <w:r>
        <w:rPr>
          <w:rFonts w:asciiTheme="minorHAnsi" w:hAnsiTheme="minorHAnsi"/>
          <w:sz w:val="18"/>
          <w:szCs w:val="18"/>
        </w:rPr>
        <w:t xml:space="preserve">residential houses </w:t>
      </w:r>
      <w:r w:rsidR="00F848AA">
        <w:rPr>
          <w:rFonts w:asciiTheme="minorHAnsi" w:hAnsiTheme="minorHAnsi"/>
          <w:sz w:val="18"/>
          <w:szCs w:val="18"/>
        </w:rPr>
        <w:t xml:space="preserve">may be </w:t>
      </w:r>
      <w:r>
        <w:rPr>
          <w:rFonts w:asciiTheme="minorHAnsi" w:hAnsiTheme="minorHAnsi"/>
          <w:sz w:val="18"/>
          <w:szCs w:val="18"/>
        </w:rPr>
        <w:t xml:space="preserve">converted into rooming houses, and sometimes this involves building modifications to create more bedrooms. Each resident has a separate arrangement with the operator. It is reasonable to assume that the health risk in modern </w:t>
      </w:r>
      <w:r w:rsidR="00F848AA">
        <w:rPr>
          <w:rFonts w:asciiTheme="minorHAnsi" w:hAnsiTheme="minorHAnsi"/>
          <w:sz w:val="18"/>
          <w:szCs w:val="18"/>
        </w:rPr>
        <w:t xml:space="preserve">purpose built </w:t>
      </w:r>
      <w:r>
        <w:rPr>
          <w:rFonts w:asciiTheme="minorHAnsi" w:hAnsiTheme="minorHAnsi"/>
          <w:sz w:val="18"/>
          <w:szCs w:val="18"/>
        </w:rPr>
        <w:t>facilities is</w:t>
      </w:r>
      <w:r w:rsidR="006E64C9">
        <w:rPr>
          <w:rFonts w:asciiTheme="minorHAnsi" w:hAnsiTheme="minorHAnsi"/>
          <w:sz w:val="18"/>
          <w:szCs w:val="18"/>
        </w:rPr>
        <w:t xml:space="preserve"> </w:t>
      </w:r>
      <w:r>
        <w:rPr>
          <w:rFonts w:asciiTheme="minorHAnsi" w:hAnsiTheme="minorHAnsi"/>
          <w:sz w:val="18"/>
          <w:szCs w:val="18"/>
        </w:rPr>
        <w:t>lower than in the traditional rooming houses.</w:t>
      </w:r>
    </w:p>
    <w:p w14:paraId="63C5D251" w14:textId="4F5A5C3A" w:rsidR="0002156C" w:rsidRDefault="0002156C" w:rsidP="0002156C">
      <w:pPr>
        <w:pStyle w:val="DHHStabletext"/>
        <w:spacing w:after="120"/>
        <w:rPr>
          <w:rFonts w:asciiTheme="minorHAnsi" w:hAnsiTheme="minorHAnsi"/>
          <w:sz w:val="18"/>
          <w:szCs w:val="18"/>
        </w:rPr>
      </w:pPr>
      <w:r>
        <w:rPr>
          <w:rFonts w:asciiTheme="minorHAnsi" w:hAnsiTheme="minorHAnsi"/>
          <w:sz w:val="18"/>
          <w:szCs w:val="18"/>
        </w:rPr>
        <w:t xml:space="preserve">There is </w:t>
      </w:r>
      <w:r w:rsidR="00F848AA">
        <w:rPr>
          <w:rFonts w:asciiTheme="minorHAnsi" w:hAnsiTheme="minorHAnsi"/>
          <w:sz w:val="18"/>
          <w:szCs w:val="18"/>
        </w:rPr>
        <w:t>some stakeholder feedback that there is an increase</w:t>
      </w:r>
      <w:r>
        <w:rPr>
          <w:rFonts w:asciiTheme="minorHAnsi" w:hAnsiTheme="minorHAnsi"/>
          <w:sz w:val="18"/>
          <w:szCs w:val="18"/>
        </w:rPr>
        <w:t xml:space="preserve"> in the number of </w:t>
      </w:r>
      <w:r w:rsidR="00F848AA">
        <w:rPr>
          <w:rFonts w:asciiTheme="minorHAnsi" w:hAnsiTheme="minorHAnsi"/>
          <w:sz w:val="18"/>
          <w:szCs w:val="18"/>
        </w:rPr>
        <w:t xml:space="preserve">illegal </w:t>
      </w:r>
      <w:r>
        <w:rPr>
          <w:rFonts w:asciiTheme="minorHAnsi" w:hAnsiTheme="minorHAnsi"/>
          <w:sz w:val="18"/>
          <w:szCs w:val="18"/>
        </w:rPr>
        <w:t>rooming houses operating out of high-rise apartment buildings.</w:t>
      </w:r>
      <w:r>
        <w:rPr>
          <w:rStyle w:val="FootnoteReference"/>
          <w:rFonts w:asciiTheme="minorHAnsi" w:hAnsiTheme="minorHAnsi"/>
          <w:sz w:val="18"/>
          <w:szCs w:val="18"/>
        </w:rPr>
        <w:footnoteReference w:id="25"/>
      </w:r>
      <w:r>
        <w:rPr>
          <w:rFonts w:asciiTheme="minorHAnsi" w:hAnsiTheme="minorHAnsi"/>
          <w:sz w:val="18"/>
          <w:szCs w:val="18"/>
        </w:rPr>
        <w:t xml:space="preserve"> </w:t>
      </w:r>
      <w:r w:rsidR="00BE6409">
        <w:rPr>
          <w:rFonts w:asciiTheme="minorHAnsi" w:hAnsiTheme="minorHAnsi"/>
          <w:sz w:val="18"/>
          <w:szCs w:val="18"/>
        </w:rPr>
        <w:t>This accommodation</w:t>
      </w:r>
      <w:r>
        <w:rPr>
          <w:rFonts w:asciiTheme="minorHAnsi" w:hAnsiTheme="minorHAnsi"/>
          <w:sz w:val="18"/>
          <w:szCs w:val="18"/>
        </w:rPr>
        <w:t xml:space="preserve"> often target</w:t>
      </w:r>
      <w:r w:rsidR="00BE6409">
        <w:rPr>
          <w:rFonts w:asciiTheme="minorHAnsi" w:hAnsiTheme="minorHAnsi"/>
          <w:sz w:val="18"/>
          <w:szCs w:val="18"/>
        </w:rPr>
        <w:t>s</w:t>
      </w:r>
      <w:r>
        <w:rPr>
          <w:rFonts w:asciiTheme="minorHAnsi" w:hAnsiTheme="minorHAnsi"/>
          <w:sz w:val="18"/>
          <w:szCs w:val="18"/>
        </w:rPr>
        <w:t xml:space="preserve"> international students considering their proximity to universities. The issue of students being accommodated in potentially illegal rooming houses was discussed in section </w:t>
      </w:r>
      <w:r w:rsidRPr="009212EA">
        <w:rPr>
          <w:rFonts w:asciiTheme="minorHAnsi" w:hAnsiTheme="minorHAnsi"/>
          <w:sz w:val="18"/>
          <w:szCs w:val="18"/>
        </w:rPr>
        <w:t>2.1.4</w:t>
      </w:r>
      <w:r>
        <w:rPr>
          <w:rFonts w:asciiTheme="minorHAnsi" w:hAnsiTheme="minorHAnsi"/>
          <w:sz w:val="18"/>
          <w:szCs w:val="18"/>
        </w:rPr>
        <w:t>.</w:t>
      </w:r>
    </w:p>
    <w:p w14:paraId="51762E3D" w14:textId="6E7F4802" w:rsidR="00473E0A" w:rsidRDefault="00473E0A" w:rsidP="0002156C">
      <w:pPr>
        <w:pStyle w:val="DHHStabletext"/>
        <w:spacing w:after="120"/>
        <w:rPr>
          <w:rFonts w:asciiTheme="minorHAnsi" w:hAnsiTheme="minorHAnsi"/>
          <w:sz w:val="18"/>
          <w:szCs w:val="18"/>
        </w:rPr>
      </w:pPr>
      <w:r>
        <w:rPr>
          <w:rFonts w:asciiTheme="minorHAnsi" w:hAnsiTheme="minorHAnsi"/>
          <w:sz w:val="18"/>
          <w:szCs w:val="18"/>
        </w:rPr>
        <w:t xml:space="preserve">Some other issues </w:t>
      </w:r>
      <w:r w:rsidR="00BE6409">
        <w:rPr>
          <w:rFonts w:asciiTheme="minorHAnsi" w:hAnsiTheme="minorHAnsi"/>
          <w:sz w:val="18"/>
          <w:szCs w:val="18"/>
        </w:rPr>
        <w:t xml:space="preserve">raised by stakeholders relating to </w:t>
      </w:r>
      <w:r w:rsidR="0028071D">
        <w:rPr>
          <w:rFonts w:asciiTheme="minorHAnsi" w:hAnsiTheme="minorHAnsi"/>
          <w:sz w:val="18"/>
          <w:szCs w:val="18"/>
        </w:rPr>
        <w:t>rooming houses</w:t>
      </w:r>
      <w:r w:rsidR="00BE6409">
        <w:rPr>
          <w:rFonts w:asciiTheme="minorHAnsi" w:hAnsiTheme="minorHAnsi"/>
          <w:sz w:val="18"/>
          <w:szCs w:val="18"/>
        </w:rPr>
        <w:t xml:space="preserve"> </w:t>
      </w:r>
      <w:r>
        <w:rPr>
          <w:rFonts w:asciiTheme="minorHAnsi" w:hAnsiTheme="minorHAnsi"/>
          <w:sz w:val="18"/>
          <w:szCs w:val="18"/>
        </w:rPr>
        <w:t xml:space="preserve">include: </w:t>
      </w:r>
    </w:p>
    <w:p w14:paraId="0B7A2153" w14:textId="4985F526" w:rsidR="00473E0A" w:rsidRPr="00473E0A" w:rsidRDefault="00473E0A" w:rsidP="00473E0A">
      <w:pPr>
        <w:pStyle w:val="DHHStabletext"/>
        <w:spacing w:after="120"/>
        <w:rPr>
          <w:rFonts w:asciiTheme="minorHAnsi" w:hAnsiTheme="minorHAnsi"/>
          <w:sz w:val="18"/>
          <w:szCs w:val="18"/>
        </w:rPr>
      </w:pPr>
      <w:r w:rsidRPr="00473E0A">
        <w:rPr>
          <w:rFonts w:asciiTheme="minorHAnsi" w:hAnsiTheme="minorHAnsi"/>
          <w:sz w:val="18"/>
          <w:szCs w:val="18"/>
        </w:rPr>
        <w:t>•</w:t>
      </w:r>
      <w:r w:rsidRPr="00473E0A">
        <w:rPr>
          <w:rFonts w:asciiTheme="minorHAnsi" w:hAnsiTheme="minorHAnsi"/>
          <w:sz w:val="18"/>
          <w:szCs w:val="18"/>
        </w:rPr>
        <w:tab/>
      </w:r>
      <w:r w:rsidR="00566923">
        <w:rPr>
          <w:rFonts w:asciiTheme="minorHAnsi" w:hAnsiTheme="minorHAnsi"/>
          <w:sz w:val="18"/>
          <w:szCs w:val="18"/>
        </w:rPr>
        <w:t>I</w:t>
      </w:r>
      <w:r w:rsidRPr="00473E0A">
        <w:rPr>
          <w:rFonts w:asciiTheme="minorHAnsi" w:hAnsiTheme="minorHAnsi"/>
          <w:sz w:val="18"/>
          <w:szCs w:val="18"/>
        </w:rPr>
        <w:t>t may not be clear whether student accommodation constitutes a rooming house.</w:t>
      </w:r>
    </w:p>
    <w:p w14:paraId="675D1589" w14:textId="1E3614BC" w:rsidR="00473E0A" w:rsidRPr="00473E0A" w:rsidRDefault="00473E0A" w:rsidP="00473E0A">
      <w:pPr>
        <w:pStyle w:val="DHHStabletext"/>
        <w:spacing w:after="120"/>
        <w:rPr>
          <w:rFonts w:asciiTheme="minorHAnsi" w:hAnsiTheme="minorHAnsi"/>
          <w:sz w:val="18"/>
          <w:szCs w:val="18"/>
        </w:rPr>
      </w:pPr>
      <w:r w:rsidRPr="00473E0A">
        <w:rPr>
          <w:rFonts w:asciiTheme="minorHAnsi" w:hAnsiTheme="minorHAnsi"/>
          <w:sz w:val="18"/>
          <w:szCs w:val="18"/>
        </w:rPr>
        <w:t>•</w:t>
      </w:r>
      <w:r w:rsidRPr="00473E0A">
        <w:rPr>
          <w:rFonts w:asciiTheme="minorHAnsi" w:hAnsiTheme="minorHAnsi"/>
          <w:sz w:val="18"/>
          <w:szCs w:val="18"/>
        </w:rPr>
        <w:tab/>
      </w:r>
      <w:r w:rsidR="00566923">
        <w:rPr>
          <w:rFonts w:asciiTheme="minorHAnsi" w:hAnsiTheme="minorHAnsi"/>
          <w:sz w:val="18"/>
          <w:szCs w:val="18"/>
        </w:rPr>
        <w:t>S</w:t>
      </w:r>
      <w:r w:rsidRPr="00473E0A">
        <w:rPr>
          <w:rFonts w:asciiTheme="minorHAnsi" w:hAnsiTheme="minorHAnsi"/>
          <w:sz w:val="18"/>
          <w:szCs w:val="18"/>
        </w:rPr>
        <w:t>ome operators going to extreme lengths to avoid registration</w:t>
      </w:r>
    </w:p>
    <w:p w14:paraId="7910254C" w14:textId="1D17A06E" w:rsidR="00473E0A" w:rsidRPr="00473E0A" w:rsidRDefault="00473E0A" w:rsidP="00253112">
      <w:pPr>
        <w:pStyle w:val="DHHStabletext"/>
        <w:spacing w:after="120"/>
        <w:ind w:left="720" w:hanging="720"/>
        <w:rPr>
          <w:rFonts w:asciiTheme="minorHAnsi" w:hAnsiTheme="minorHAnsi"/>
          <w:sz w:val="18"/>
          <w:szCs w:val="18"/>
        </w:rPr>
      </w:pPr>
      <w:r w:rsidRPr="00473E0A">
        <w:rPr>
          <w:rFonts w:asciiTheme="minorHAnsi" w:hAnsiTheme="minorHAnsi"/>
          <w:sz w:val="18"/>
          <w:szCs w:val="18"/>
        </w:rPr>
        <w:t>•</w:t>
      </w:r>
      <w:r w:rsidRPr="00473E0A">
        <w:rPr>
          <w:rFonts w:asciiTheme="minorHAnsi" w:hAnsiTheme="minorHAnsi"/>
          <w:sz w:val="18"/>
          <w:szCs w:val="18"/>
        </w:rPr>
        <w:tab/>
      </w:r>
      <w:r w:rsidR="00566923">
        <w:rPr>
          <w:rFonts w:asciiTheme="minorHAnsi" w:hAnsiTheme="minorHAnsi"/>
          <w:sz w:val="18"/>
          <w:szCs w:val="18"/>
        </w:rPr>
        <w:t>T</w:t>
      </w:r>
      <w:r w:rsidRPr="00473E0A">
        <w:rPr>
          <w:rFonts w:asciiTheme="minorHAnsi" w:hAnsiTheme="minorHAnsi"/>
          <w:sz w:val="18"/>
          <w:szCs w:val="18"/>
        </w:rPr>
        <w:t>here may be difficulty obtaining evidence to establish a rooming house, such as establishing individual rent arrangements among vulnerable people</w:t>
      </w:r>
    </w:p>
    <w:p w14:paraId="7B73D076" w14:textId="48E7F076" w:rsidR="00473E0A" w:rsidRPr="00473E0A" w:rsidRDefault="00473E0A" w:rsidP="00473E0A">
      <w:pPr>
        <w:pStyle w:val="DHHStabletext"/>
        <w:spacing w:after="120"/>
        <w:rPr>
          <w:rFonts w:asciiTheme="minorHAnsi" w:hAnsiTheme="minorHAnsi"/>
          <w:sz w:val="18"/>
          <w:szCs w:val="18"/>
        </w:rPr>
      </w:pPr>
      <w:r w:rsidRPr="00473E0A">
        <w:rPr>
          <w:rFonts w:asciiTheme="minorHAnsi" w:hAnsiTheme="minorHAnsi"/>
          <w:sz w:val="18"/>
          <w:szCs w:val="18"/>
        </w:rPr>
        <w:t>•</w:t>
      </w:r>
      <w:r w:rsidRPr="00473E0A">
        <w:rPr>
          <w:rFonts w:asciiTheme="minorHAnsi" w:hAnsiTheme="minorHAnsi"/>
          <w:sz w:val="18"/>
          <w:szCs w:val="18"/>
        </w:rPr>
        <w:tab/>
      </w:r>
      <w:r w:rsidR="00C95F35">
        <w:rPr>
          <w:rFonts w:asciiTheme="minorHAnsi" w:hAnsiTheme="minorHAnsi"/>
          <w:sz w:val="18"/>
          <w:szCs w:val="18"/>
        </w:rPr>
        <w:t xml:space="preserve">There are </w:t>
      </w:r>
      <w:r w:rsidR="00BE6409">
        <w:rPr>
          <w:rFonts w:asciiTheme="minorHAnsi" w:hAnsiTheme="minorHAnsi"/>
          <w:sz w:val="18"/>
          <w:szCs w:val="18"/>
        </w:rPr>
        <w:t xml:space="preserve">challenges in </w:t>
      </w:r>
      <w:r w:rsidRPr="00473E0A">
        <w:rPr>
          <w:rFonts w:asciiTheme="minorHAnsi" w:hAnsiTheme="minorHAnsi"/>
          <w:sz w:val="18"/>
          <w:szCs w:val="18"/>
        </w:rPr>
        <w:t>investigation and enforcement of unregistered rooming houses</w:t>
      </w:r>
    </w:p>
    <w:p w14:paraId="4A8FD1EA" w14:textId="4AF540CA" w:rsidR="00473E0A" w:rsidRDefault="00473E0A" w:rsidP="00473E0A">
      <w:pPr>
        <w:pStyle w:val="DHHStabletext"/>
        <w:spacing w:after="120"/>
        <w:rPr>
          <w:rFonts w:asciiTheme="minorHAnsi" w:hAnsiTheme="minorHAnsi"/>
          <w:sz w:val="18"/>
          <w:szCs w:val="18"/>
        </w:rPr>
      </w:pPr>
      <w:r w:rsidRPr="00473E0A">
        <w:rPr>
          <w:rFonts w:asciiTheme="minorHAnsi" w:hAnsiTheme="minorHAnsi"/>
          <w:sz w:val="18"/>
          <w:szCs w:val="18"/>
        </w:rPr>
        <w:t>•</w:t>
      </w:r>
      <w:r w:rsidRPr="00473E0A">
        <w:rPr>
          <w:rFonts w:asciiTheme="minorHAnsi" w:hAnsiTheme="minorHAnsi"/>
          <w:sz w:val="18"/>
          <w:szCs w:val="18"/>
        </w:rPr>
        <w:tab/>
      </w:r>
      <w:r w:rsidR="00566923">
        <w:rPr>
          <w:rFonts w:asciiTheme="minorHAnsi" w:hAnsiTheme="minorHAnsi"/>
          <w:sz w:val="18"/>
          <w:szCs w:val="18"/>
        </w:rPr>
        <w:t>O</w:t>
      </w:r>
      <w:r w:rsidRPr="00473E0A">
        <w:rPr>
          <w:rFonts w:asciiTheme="minorHAnsi" w:hAnsiTheme="minorHAnsi"/>
          <w:sz w:val="18"/>
          <w:szCs w:val="18"/>
        </w:rPr>
        <w:t>verlap of regulatory frameworks.</w:t>
      </w:r>
    </w:p>
    <w:p w14:paraId="7421F52E" w14:textId="77777777" w:rsidR="0002156C" w:rsidRDefault="0002156C" w:rsidP="000A471E">
      <w:pPr>
        <w:pStyle w:val="Heading3"/>
      </w:pPr>
      <w:r>
        <w:t>Short stay accommodation</w:t>
      </w:r>
    </w:p>
    <w:p w14:paraId="03FCAAC8" w14:textId="38161A89" w:rsidR="00DB6905" w:rsidRPr="00052E90" w:rsidRDefault="0002156C" w:rsidP="00DB6905">
      <w:pPr>
        <w:rPr>
          <w:color w:val="FF0000"/>
        </w:rPr>
      </w:pPr>
      <w:r>
        <w:t xml:space="preserve">A recent trend in the </w:t>
      </w:r>
      <w:r w:rsidRPr="00052E90">
        <w:t>accommodation sector is the</w:t>
      </w:r>
      <w:r w:rsidRPr="004E4936">
        <w:t xml:space="preserve"> emergence of </w:t>
      </w:r>
      <w:r w:rsidR="00BE6409">
        <w:t>‘</w:t>
      </w:r>
      <w:r w:rsidRPr="004E4936">
        <w:t>short-stay</w:t>
      </w:r>
      <w:r w:rsidR="00BE6409">
        <w:t>’</w:t>
      </w:r>
      <w:r w:rsidRPr="004E4936">
        <w:t xml:space="preserve"> accommodation platforms such as Airbnb, Stayz and Booking.com which list houses, apartments, </w:t>
      </w:r>
      <w:r w:rsidR="00BE6409">
        <w:t xml:space="preserve">and </w:t>
      </w:r>
      <w:r w:rsidRPr="004E4936">
        <w:t xml:space="preserve">holiday homes for </w:t>
      </w:r>
      <w:r w:rsidR="00265CBB">
        <w:t>occupation by the public</w:t>
      </w:r>
      <w:r w:rsidRPr="004E4936">
        <w:t xml:space="preserve">. </w:t>
      </w:r>
      <w:r w:rsidR="00265CBB">
        <w:t>H</w:t>
      </w:r>
      <w:r w:rsidR="00E023FA">
        <w:t>ouses and self-contained apartments</w:t>
      </w:r>
      <w:r w:rsidR="00444A8D">
        <w:t xml:space="preserve"> will generally be exempt where</w:t>
      </w:r>
      <w:r w:rsidR="00BE6409">
        <w:t xml:space="preserve"> they are</w:t>
      </w:r>
      <w:r w:rsidR="00E023FA">
        <w:t xml:space="preserve"> under </w:t>
      </w:r>
      <w:r w:rsidR="00BE6409">
        <w:t xml:space="preserve">the </w:t>
      </w:r>
      <w:r w:rsidR="00E023FA">
        <w:t>exclusive occupation of the occupier</w:t>
      </w:r>
      <w:r w:rsidR="00444A8D">
        <w:t xml:space="preserve"> or</w:t>
      </w:r>
      <w:r w:rsidR="00BE6409">
        <w:t xml:space="preserve"> where there are</w:t>
      </w:r>
      <w:r w:rsidR="00BE6409" w:rsidRPr="00CA6E3B">
        <w:t xml:space="preserve"> </w:t>
      </w:r>
      <w:r w:rsidR="00DB6905" w:rsidRPr="00CA6E3B">
        <w:t>not more than five occupants (other than the family of the proprietor) accommodated.</w:t>
      </w:r>
      <w:r w:rsidR="00547237">
        <w:rPr>
          <w:rStyle w:val="FootnoteReference"/>
        </w:rPr>
        <w:footnoteReference w:id="26"/>
      </w:r>
      <w:r w:rsidR="00DB6905" w:rsidRPr="00CA6E3B">
        <w:t xml:space="preserve"> </w:t>
      </w:r>
      <w:r w:rsidR="005E7A45">
        <w:t>T</w:t>
      </w:r>
      <w:r w:rsidR="003D610D">
        <w:t xml:space="preserve">here are differing views in the sector as to what constitutes </w:t>
      </w:r>
      <w:r w:rsidR="00BC3523">
        <w:t>‘</w:t>
      </w:r>
      <w:r w:rsidR="003D610D">
        <w:t>exclusive occupation</w:t>
      </w:r>
      <w:r w:rsidR="00BC3523">
        <w:t xml:space="preserve">’, however, </w:t>
      </w:r>
      <w:r w:rsidR="00BC3523" w:rsidRPr="00DC59A9">
        <w:t xml:space="preserve">and this can lead to inconsistencies in the regulation of </w:t>
      </w:r>
      <w:r w:rsidR="00BC3523">
        <w:t>like</w:t>
      </w:r>
      <w:r w:rsidR="00BC3523" w:rsidRPr="00DC59A9">
        <w:t xml:space="preserve"> forms of occupation</w:t>
      </w:r>
      <w:r w:rsidR="00BC3523">
        <w:t xml:space="preserve"> and uncertainty for accommodation providers</w:t>
      </w:r>
      <w:r w:rsidR="003D610D">
        <w:t>.</w:t>
      </w:r>
      <w:r w:rsidR="004E4936">
        <w:rPr>
          <w:rStyle w:val="FootnoteReference"/>
        </w:rPr>
        <w:footnoteReference w:id="27"/>
      </w:r>
    </w:p>
    <w:p w14:paraId="703985D0" w14:textId="04193C2C" w:rsidR="0002156C" w:rsidRDefault="0002156C" w:rsidP="0002156C">
      <w:r>
        <w:t>In 2019, it was estimated that around 4% of Australia’s housing stock, or around 33,000 Victorian properties, were listed on Airbnb</w:t>
      </w:r>
      <w:r w:rsidR="00992347">
        <w:t xml:space="preserve"> (see </w:t>
      </w:r>
      <w:r w:rsidR="00D329B8">
        <w:lastRenderedPageBreak/>
        <w:fldChar w:fldCharType="begin"/>
      </w:r>
      <w:r w:rsidR="00D329B8">
        <w:instrText xml:space="preserve"> REF _Ref49855214 \h </w:instrText>
      </w:r>
      <w:r w:rsidR="00D329B8">
        <w:fldChar w:fldCharType="separate"/>
      </w:r>
      <w:r w:rsidR="00795309">
        <w:rPr>
          <w:noProof/>
          <w:lang w:eastAsia="en-AU"/>
        </w:rPr>
        <w:drawing>
          <wp:inline distT="0" distB="0" distL="0" distR="0" wp14:anchorId="62E6F136" wp14:editId="50C080C7">
            <wp:extent cx="5755005" cy="2910840"/>
            <wp:effectExtent l="0" t="0" r="0" b="3810"/>
            <wp:docPr id="5" name="Chart 5" descr="This graph is described in the previous paragraph.">
              <a:extLst xmlns:a="http://schemas.openxmlformats.org/drawingml/2006/main">
                <a:ext uri="{FF2B5EF4-FFF2-40B4-BE49-F238E27FC236}">
                  <a16:creationId xmlns:a16="http://schemas.microsoft.com/office/drawing/2014/main" id="{FC12E6B4-E80F-4885-BA79-E34894C4E3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D329B8">
        <w:fldChar w:fldCharType="end"/>
      </w:r>
      <w:r w:rsidR="00D329B8">
        <w:t>, below)</w:t>
      </w:r>
      <w:r>
        <w:t>.</w:t>
      </w:r>
      <w:r>
        <w:rPr>
          <w:rStyle w:val="FootnoteReference"/>
        </w:rPr>
        <w:footnoteReference w:id="28"/>
      </w:r>
      <w:r>
        <w:t xml:space="preserve"> While the majority (74%) of national listings in February 2019 were for private homes or apartments, there were also listings for private rooms (25%) and shared rooms (1%).</w:t>
      </w:r>
      <w:r>
        <w:rPr>
          <w:rStyle w:val="FootnoteReference"/>
        </w:rPr>
        <w:footnoteReference w:id="29"/>
      </w:r>
      <w:r>
        <w:t xml:space="preserve"> Data for other short stay accommodation providers is not available. </w:t>
      </w:r>
    </w:p>
    <w:p w14:paraId="5608B901" w14:textId="6F26989E" w:rsidR="00366746" w:rsidRDefault="00366746" w:rsidP="0002156C">
      <w:r>
        <w:t xml:space="preserve">Figure </w:t>
      </w:r>
      <w:r>
        <w:fldChar w:fldCharType="begin"/>
      </w:r>
      <w:r>
        <w:instrText xml:space="preserve"> STYLEREF 1 \s </w:instrText>
      </w:r>
      <w:r>
        <w:fldChar w:fldCharType="separate"/>
      </w:r>
      <w:r w:rsidR="00795309">
        <w:rPr>
          <w:noProof/>
        </w:rPr>
        <w:t>2</w:t>
      </w:r>
      <w:r>
        <w:rPr>
          <w:noProof/>
        </w:rPr>
        <w:fldChar w:fldCharType="end"/>
      </w:r>
      <w:r>
        <w:t>.</w:t>
      </w:r>
      <w:r>
        <w:fldChar w:fldCharType="begin"/>
      </w:r>
      <w:r>
        <w:instrText xml:space="preserve"> SEQ Figure \* ARABIC \s 1 </w:instrText>
      </w:r>
      <w:r>
        <w:fldChar w:fldCharType="separate"/>
      </w:r>
      <w:r w:rsidR="00795309">
        <w:rPr>
          <w:noProof/>
        </w:rPr>
        <w:t>1</w:t>
      </w:r>
      <w:r>
        <w:rPr>
          <w:noProof/>
        </w:rPr>
        <w:fldChar w:fldCharType="end"/>
      </w:r>
      <w:r>
        <w:t xml:space="preserve"> Monthly Airbnb listings in Victoria</w:t>
      </w:r>
    </w:p>
    <w:p w14:paraId="69CF6742" w14:textId="430601D1" w:rsidR="0002156C" w:rsidRDefault="0002156C" w:rsidP="0002156C">
      <w:pPr>
        <w:pStyle w:val="Caption"/>
      </w:pPr>
      <w:bookmarkStart w:id="142" w:name="_Ref49855214"/>
      <w:bookmarkStart w:id="143" w:name="_Ref49855210"/>
      <w:r>
        <w:rPr>
          <w:noProof/>
          <w:lang w:eastAsia="en-AU"/>
        </w:rPr>
        <w:drawing>
          <wp:inline distT="0" distB="0" distL="0" distR="0" wp14:anchorId="01A6B95E" wp14:editId="3641DB6C">
            <wp:extent cx="5755005" cy="2910840"/>
            <wp:effectExtent l="0" t="0" r="0" b="3810"/>
            <wp:docPr id="12" name="Chart 12" descr="This graph is described in the previous paragraph.">
              <a:extLst xmlns:a="http://schemas.openxmlformats.org/drawingml/2006/main">
                <a:ext uri="{FF2B5EF4-FFF2-40B4-BE49-F238E27FC236}">
                  <a16:creationId xmlns:a16="http://schemas.microsoft.com/office/drawing/2014/main" id="{FC12E6B4-E80F-4885-BA79-E34894C4E3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bookmarkEnd w:id="142"/>
      <w:bookmarkEnd w:id="143"/>
    </w:p>
    <w:p w14:paraId="54B941FE" w14:textId="49E25A82" w:rsidR="0002156C" w:rsidRDefault="0002156C" w:rsidP="0002156C">
      <w:pPr>
        <w:pStyle w:val="FootnoteText"/>
      </w:pPr>
      <w:r>
        <w:t xml:space="preserve">Source: Data provided by Airdna retrieved from The Conversation. (2020). </w:t>
      </w:r>
      <w:r w:rsidRPr="00F0077F">
        <w:rPr>
          <w:i/>
          <w:iCs/>
        </w:rPr>
        <w:t>Ever wondered how many Airbnbs Australia has and where they all are? We have the answers</w:t>
      </w:r>
      <w:r w:rsidR="00BC7BC9" w:rsidRPr="00F0077F">
        <w:rPr>
          <w:i/>
          <w:iCs/>
        </w:rPr>
        <w:t>.</w:t>
      </w:r>
    </w:p>
    <w:p w14:paraId="62258024" w14:textId="77777777" w:rsidR="0002156C" w:rsidRDefault="0002156C" w:rsidP="0002156C"/>
    <w:p w14:paraId="212A4317" w14:textId="640358A7" w:rsidR="0002156C" w:rsidRDefault="0002156C" w:rsidP="0002156C">
      <w:r>
        <w:t xml:space="preserve">There are concerns about </w:t>
      </w:r>
      <w:r w:rsidR="00D350E1">
        <w:t xml:space="preserve">the disorderly behaviour of occupants of some forms of ‘short stay’ accommodation in the </w:t>
      </w:r>
      <w:r>
        <w:t>share economy</w:t>
      </w:r>
      <w:r w:rsidR="00D350E1">
        <w:t>, for example where occupants host unruly parties</w:t>
      </w:r>
      <w:r>
        <w:t xml:space="preserve">. This </w:t>
      </w:r>
      <w:r>
        <w:lastRenderedPageBreak/>
        <w:t xml:space="preserve">concern however focuses on the behaviour of </w:t>
      </w:r>
      <w:r w:rsidR="000B214D">
        <w:t>short term</w:t>
      </w:r>
      <w:r w:rsidR="00153A8D">
        <w:t xml:space="preserve"> </w:t>
      </w:r>
      <w:r>
        <w:t xml:space="preserve">occupants more in terms of public nuisance rather than public health. The issue was addressed in recent reforms in the </w:t>
      </w:r>
      <w:r>
        <w:rPr>
          <w:i/>
          <w:iCs/>
        </w:rPr>
        <w:t>Owners Corporations Amendment (Short-stay Accommodation) Act 2018</w:t>
      </w:r>
      <w:r>
        <w:t xml:space="preserve"> which came into effect in February 2019. It amended the Owners Corporation Act 2006 to help prevent short term accommodation apartment buildings being used to host unruly parties. The reforms apply to short-stay accommodation affected by an owners corporation. As discussed in Chapter 1, a post implementation review of the Owners Corporations Amendment (Short-stay Accommodation) Act will be undertaken by DJCS. </w:t>
      </w:r>
    </w:p>
    <w:p w14:paraId="67ECC452" w14:textId="17A8CA90" w:rsidR="00F129DF" w:rsidRDefault="00F129DF" w:rsidP="00F129DF">
      <w:pPr>
        <w:pStyle w:val="Heading2"/>
      </w:pPr>
      <w:bookmarkStart w:id="144" w:name="_Toc48638266"/>
      <w:bookmarkStart w:id="145" w:name="_Toc48638268"/>
      <w:bookmarkStart w:id="146" w:name="_Toc48638269"/>
      <w:bookmarkStart w:id="147" w:name="_Toc48638270"/>
      <w:bookmarkStart w:id="148" w:name="_Toc48638271"/>
      <w:bookmarkStart w:id="149" w:name="_Toc49460290"/>
      <w:bookmarkEnd w:id="144"/>
      <w:bookmarkEnd w:id="145"/>
      <w:bookmarkEnd w:id="146"/>
      <w:bookmarkEnd w:id="147"/>
      <w:r>
        <w:t>Size of the prescribed accommodation sector – background to problem analysis</w:t>
      </w:r>
    </w:p>
    <w:p w14:paraId="0BB180ED" w14:textId="2A7B284D" w:rsidR="00F129DF" w:rsidRPr="0002156C" w:rsidRDefault="00F129DF" w:rsidP="00F129DF">
      <w:r>
        <w:t>This section outlines the number of prescribed accommodation facilities in Victoria and how many occupants reside in the various types of prescribed accommodation.</w:t>
      </w:r>
    </w:p>
    <w:p w14:paraId="528AAA3C" w14:textId="2D4C37CE" w:rsidR="00F129DF" w:rsidRPr="007342FD" w:rsidRDefault="00F129DF" w:rsidP="00F129DF">
      <w:pPr>
        <w:pStyle w:val="Heading3"/>
      </w:pPr>
      <w:r w:rsidRPr="007342FD">
        <w:t xml:space="preserve">Number of </w:t>
      </w:r>
      <w:r w:rsidRPr="00CC4B17">
        <w:t xml:space="preserve">prescribed accommodation </w:t>
      </w:r>
      <w:r>
        <w:t>facilities</w:t>
      </w:r>
    </w:p>
    <w:p w14:paraId="1D02CC88" w14:textId="280888B8" w:rsidR="00F129DF" w:rsidRDefault="00F129DF" w:rsidP="00F129DF">
      <w:r>
        <w:t>In 2018</w:t>
      </w:r>
      <w:r w:rsidRPr="00B15772">
        <w:t>, there were 4,823 prescribed accommodation facilities throughout Victoria.</w:t>
      </w:r>
      <w:r w:rsidRPr="00B15772">
        <w:rPr>
          <w:rStyle w:val="FootnoteReference"/>
        </w:rPr>
        <w:footnoteReference w:id="30"/>
      </w:r>
      <w:r w:rsidRPr="00B15772">
        <w:t xml:space="preserve"> Residential accommodation was the largest subsector with 1,517 accommodation facilities</w:t>
      </w:r>
      <w:r>
        <w:t xml:space="preserve"> registered across the state accounting for 31% of the market</w:t>
      </w:r>
      <w:r w:rsidR="00795309">
        <w:t xml:space="preserve"> (see </w:t>
      </w:r>
      <w:r w:rsidR="00FB6248">
        <w:t>f</w:t>
      </w:r>
      <w:r w:rsidR="00795309">
        <w:t xml:space="preserve">igure 2.2, below). </w:t>
      </w:r>
      <w:r>
        <w:t>Rooming houses (1,305) and hotels and motels (1,309) each accounted for around 27% of the sector. Hostels, student dormitories and holiday camps together accounted for around 14% of the market.</w:t>
      </w:r>
    </w:p>
    <w:p w14:paraId="13A66B89" w14:textId="263B2344" w:rsidR="00366746" w:rsidRDefault="00366746" w:rsidP="00366746">
      <w:pPr>
        <w:pStyle w:val="Caption"/>
      </w:pPr>
      <w:r>
        <w:t xml:space="preserve">Figure </w:t>
      </w:r>
      <w:r>
        <w:fldChar w:fldCharType="begin"/>
      </w:r>
      <w:r>
        <w:instrText xml:space="preserve"> STYLEREF 1 \s </w:instrText>
      </w:r>
      <w:r>
        <w:fldChar w:fldCharType="separate"/>
      </w:r>
      <w:r w:rsidR="00795309">
        <w:rPr>
          <w:noProof/>
        </w:rPr>
        <w:t>2</w:t>
      </w:r>
      <w:r>
        <w:fldChar w:fldCharType="end"/>
      </w:r>
      <w:r>
        <w:t>.</w:t>
      </w:r>
      <w:r>
        <w:fldChar w:fldCharType="begin"/>
      </w:r>
      <w:r>
        <w:instrText xml:space="preserve"> SEQ Figure \* ARABIC \s 1 </w:instrText>
      </w:r>
      <w:r>
        <w:fldChar w:fldCharType="separate"/>
      </w:r>
      <w:r w:rsidR="00795309">
        <w:rPr>
          <w:noProof/>
        </w:rPr>
        <w:t>2</w:t>
      </w:r>
      <w:r>
        <w:fldChar w:fldCharType="end"/>
      </w:r>
      <w:r>
        <w:t xml:space="preserve"> Composition of the prescribed accommodation sector</w:t>
      </w:r>
    </w:p>
    <w:p w14:paraId="4278B617" w14:textId="77777777" w:rsidR="00366746" w:rsidRDefault="00F129DF" w:rsidP="00F129DF">
      <w:pPr>
        <w:pStyle w:val="Caption"/>
      </w:pPr>
      <w:r>
        <w:rPr>
          <w:noProof/>
          <w:lang w:eastAsia="en-AU"/>
        </w:rPr>
        <w:drawing>
          <wp:inline distT="0" distB="0" distL="0" distR="0" wp14:anchorId="5EA45450" wp14:editId="27E476AE">
            <wp:extent cx="3444240" cy="2304415"/>
            <wp:effectExtent l="0" t="0" r="3810" b="635"/>
            <wp:docPr id="1" name="Chart 1" descr="This graph is described in the previous paragraph."/>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4CABDDC" w14:textId="24E2585E" w:rsidR="00F129DF" w:rsidRDefault="00F129DF" w:rsidP="00F129DF">
      <w:pPr>
        <w:pStyle w:val="FootnoteText"/>
      </w:pPr>
      <w:r>
        <w:t xml:space="preserve">Source: Data provided by DHHS for the purposes of the RIS. </w:t>
      </w:r>
    </w:p>
    <w:p w14:paraId="20E294D7" w14:textId="1A64CC91" w:rsidR="00F129DF" w:rsidRDefault="00F129DF" w:rsidP="00F129DF">
      <w:pPr>
        <w:pStyle w:val="FootnoteText"/>
      </w:pPr>
    </w:p>
    <w:p w14:paraId="2F74AF95" w14:textId="617DC5B6" w:rsidR="00F129DF" w:rsidRDefault="00F129DF" w:rsidP="00F129DF">
      <w:r>
        <w:t>A significant proportion (or 42%) of Victoria’s registered prescribed accommodation is located within major Victorian cities although a large proportion is also represented in Inner Regional Victoria (30%).</w:t>
      </w:r>
      <w:r>
        <w:rPr>
          <w:rStyle w:val="FootnoteReference"/>
        </w:rPr>
        <w:footnoteReference w:id="31"/>
      </w:r>
      <w:r>
        <w:t xml:space="preserve"> </w:t>
      </w:r>
    </w:p>
    <w:p w14:paraId="556A493F" w14:textId="65284BF1" w:rsidR="00F129DF" w:rsidRDefault="00F129DF" w:rsidP="00F129DF">
      <w:pPr>
        <w:spacing w:after="0" w:line="240" w:lineRule="auto"/>
        <w:rPr>
          <w:rFonts w:ascii="Times New Roman" w:hAnsi="Times New Roman" w:cs="Times New Roman"/>
          <w:sz w:val="24"/>
          <w:szCs w:val="24"/>
          <w:lang w:eastAsia="en-AU"/>
        </w:rPr>
      </w:pPr>
      <w:r>
        <w:t>Rooming houses and student dormitories are generally located within Victoria’s major cities reflecting the need for more affordable accommodation. 56% of Victoria’s rooming houses are located within the Monash, Greater Dandenong and Greater Geelong Councils.</w:t>
      </w:r>
      <w:r>
        <w:rPr>
          <w:rStyle w:val="FootnoteReference"/>
        </w:rPr>
        <w:footnoteReference w:id="32"/>
      </w:r>
      <w:r>
        <w:t xml:space="preserve"> Similarly, 46% of student dorms are located in Darebin, Melbourne and Monash City Council. Hostels, holiday camps, residential accommodation, hotels and motels predominantly are located within Inner Regional Victoria. This reflects these areas being, in part, popular holiday destinations.</w:t>
      </w:r>
      <w:r>
        <w:rPr>
          <w:rFonts w:ascii="Times New Roman" w:hAnsi="Times New Roman" w:cs="Times New Roman"/>
          <w:sz w:val="24"/>
          <w:szCs w:val="24"/>
          <w:lang w:eastAsia="en-AU"/>
        </w:rPr>
        <w:t xml:space="preserve"> </w:t>
      </w:r>
    </w:p>
    <w:p w14:paraId="273E69DD" w14:textId="7E28EB3C" w:rsidR="00F129DF" w:rsidRDefault="00F129DF" w:rsidP="00F129DF">
      <w:pPr>
        <w:pStyle w:val="Caption"/>
      </w:pPr>
      <w:r>
        <w:lastRenderedPageBreak/>
        <w:t xml:space="preserve">Table </w:t>
      </w:r>
      <w:r>
        <w:fldChar w:fldCharType="begin"/>
      </w:r>
      <w:r>
        <w:instrText xml:space="preserve"> STYLEREF 1 \s </w:instrText>
      </w:r>
      <w:r>
        <w:fldChar w:fldCharType="separate"/>
      </w:r>
      <w:r w:rsidR="00795309">
        <w:rPr>
          <w:noProof/>
        </w:rPr>
        <w:t>2</w:t>
      </w:r>
      <w:r>
        <w:fldChar w:fldCharType="end"/>
      </w:r>
      <w:r>
        <w:noBreakHyphen/>
      </w:r>
      <w:r>
        <w:fldChar w:fldCharType="begin"/>
      </w:r>
      <w:r>
        <w:instrText xml:space="preserve"> SEQ Table \* ARABIC \s 1 </w:instrText>
      </w:r>
      <w:r>
        <w:fldChar w:fldCharType="separate"/>
      </w:r>
      <w:r w:rsidR="00795309">
        <w:rPr>
          <w:noProof/>
        </w:rPr>
        <w:t>1</w:t>
      </w:r>
      <w:r>
        <w:fldChar w:fldCharType="end"/>
      </w:r>
      <w:r>
        <w:t xml:space="preserve"> Geographical location of prescribed accommodation subsectors</w:t>
      </w:r>
    </w:p>
    <w:tbl>
      <w:tblPr>
        <w:tblStyle w:val="Deloittetable"/>
        <w:tblW w:w="9396" w:type="dxa"/>
        <w:tblLook w:val="04A0" w:firstRow="1" w:lastRow="0" w:firstColumn="1" w:lastColumn="0" w:noHBand="0" w:noVBand="1"/>
      </w:tblPr>
      <w:tblGrid>
        <w:gridCol w:w="1844"/>
        <w:gridCol w:w="1624"/>
        <w:gridCol w:w="1976"/>
        <w:gridCol w:w="1976"/>
        <w:gridCol w:w="1976"/>
      </w:tblGrid>
      <w:tr w:rsidR="001170EE" w14:paraId="3FEB0AE4" w14:textId="77777777" w:rsidTr="001170EE">
        <w:trPr>
          <w:cnfStyle w:val="100000000000" w:firstRow="1" w:lastRow="0" w:firstColumn="0" w:lastColumn="0" w:oddVBand="0" w:evenVBand="0" w:oddHBand="0" w:evenHBand="0" w:firstRowFirstColumn="0" w:firstRowLastColumn="0" w:lastRowFirstColumn="0" w:lastRowLastColumn="0"/>
          <w:trHeight w:hRule="exact" w:val="397"/>
        </w:trPr>
        <w:tc>
          <w:tcPr>
            <w:tcW w:w="1844" w:type="dxa"/>
            <w:hideMark/>
          </w:tcPr>
          <w:p w14:paraId="1D07A1EA" w14:textId="08896577" w:rsidR="001170EE" w:rsidRDefault="001170EE" w:rsidP="001170EE">
            <w:pPr>
              <w:rPr>
                <w:b/>
                <w:lang w:val="en-GB"/>
              </w:rPr>
            </w:pPr>
            <w:r>
              <w:rPr>
                <w:b/>
                <w:lang w:val="en-GB"/>
              </w:rPr>
              <w:t>Type</w:t>
            </w:r>
          </w:p>
        </w:tc>
        <w:tc>
          <w:tcPr>
            <w:tcW w:w="1624" w:type="dxa"/>
            <w:hideMark/>
          </w:tcPr>
          <w:p w14:paraId="48DB49CD" w14:textId="77777777" w:rsidR="001170EE" w:rsidRDefault="001170EE" w:rsidP="001170EE">
            <w:pPr>
              <w:rPr>
                <w:b/>
                <w:lang w:val="en-GB"/>
              </w:rPr>
            </w:pPr>
            <w:r>
              <w:rPr>
                <w:b/>
                <w:lang w:val="en-GB"/>
              </w:rPr>
              <w:t>Major cities</w:t>
            </w:r>
          </w:p>
        </w:tc>
        <w:tc>
          <w:tcPr>
            <w:tcW w:w="1976" w:type="dxa"/>
          </w:tcPr>
          <w:p w14:paraId="348D8116" w14:textId="18E2D3C8" w:rsidR="001170EE" w:rsidRDefault="001170EE" w:rsidP="001170EE">
            <w:pPr>
              <w:rPr>
                <w:b/>
                <w:lang w:val="en-GB"/>
              </w:rPr>
            </w:pPr>
            <w:r>
              <w:rPr>
                <w:b/>
                <w:lang w:val="en-GB"/>
              </w:rPr>
              <w:t xml:space="preserve">Inner Regional </w:t>
            </w:r>
          </w:p>
        </w:tc>
        <w:tc>
          <w:tcPr>
            <w:tcW w:w="1976" w:type="dxa"/>
          </w:tcPr>
          <w:p w14:paraId="36790E7F" w14:textId="0CC7D982" w:rsidR="001170EE" w:rsidRDefault="001170EE" w:rsidP="001170EE">
            <w:pPr>
              <w:rPr>
                <w:b/>
                <w:lang w:val="en-GB"/>
              </w:rPr>
            </w:pPr>
            <w:r>
              <w:rPr>
                <w:b/>
                <w:lang w:val="en-GB"/>
              </w:rPr>
              <w:t xml:space="preserve">Outer Regional </w:t>
            </w:r>
          </w:p>
        </w:tc>
        <w:tc>
          <w:tcPr>
            <w:tcW w:w="1976" w:type="dxa"/>
            <w:hideMark/>
          </w:tcPr>
          <w:p w14:paraId="1FAB155E" w14:textId="507513F3" w:rsidR="001170EE" w:rsidRDefault="001170EE" w:rsidP="001170EE">
            <w:pPr>
              <w:rPr>
                <w:b/>
                <w:lang w:val="en-GB"/>
              </w:rPr>
            </w:pPr>
            <w:r>
              <w:rPr>
                <w:b/>
                <w:lang w:val="en-GB"/>
              </w:rPr>
              <w:t>Total</w:t>
            </w:r>
          </w:p>
        </w:tc>
      </w:tr>
      <w:tr w:rsidR="001170EE" w14:paraId="2A2098E8" w14:textId="77777777" w:rsidTr="001170EE">
        <w:trPr>
          <w:trHeight w:val="41"/>
        </w:trPr>
        <w:tc>
          <w:tcPr>
            <w:tcW w:w="1844" w:type="dxa"/>
            <w:hideMark/>
          </w:tcPr>
          <w:p w14:paraId="370DB2E2" w14:textId="4FEE53E1" w:rsidR="001170EE" w:rsidRDefault="001170EE" w:rsidP="001170EE">
            <w:pPr>
              <w:spacing w:after="0"/>
              <w:rPr>
                <w:rFonts w:asciiTheme="majorHAnsi" w:hAnsiTheme="majorHAnsi"/>
                <w:sz w:val="18"/>
                <w:lang w:val="en-GB"/>
              </w:rPr>
            </w:pPr>
            <w:r>
              <w:rPr>
                <w:rFonts w:asciiTheme="majorHAnsi" w:hAnsiTheme="majorHAnsi"/>
                <w:sz w:val="18"/>
                <w:lang w:val="en-GB"/>
              </w:rPr>
              <w:t>Residential accommodation</w:t>
            </w:r>
          </w:p>
        </w:tc>
        <w:tc>
          <w:tcPr>
            <w:tcW w:w="1624" w:type="dxa"/>
            <w:hideMark/>
          </w:tcPr>
          <w:p w14:paraId="23944AB7" w14:textId="77777777" w:rsidR="001170EE" w:rsidRDefault="001170EE" w:rsidP="001170EE">
            <w:pPr>
              <w:spacing w:after="0"/>
              <w:rPr>
                <w:rFonts w:asciiTheme="majorHAnsi" w:hAnsiTheme="majorHAnsi"/>
                <w:sz w:val="18"/>
                <w:lang w:val="en-GB"/>
              </w:rPr>
            </w:pPr>
            <w:r>
              <w:rPr>
                <w:rFonts w:asciiTheme="majorHAnsi" w:hAnsiTheme="majorHAnsi"/>
                <w:sz w:val="18"/>
                <w:lang w:val="en-GB"/>
              </w:rPr>
              <w:t>174</w:t>
            </w:r>
          </w:p>
          <w:p w14:paraId="0B031451" w14:textId="77777777" w:rsidR="001170EE" w:rsidRDefault="001170EE" w:rsidP="001170EE">
            <w:pPr>
              <w:spacing w:after="0"/>
              <w:rPr>
                <w:rFonts w:asciiTheme="majorHAnsi" w:hAnsiTheme="majorHAnsi"/>
                <w:sz w:val="18"/>
                <w:lang w:val="en-GB"/>
              </w:rPr>
            </w:pPr>
            <w:r>
              <w:rPr>
                <w:rFonts w:asciiTheme="majorHAnsi" w:hAnsiTheme="majorHAnsi"/>
                <w:sz w:val="18"/>
                <w:lang w:val="en-GB"/>
              </w:rPr>
              <w:t>11.5%</w:t>
            </w:r>
          </w:p>
        </w:tc>
        <w:tc>
          <w:tcPr>
            <w:tcW w:w="1976" w:type="dxa"/>
          </w:tcPr>
          <w:p w14:paraId="3C498D67" w14:textId="77777777" w:rsidR="001170EE" w:rsidRDefault="001170EE" w:rsidP="001170EE">
            <w:pPr>
              <w:spacing w:after="0"/>
              <w:rPr>
                <w:rFonts w:asciiTheme="majorHAnsi" w:hAnsiTheme="majorHAnsi"/>
                <w:sz w:val="18"/>
                <w:lang w:val="en-GB"/>
              </w:rPr>
            </w:pPr>
            <w:r>
              <w:rPr>
                <w:rFonts w:asciiTheme="majorHAnsi" w:hAnsiTheme="majorHAnsi"/>
                <w:sz w:val="18"/>
                <w:lang w:val="en-GB"/>
              </w:rPr>
              <w:t>1,255</w:t>
            </w:r>
          </w:p>
          <w:p w14:paraId="12C3F910" w14:textId="6CC28181" w:rsidR="001170EE" w:rsidRDefault="001170EE" w:rsidP="001170EE">
            <w:pPr>
              <w:spacing w:after="0"/>
              <w:rPr>
                <w:rFonts w:asciiTheme="majorHAnsi" w:hAnsiTheme="majorHAnsi"/>
                <w:lang w:val="en-GB"/>
              </w:rPr>
            </w:pPr>
            <w:r w:rsidRPr="00F0077F">
              <w:rPr>
                <w:rFonts w:asciiTheme="majorHAnsi" w:hAnsiTheme="majorHAnsi"/>
                <w:lang w:val="en-GB"/>
              </w:rPr>
              <w:t>82</w:t>
            </w:r>
            <w:r w:rsidRPr="00733483">
              <w:rPr>
                <w:rFonts w:asciiTheme="majorHAnsi" w:hAnsiTheme="majorHAnsi"/>
                <w:sz w:val="18"/>
                <w:lang w:val="en-GB"/>
              </w:rPr>
              <w:t>.</w:t>
            </w:r>
            <w:r w:rsidRPr="00F0077F">
              <w:rPr>
                <w:rFonts w:asciiTheme="majorHAnsi" w:hAnsiTheme="majorHAnsi"/>
                <w:lang w:val="en-GB"/>
              </w:rPr>
              <w:t>7</w:t>
            </w:r>
            <w:r>
              <w:rPr>
                <w:rFonts w:asciiTheme="majorHAnsi" w:hAnsiTheme="majorHAnsi"/>
                <w:sz w:val="18"/>
                <w:lang w:val="en-GB"/>
              </w:rPr>
              <w:t>%</w:t>
            </w:r>
          </w:p>
        </w:tc>
        <w:tc>
          <w:tcPr>
            <w:tcW w:w="1976" w:type="dxa"/>
          </w:tcPr>
          <w:p w14:paraId="69F008A5" w14:textId="77777777" w:rsidR="001170EE" w:rsidRDefault="001170EE" w:rsidP="001170EE">
            <w:pPr>
              <w:spacing w:after="0"/>
              <w:rPr>
                <w:rFonts w:asciiTheme="majorHAnsi" w:hAnsiTheme="majorHAnsi"/>
                <w:sz w:val="18"/>
                <w:lang w:val="en-GB"/>
              </w:rPr>
            </w:pPr>
            <w:r>
              <w:rPr>
                <w:rFonts w:asciiTheme="majorHAnsi" w:hAnsiTheme="majorHAnsi"/>
                <w:sz w:val="18"/>
                <w:lang w:val="en-GB"/>
              </w:rPr>
              <w:t>88</w:t>
            </w:r>
          </w:p>
          <w:p w14:paraId="4171B545" w14:textId="38889987" w:rsidR="001170EE" w:rsidRDefault="001170EE" w:rsidP="001170EE">
            <w:pPr>
              <w:spacing w:after="0"/>
              <w:rPr>
                <w:rFonts w:asciiTheme="majorHAnsi" w:hAnsiTheme="majorHAnsi"/>
                <w:lang w:val="en-GB"/>
              </w:rPr>
            </w:pPr>
            <w:r>
              <w:rPr>
                <w:rFonts w:asciiTheme="majorHAnsi" w:hAnsiTheme="majorHAnsi"/>
                <w:sz w:val="18"/>
                <w:lang w:val="en-GB"/>
              </w:rPr>
              <w:t>5.8%</w:t>
            </w:r>
          </w:p>
        </w:tc>
        <w:tc>
          <w:tcPr>
            <w:tcW w:w="1976" w:type="dxa"/>
            <w:hideMark/>
          </w:tcPr>
          <w:p w14:paraId="7BD14E72" w14:textId="149488FA" w:rsidR="001170EE" w:rsidRDefault="001170EE" w:rsidP="001170EE">
            <w:pPr>
              <w:spacing w:after="0"/>
              <w:rPr>
                <w:rFonts w:asciiTheme="majorHAnsi" w:hAnsiTheme="majorHAnsi"/>
                <w:sz w:val="18"/>
                <w:lang w:val="en-GB"/>
              </w:rPr>
            </w:pPr>
            <w:r>
              <w:rPr>
                <w:rFonts w:asciiTheme="majorHAnsi" w:hAnsiTheme="majorHAnsi"/>
                <w:sz w:val="18"/>
                <w:lang w:val="en-GB"/>
              </w:rPr>
              <w:t>1,517</w:t>
            </w:r>
          </w:p>
        </w:tc>
      </w:tr>
      <w:tr w:rsidR="001170EE" w14:paraId="1E91FBF8" w14:textId="77777777" w:rsidTr="001170EE">
        <w:trPr>
          <w:trHeight w:hRule="exact" w:val="510"/>
        </w:trPr>
        <w:tc>
          <w:tcPr>
            <w:tcW w:w="1844" w:type="dxa"/>
            <w:hideMark/>
          </w:tcPr>
          <w:p w14:paraId="3F96BFDE" w14:textId="79127141" w:rsidR="001170EE" w:rsidRDefault="001170EE" w:rsidP="001170EE">
            <w:pPr>
              <w:spacing w:after="0"/>
              <w:rPr>
                <w:rFonts w:asciiTheme="majorHAnsi" w:hAnsiTheme="majorHAnsi"/>
                <w:sz w:val="18"/>
                <w:lang w:val="en-GB"/>
              </w:rPr>
            </w:pPr>
            <w:r>
              <w:rPr>
                <w:rFonts w:asciiTheme="majorHAnsi" w:hAnsiTheme="majorHAnsi"/>
                <w:sz w:val="18"/>
                <w:lang w:val="en-GB"/>
              </w:rPr>
              <w:t>Hotels &amp; motels</w:t>
            </w:r>
          </w:p>
        </w:tc>
        <w:tc>
          <w:tcPr>
            <w:tcW w:w="1624" w:type="dxa"/>
            <w:hideMark/>
          </w:tcPr>
          <w:p w14:paraId="154B7B59" w14:textId="77777777" w:rsidR="001170EE" w:rsidRDefault="001170EE" w:rsidP="001170EE">
            <w:pPr>
              <w:spacing w:after="0"/>
              <w:rPr>
                <w:rFonts w:asciiTheme="majorHAnsi" w:hAnsiTheme="majorHAnsi"/>
                <w:sz w:val="18"/>
                <w:lang w:val="en-GB"/>
              </w:rPr>
            </w:pPr>
            <w:r>
              <w:rPr>
                <w:rFonts w:asciiTheme="majorHAnsi" w:hAnsiTheme="majorHAnsi"/>
                <w:sz w:val="18"/>
                <w:lang w:val="en-GB"/>
              </w:rPr>
              <w:t>434</w:t>
            </w:r>
          </w:p>
          <w:p w14:paraId="0BC7B4B1" w14:textId="77777777" w:rsidR="001170EE" w:rsidRDefault="001170EE" w:rsidP="001170EE">
            <w:pPr>
              <w:spacing w:after="0"/>
              <w:rPr>
                <w:rFonts w:asciiTheme="majorHAnsi" w:hAnsiTheme="majorHAnsi"/>
                <w:sz w:val="18"/>
                <w:lang w:val="en-GB"/>
              </w:rPr>
            </w:pPr>
            <w:r>
              <w:rPr>
                <w:rFonts w:asciiTheme="majorHAnsi" w:hAnsiTheme="majorHAnsi"/>
                <w:sz w:val="18"/>
                <w:lang w:val="en-GB"/>
              </w:rPr>
              <w:t>33.1%</w:t>
            </w:r>
          </w:p>
        </w:tc>
        <w:tc>
          <w:tcPr>
            <w:tcW w:w="1976" w:type="dxa"/>
          </w:tcPr>
          <w:p w14:paraId="7F3569C9" w14:textId="77777777" w:rsidR="001170EE" w:rsidRDefault="001170EE" w:rsidP="001170EE">
            <w:pPr>
              <w:spacing w:after="0"/>
              <w:rPr>
                <w:rFonts w:asciiTheme="majorHAnsi" w:hAnsiTheme="majorHAnsi"/>
                <w:sz w:val="18"/>
                <w:lang w:val="en-GB"/>
              </w:rPr>
            </w:pPr>
            <w:r>
              <w:rPr>
                <w:rFonts w:asciiTheme="majorHAnsi" w:hAnsiTheme="majorHAnsi"/>
                <w:sz w:val="18"/>
                <w:lang w:val="en-GB"/>
              </w:rPr>
              <w:t>658</w:t>
            </w:r>
          </w:p>
          <w:p w14:paraId="6E7A8C1C" w14:textId="3F2834F0" w:rsidR="001170EE" w:rsidRDefault="001170EE" w:rsidP="001170EE">
            <w:pPr>
              <w:spacing w:after="0"/>
              <w:rPr>
                <w:rFonts w:asciiTheme="majorHAnsi" w:hAnsiTheme="majorHAnsi"/>
                <w:lang w:val="en-GB"/>
              </w:rPr>
            </w:pPr>
            <w:r>
              <w:rPr>
                <w:rFonts w:asciiTheme="majorHAnsi" w:hAnsiTheme="majorHAnsi"/>
                <w:sz w:val="18"/>
                <w:lang w:val="en-GB"/>
              </w:rPr>
              <w:t>50.3%</w:t>
            </w:r>
          </w:p>
        </w:tc>
        <w:tc>
          <w:tcPr>
            <w:tcW w:w="1976" w:type="dxa"/>
          </w:tcPr>
          <w:p w14:paraId="6B76A5FC" w14:textId="77777777" w:rsidR="001170EE" w:rsidRDefault="001170EE" w:rsidP="001170EE">
            <w:pPr>
              <w:spacing w:after="0"/>
              <w:rPr>
                <w:rFonts w:asciiTheme="majorHAnsi" w:hAnsiTheme="majorHAnsi"/>
                <w:sz w:val="18"/>
                <w:lang w:val="en-GB"/>
              </w:rPr>
            </w:pPr>
            <w:r>
              <w:rPr>
                <w:rFonts w:asciiTheme="majorHAnsi" w:hAnsiTheme="majorHAnsi"/>
                <w:sz w:val="18"/>
                <w:lang w:val="en-GB"/>
              </w:rPr>
              <w:t>217</w:t>
            </w:r>
          </w:p>
          <w:p w14:paraId="051C0560" w14:textId="41CA9B80" w:rsidR="001170EE" w:rsidRDefault="001170EE" w:rsidP="001170EE">
            <w:pPr>
              <w:spacing w:after="0"/>
              <w:rPr>
                <w:rFonts w:asciiTheme="majorHAnsi" w:hAnsiTheme="majorHAnsi"/>
                <w:lang w:val="en-GB"/>
              </w:rPr>
            </w:pPr>
            <w:r>
              <w:rPr>
                <w:rFonts w:asciiTheme="majorHAnsi" w:hAnsiTheme="majorHAnsi"/>
                <w:sz w:val="18"/>
                <w:lang w:val="en-GB"/>
              </w:rPr>
              <w:t>16.6%</w:t>
            </w:r>
          </w:p>
        </w:tc>
        <w:tc>
          <w:tcPr>
            <w:tcW w:w="1976" w:type="dxa"/>
            <w:hideMark/>
          </w:tcPr>
          <w:p w14:paraId="4565BA6A" w14:textId="3A827D87" w:rsidR="001170EE" w:rsidRDefault="001170EE" w:rsidP="001170EE">
            <w:pPr>
              <w:spacing w:after="0"/>
              <w:rPr>
                <w:rFonts w:asciiTheme="majorHAnsi" w:hAnsiTheme="majorHAnsi"/>
                <w:sz w:val="18"/>
                <w:lang w:val="en-GB"/>
              </w:rPr>
            </w:pPr>
            <w:r>
              <w:rPr>
                <w:rFonts w:asciiTheme="majorHAnsi" w:hAnsiTheme="majorHAnsi"/>
                <w:sz w:val="18"/>
                <w:lang w:val="en-GB"/>
              </w:rPr>
              <w:t>1,309</w:t>
            </w:r>
          </w:p>
        </w:tc>
      </w:tr>
      <w:tr w:rsidR="001170EE" w14:paraId="670B6F9A" w14:textId="77777777" w:rsidTr="001170EE">
        <w:trPr>
          <w:trHeight w:hRule="exact" w:val="510"/>
        </w:trPr>
        <w:tc>
          <w:tcPr>
            <w:tcW w:w="1844" w:type="dxa"/>
            <w:hideMark/>
          </w:tcPr>
          <w:p w14:paraId="617C109D" w14:textId="684CA52E" w:rsidR="001170EE" w:rsidRDefault="001170EE" w:rsidP="001170EE">
            <w:pPr>
              <w:spacing w:after="0"/>
              <w:rPr>
                <w:rFonts w:asciiTheme="majorHAnsi" w:hAnsiTheme="majorHAnsi"/>
                <w:sz w:val="18"/>
                <w:lang w:val="en-GB"/>
              </w:rPr>
            </w:pPr>
            <w:r>
              <w:rPr>
                <w:rFonts w:asciiTheme="majorHAnsi" w:hAnsiTheme="majorHAnsi"/>
                <w:sz w:val="18"/>
                <w:lang w:val="en-GB"/>
              </w:rPr>
              <w:t>Rooming houses</w:t>
            </w:r>
          </w:p>
        </w:tc>
        <w:tc>
          <w:tcPr>
            <w:tcW w:w="1624" w:type="dxa"/>
            <w:hideMark/>
          </w:tcPr>
          <w:p w14:paraId="6F9647BA" w14:textId="77777777" w:rsidR="001170EE" w:rsidRDefault="001170EE" w:rsidP="001170EE">
            <w:pPr>
              <w:spacing w:after="0"/>
              <w:rPr>
                <w:rFonts w:asciiTheme="majorHAnsi" w:hAnsiTheme="majorHAnsi"/>
                <w:sz w:val="18"/>
                <w:lang w:val="en-GB"/>
              </w:rPr>
            </w:pPr>
            <w:r>
              <w:rPr>
                <w:rFonts w:asciiTheme="majorHAnsi" w:hAnsiTheme="majorHAnsi"/>
                <w:sz w:val="18"/>
                <w:lang w:val="en-GB"/>
              </w:rPr>
              <w:t>1,207</w:t>
            </w:r>
          </w:p>
          <w:p w14:paraId="734A8B9A" w14:textId="77777777" w:rsidR="001170EE" w:rsidRDefault="001170EE" w:rsidP="001170EE">
            <w:pPr>
              <w:spacing w:after="0"/>
              <w:rPr>
                <w:rFonts w:asciiTheme="majorHAnsi" w:hAnsiTheme="majorHAnsi"/>
                <w:sz w:val="18"/>
                <w:lang w:val="en-GB"/>
              </w:rPr>
            </w:pPr>
            <w:r>
              <w:rPr>
                <w:rFonts w:asciiTheme="majorHAnsi" w:hAnsiTheme="majorHAnsi"/>
                <w:sz w:val="18"/>
                <w:lang w:val="en-GB"/>
              </w:rPr>
              <w:t>92.5%</w:t>
            </w:r>
          </w:p>
        </w:tc>
        <w:tc>
          <w:tcPr>
            <w:tcW w:w="1976" w:type="dxa"/>
          </w:tcPr>
          <w:p w14:paraId="4A3DB0CE" w14:textId="77777777" w:rsidR="001170EE" w:rsidRDefault="001170EE" w:rsidP="001170EE">
            <w:pPr>
              <w:spacing w:after="0"/>
              <w:rPr>
                <w:rFonts w:asciiTheme="majorHAnsi" w:hAnsiTheme="majorHAnsi"/>
                <w:sz w:val="18"/>
                <w:lang w:val="en-GB"/>
              </w:rPr>
            </w:pPr>
            <w:r>
              <w:rPr>
                <w:rFonts w:asciiTheme="majorHAnsi" w:hAnsiTheme="majorHAnsi"/>
                <w:sz w:val="18"/>
                <w:lang w:val="en-GB"/>
              </w:rPr>
              <w:t>93</w:t>
            </w:r>
          </w:p>
          <w:p w14:paraId="040E247F" w14:textId="3BB4993E" w:rsidR="001170EE" w:rsidRDefault="001170EE" w:rsidP="001170EE">
            <w:pPr>
              <w:spacing w:after="0"/>
              <w:rPr>
                <w:rFonts w:asciiTheme="majorHAnsi" w:hAnsiTheme="majorHAnsi"/>
                <w:lang w:val="en-GB"/>
              </w:rPr>
            </w:pPr>
            <w:r>
              <w:rPr>
                <w:rFonts w:asciiTheme="majorHAnsi" w:hAnsiTheme="majorHAnsi"/>
                <w:sz w:val="18"/>
                <w:lang w:val="en-GB"/>
              </w:rPr>
              <w:t>7.1%</w:t>
            </w:r>
          </w:p>
        </w:tc>
        <w:tc>
          <w:tcPr>
            <w:tcW w:w="1976" w:type="dxa"/>
          </w:tcPr>
          <w:p w14:paraId="14BC4728" w14:textId="77777777" w:rsidR="001170EE" w:rsidRDefault="001170EE" w:rsidP="001170EE">
            <w:pPr>
              <w:spacing w:after="0"/>
              <w:rPr>
                <w:rFonts w:asciiTheme="majorHAnsi" w:hAnsiTheme="majorHAnsi"/>
                <w:sz w:val="18"/>
                <w:lang w:val="en-GB"/>
              </w:rPr>
            </w:pPr>
            <w:r>
              <w:rPr>
                <w:rFonts w:asciiTheme="majorHAnsi" w:hAnsiTheme="majorHAnsi"/>
                <w:sz w:val="18"/>
                <w:lang w:val="en-GB"/>
              </w:rPr>
              <w:t>5</w:t>
            </w:r>
          </w:p>
          <w:p w14:paraId="7BE60435" w14:textId="16029237" w:rsidR="001170EE" w:rsidRDefault="001170EE" w:rsidP="001170EE">
            <w:pPr>
              <w:spacing w:after="0"/>
              <w:rPr>
                <w:rFonts w:asciiTheme="majorHAnsi" w:hAnsiTheme="majorHAnsi"/>
                <w:lang w:val="en-GB"/>
              </w:rPr>
            </w:pPr>
            <w:r>
              <w:rPr>
                <w:rFonts w:asciiTheme="majorHAnsi" w:hAnsiTheme="majorHAnsi"/>
                <w:sz w:val="18"/>
                <w:lang w:val="en-GB"/>
              </w:rPr>
              <w:t>0.4%</w:t>
            </w:r>
          </w:p>
        </w:tc>
        <w:tc>
          <w:tcPr>
            <w:tcW w:w="1976" w:type="dxa"/>
            <w:hideMark/>
          </w:tcPr>
          <w:p w14:paraId="10D99DC5" w14:textId="68A03C01" w:rsidR="001170EE" w:rsidRDefault="001170EE" w:rsidP="001170EE">
            <w:pPr>
              <w:spacing w:after="0"/>
              <w:rPr>
                <w:rFonts w:asciiTheme="majorHAnsi" w:hAnsiTheme="majorHAnsi"/>
                <w:sz w:val="18"/>
                <w:lang w:val="en-GB"/>
              </w:rPr>
            </w:pPr>
            <w:r>
              <w:rPr>
                <w:rFonts w:asciiTheme="majorHAnsi" w:hAnsiTheme="majorHAnsi"/>
                <w:sz w:val="18"/>
                <w:lang w:val="en-GB"/>
              </w:rPr>
              <w:t>1,305</w:t>
            </w:r>
          </w:p>
        </w:tc>
      </w:tr>
      <w:tr w:rsidR="001170EE" w14:paraId="1D42FC43" w14:textId="77777777" w:rsidTr="001170EE">
        <w:trPr>
          <w:trHeight w:hRule="exact" w:val="510"/>
        </w:trPr>
        <w:tc>
          <w:tcPr>
            <w:tcW w:w="1844" w:type="dxa"/>
            <w:hideMark/>
          </w:tcPr>
          <w:p w14:paraId="3CC54CB3" w14:textId="15A3F26F" w:rsidR="001170EE" w:rsidRDefault="001170EE" w:rsidP="001170EE">
            <w:pPr>
              <w:spacing w:after="0"/>
              <w:rPr>
                <w:rFonts w:asciiTheme="majorHAnsi" w:hAnsiTheme="majorHAnsi"/>
                <w:sz w:val="18"/>
                <w:lang w:val="en-GB"/>
              </w:rPr>
            </w:pPr>
            <w:r>
              <w:rPr>
                <w:rFonts w:asciiTheme="majorHAnsi" w:hAnsiTheme="majorHAnsi"/>
                <w:sz w:val="18"/>
                <w:lang w:val="en-GB"/>
              </w:rPr>
              <w:t>Hostels</w:t>
            </w:r>
          </w:p>
        </w:tc>
        <w:tc>
          <w:tcPr>
            <w:tcW w:w="1624" w:type="dxa"/>
            <w:hideMark/>
          </w:tcPr>
          <w:p w14:paraId="781C3C20" w14:textId="77777777" w:rsidR="001170EE" w:rsidRDefault="001170EE" w:rsidP="001170EE">
            <w:pPr>
              <w:spacing w:after="0"/>
              <w:rPr>
                <w:rFonts w:asciiTheme="majorHAnsi" w:hAnsiTheme="majorHAnsi"/>
                <w:sz w:val="18"/>
                <w:lang w:val="en-GB"/>
              </w:rPr>
            </w:pPr>
            <w:r>
              <w:rPr>
                <w:rFonts w:asciiTheme="majorHAnsi" w:hAnsiTheme="majorHAnsi"/>
                <w:sz w:val="18"/>
                <w:lang w:val="en-GB"/>
              </w:rPr>
              <w:t>77</w:t>
            </w:r>
          </w:p>
          <w:p w14:paraId="6E3B944E" w14:textId="77777777" w:rsidR="001170EE" w:rsidRDefault="001170EE" w:rsidP="001170EE">
            <w:pPr>
              <w:spacing w:after="0"/>
              <w:rPr>
                <w:rFonts w:asciiTheme="majorHAnsi" w:hAnsiTheme="majorHAnsi"/>
                <w:sz w:val="18"/>
                <w:lang w:val="en-GB"/>
              </w:rPr>
            </w:pPr>
            <w:r>
              <w:rPr>
                <w:rFonts w:asciiTheme="majorHAnsi" w:hAnsiTheme="majorHAnsi"/>
                <w:sz w:val="18"/>
                <w:lang w:val="en-GB"/>
              </w:rPr>
              <w:t>37.2%</w:t>
            </w:r>
          </w:p>
        </w:tc>
        <w:tc>
          <w:tcPr>
            <w:tcW w:w="1976" w:type="dxa"/>
          </w:tcPr>
          <w:p w14:paraId="149E803B" w14:textId="77777777" w:rsidR="001170EE" w:rsidRDefault="001170EE" w:rsidP="001170EE">
            <w:pPr>
              <w:spacing w:after="0"/>
              <w:rPr>
                <w:rFonts w:asciiTheme="majorHAnsi" w:hAnsiTheme="majorHAnsi"/>
                <w:sz w:val="18"/>
                <w:lang w:val="en-GB"/>
              </w:rPr>
            </w:pPr>
            <w:r>
              <w:rPr>
                <w:rFonts w:asciiTheme="majorHAnsi" w:hAnsiTheme="majorHAnsi"/>
                <w:sz w:val="18"/>
                <w:lang w:val="en-GB"/>
              </w:rPr>
              <w:t>87</w:t>
            </w:r>
          </w:p>
          <w:p w14:paraId="737396E6" w14:textId="1FAA2536" w:rsidR="001170EE" w:rsidRDefault="001170EE" w:rsidP="001170EE">
            <w:pPr>
              <w:spacing w:after="0"/>
              <w:rPr>
                <w:rFonts w:asciiTheme="majorHAnsi" w:hAnsiTheme="majorHAnsi"/>
                <w:lang w:val="en-GB"/>
              </w:rPr>
            </w:pPr>
            <w:r>
              <w:rPr>
                <w:rFonts w:asciiTheme="majorHAnsi" w:hAnsiTheme="majorHAnsi"/>
                <w:sz w:val="18"/>
                <w:lang w:val="en-GB"/>
              </w:rPr>
              <w:t>42.0%</w:t>
            </w:r>
          </w:p>
        </w:tc>
        <w:tc>
          <w:tcPr>
            <w:tcW w:w="1976" w:type="dxa"/>
          </w:tcPr>
          <w:p w14:paraId="7BB002CC" w14:textId="77777777" w:rsidR="001170EE" w:rsidRDefault="001170EE" w:rsidP="001170EE">
            <w:pPr>
              <w:spacing w:after="0"/>
              <w:rPr>
                <w:rFonts w:asciiTheme="majorHAnsi" w:hAnsiTheme="majorHAnsi"/>
                <w:sz w:val="18"/>
                <w:lang w:val="en-GB"/>
              </w:rPr>
            </w:pPr>
            <w:r>
              <w:rPr>
                <w:rFonts w:asciiTheme="majorHAnsi" w:hAnsiTheme="majorHAnsi"/>
                <w:sz w:val="18"/>
                <w:lang w:val="en-GB"/>
              </w:rPr>
              <w:t>43</w:t>
            </w:r>
          </w:p>
          <w:p w14:paraId="0C9C971D" w14:textId="2A683C81" w:rsidR="001170EE" w:rsidRDefault="001170EE" w:rsidP="001170EE">
            <w:pPr>
              <w:spacing w:after="0"/>
              <w:rPr>
                <w:rFonts w:asciiTheme="majorHAnsi" w:hAnsiTheme="majorHAnsi"/>
                <w:lang w:val="en-GB"/>
              </w:rPr>
            </w:pPr>
            <w:r>
              <w:rPr>
                <w:rFonts w:asciiTheme="majorHAnsi" w:hAnsiTheme="majorHAnsi"/>
                <w:sz w:val="18"/>
                <w:lang w:val="en-GB"/>
              </w:rPr>
              <w:t>20.8%</w:t>
            </w:r>
          </w:p>
        </w:tc>
        <w:tc>
          <w:tcPr>
            <w:tcW w:w="1976" w:type="dxa"/>
            <w:hideMark/>
          </w:tcPr>
          <w:p w14:paraId="0DF4D58B" w14:textId="16C86BF3" w:rsidR="001170EE" w:rsidRDefault="001170EE" w:rsidP="001170EE">
            <w:pPr>
              <w:spacing w:after="0"/>
              <w:rPr>
                <w:rFonts w:asciiTheme="majorHAnsi" w:hAnsiTheme="majorHAnsi"/>
                <w:sz w:val="18"/>
                <w:lang w:val="en-GB"/>
              </w:rPr>
            </w:pPr>
            <w:r>
              <w:rPr>
                <w:rFonts w:asciiTheme="majorHAnsi" w:hAnsiTheme="majorHAnsi"/>
                <w:sz w:val="18"/>
                <w:lang w:val="en-GB"/>
              </w:rPr>
              <w:t>207</w:t>
            </w:r>
          </w:p>
        </w:tc>
      </w:tr>
      <w:tr w:rsidR="001170EE" w14:paraId="0D033D72" w14:textId="77777777" w:rsidTr="001170EE">
        <w:trPr>
          <w:trHeight w:hRule="exact" w:val="510"/>
        </w:trPr>
        <w:tc>
          <w:tcPr>
            <w:tcW w:w="1844" w:type="dxa"/>
            <w:hideMark/>
          </w:tcPr>
          <w:p w14:paraId="2DD468B0" w14:textId="021FA9A2" w:rsidR="001170EE" w:rsidRDefault="001170EE" w:rsidP="001170EE">
            <w:pPr>
              <w:spacing w:after="0"/>
              <w:rPr>
                <w:rFonts w:asciiTheme="majorHAnsi" w:hAnsiTheme="majorHAnsi"/>
                <w:sz w:val="18"/>
                <w:lang w:val="en-GB"/>
              </w:rPr>
            </w:pPr>
            <w:r>
              <w:rPr>
                <w:rFonts w:asciiTheme="majorHAnsi" w:hAnsiTheme="majorHAnsi"/>
                <w:sz w:val="18"/>
                <w:lang w:val="en-GB"/>
              </w:rPr>
              <w:t>Student dormitories</w:t>
            </w:r>
          </w:p>
        </w:tc>
        <w:tc>
          <w:tcPr>
            <w:tcW w:w="1624" w:type="dxa"/>
            <w:hideMark/>
          </w:tcPr>
          <w:p w14:paraId="48C0F351" w14:textId="77777777" w:rsidR="001170EE" w:rsidRDefault="001170EE" w:rsidP="001170EE">
            <w:pPr>
              <w:spacing w:after="0"/>
              <w:rPr>
                <w:rFonts w:asciiTheme="majorHAnsi" w:hAnsiTheme="majorHAnsi"/>
                <w:sz w:val="18"/>
                <w:lang w:val="en-GB"/>
              </w:rPr>
            </w:pPr>
            <w:r>
              <w:rPr>
                <w:rFonts w:asciiTheme="majorHAnsi" w:hAnsiTheme="majorHAnsi"/>
                <w:sz w:val="18"/>
                <w:lang w:val="en-GB"/>
              </w:rPr>
              <w:t>118</w:t>
            </w:r>
          </w:p>
          <w:p w14:paraId="2D4339ED" w14:textId="77777777" w:rsidR="001170EE" w:rsidRDefault="001170EE" w:rsidP="001170EE">
            <w:pPr>
              <w:spacing w:after="0"/>
              <w:rPr>
                <w:rFonts w:asciiTheme="majorHAnsi" w:hAnsiTheme="majorHAnsi"/>
                <w:sz w:val="18"/>
                <w:lang w:val="en-GB"/>
              </w:rPr>
            </w:pPr>
            <w:r>
              <w:rPr>
                <w:rFonts w:asciiTheme="majorHAnsi" w:hAnsiTheme="majorHAnsi"/>
                <w:sz w:val="18"/>
                <w:lang w:val="en-GB"/>
              </w:rPr>
              <w:t>69.4%</w:t>
            </w:r>
          </w:p>
        </w:tc>
        <w:tc>
          <w:tcPr>
            <w:tcW w:w="1976" w:type="dxa"/>
          </w:tcPr>
          <w:p w14:paraId="1FC75271" w14:textId="77777777" w:rsidR="001170EE" w:rsidRDefault="001170EE" w:rsidP="001170EE">
            <w:pPr>
              <w:spacing w:after="0"/>
              <w:rPr>
                <w:rFonts w:asciiTheme="majorHAnsi" w:hAnsiTheme="majorHAnsi"/>
                <w:sz w:val="18"/>
                <w:lang w:val="en-GB"/>
              </w:rPr>
            </w:pPr>
            <w:r>
              <w:rPr>
                <w:rFonts w:asciiTheme="majorHAnsi" w:hAnsiTheme="majorHAnsi"/>
                <w:sz w:val="18"/>
                <w:lang w:val="en-GB"/>
              </w:rPr>
              <w:t>37</w:t>
            </w:r>
          </w:p>
          <w:p w14:paraId="0B65E87B" w14:textId="3CB27153" w:rsidR="001170EE" w:rsidRDefault="001170EE" w:rsidP="001170EE">
            <w:pPr>
              <w:spacing w:after="0"/>
              <w:rPr>
                <w:rFonts w:asciiTheme="majorHAnsi" w:hAnsiTheme="majorHAnsi"/>
                <w:lang w:val="en-GB"/>
              </w:rPr>
            </w:pPr>
            <w:r>
              <w:rPr>
                <w:rFonts w:asciiTheme="majorHAnsi" w:hAnsiTheme="majorHAnsi"/>
                <w:sz w:val="18"/>
                <w:lang w:val="en-GB"/>
              </w:rPr>
              <w:t>21.8%</w:t>
            </w:r>
          </w:p>
        </w:tc>
        <w:tc>
          <w:tcPr>
            <w:tcW w:w="1976" w:type="dxa"/>
          </w:tcPr>
          <w:p w14:paraId="7BE5E605" w14:textId="77777777" w:rsidR="001170EE" w:rsidRDefault="001170EE" w:rsidP="001170EE">
            <w:pPr>
              <w:spacing w:after="0"/>
              <w:rPr>
                <w:rFonts w:asciiTheme="majorHAnsi" w:hAnsiTheme="majorHAnsi"/>
                <w:sz w:val="18"/>
                <w:lang w:val="en-GB"/>
              </w:rPr>
            </w:pPr>
            <w:r>
              <w:rPr>
                <w:rFonts w:asciiTheme="majorHAnsi" w:hAnsiTheme="majorHAnsi"/>
                <w:sz w:val="18"/>
                <w:lang w:val="en-GB"/>
              </w:rPr>
              <w:t>15</w:t>
            </w:r>
          </w:p>
          <w:p w14:paraId="23627A91" w14:textId="3DB640C2" w:rsidR="001170EE" w:rsidRDefault="001170EE" w:rsidP="001170EE">
            <w:pPr>
              <w:spacing w:after="0"/>
              <w:rPr>
                <w:rFonts w:asciiTheme="majorHAnsi" w:hAnsiTheme="majorHAnsi"/>
                <w:lang w:val="en-GB"/>
              </w:rPr>
            </w:pPr>
            <w:r>
              <w:rPr>
                <w:rFonts w:asciiTheme="majorHAnsi" w:hAnsiTheme="majorHAnsi"/>
                <w:sz w:val="18"/>
                <w:lang w:val="en-GB"/>
              </w:rPr>
              <w:t>8.8%</w:t>
            </w:r>
          </w:p>
        </w:tc>
        <w:tc>
          <w:tcPr>
            <w:tcW w:w="1976" w:type="dxa"/>
            <w:hideMark/>
          </w:tcPr>
          <w:p w14:paraId="59D2455A" w14:textId="753FEE91" w:rsidR="001170EE" w:rsidRDefault="001170EE" w:rsidP="001170EE">
            <w:pPr>
              <w:spacing w:after="0"/>
              <w:rPr>
                <w:rFonts w:asciiTheme="majorHAnsi" w:hAnsiTheme="majorHAnsi"/>
                <w:sz w:val="18"/>
                <w:lang w:val="en-GB"/>
              </w:rPr>
            </w:pPr>
            <w:r>
              <w:rPr>
                <w:rFonts w:asciiTheme="majorHAnsi" w:hAnsiTheme="majorHAnsi"/>
                <w:sz w:val="18"/>
                <w:lang w:val="en-GB"/>
              </w:rPr>
              <w:t>170</w:t>
            </w:r>
          </w:p>
        </w:tc>
      </w:tr>
      <w:tr w:rsidR="001170EE" w14:paraId="10289E05" w14:textId="77777777" w:rsidTr="001170EE">
        <w:trPr>
          <w:trHeight w:hRule="exact" w:val="510"/>
        </w:trPr>
        <w:tc>
          <w:tcPr>
            <w:tcW w:w="1844" w:type="dxa"/>
            <w:hideMark/>
          </w:tcPr>
          <w:p w14:paraId="5058F57C" w14:textId="0F1C37F3" w:rsidR="001170EE" w:rsidRDefault="001170EE" w:rsidP="001170EE">
            <w:pPr>
              <w:spacing w:after="0"/>
              <w:rPr>
                <w:rFonts w:asciiTheme="majorHAnsi" w:hAnsiTheme="majorHAnsi"/>
                <w:sz w:val="18"/>
                <w:lang w:val="en-GB"/>
              </w:rPr>
            </w:pPr>
            <w:r>
              <w:rPr>
                <w:rFonts w:asciiTheme="majorHAnsi" w:hAnsiTheme="majorHAnsi"/>
                <w:sz w:val="18"/>
                <w:lang w:val="en-GB"/>
              </w:rPr>
              <w:t>Holiday camps</w:t>
            </w:r>
          </w:p>
        </w:tc>
        <w:tc>
          <w:tcPr>
            <w:tcW w:w="1624" w:type="dxa"/>
            <w:hideMark/>
          </w:tcPr>
          <w:p w14:paraId="7FCE834A" w14:textId="77777777" w:rsidR="001170EE" w:rsidRDefault="001170EE" w:rsidP="001170EE">
            <w:pPr>
              <w:spacing w:after="0"/>
              <w:rPr>
                <w:rFonts w:asciiTheme="majorHAnsi" w:hAnsiTheme="majorHAnsi"/>
                <w:sz w:val="18"/>
                <w:lang w:val="en-GB"/>
              </w:rPr>
            </w:pPr>
            <w:r>
              <w:rPr>
                <w:rFonts w:asciiTheme="majorHAnsi" w:hAnsiTheme="majorHAnsi"/>
                <w:sz w:val="18"/>
                <w:lang w:val="en-GB"/>
              </w:rPr>
              <w:t>32</w:t>
            </w:r>
          </w:p>
          <w:p w14:paraId="308FA7A4" w14:textId="77777777" w:rsidR="001170EE" w:rsidRDefault="001170EE" w:rsidP="001170EE">
            <w:pPr>
              <w:spacing w:after="0"/>
              <w:rPr>
                <w:rFonts w:asciiTheme="majorHAnsi" w:hAnsiTheme="majorHAnsi"/>
                <w:sz w:val="18"/>
                <w:lang w:val="en-GB"/>
              </w:rPr>
            </w:pPr>
            <w:r>
              <w:rPr>
                <w:rFonts w:asciiTheme="majorHAnsi" w:hAnsiTheme="majorHAnsi"/>
                <w:sz w:val="18"/>
                <w:lang w:val="en-GB"/>
              </w:rPr>
              <w:t>10.1%</w:t>
            </w:r>
          </w:p>
        </w:tc>
        <w:tc>
          <w:tcPr>
            <w:tcW w:w="1976" w:type="dxa"/>
          </w:tcPr>
          <w:p w14:paraId="655EE6DF" w14:textId="77777777" w:rsidR="001170EE" w:rsidRDefault="001170EE" w:rsidP="001170EE">
            <w:pPr>
              <w:spacing w:after="0"/>
              <w:rPr>
                <w:rFonts w:asciiTheme="majorHAnsi" w:hAnsiTheme="majorHAnsi"/>
                <w:sz w:val="18"/>
                <w:lang w:val="en-GB"/>
              </w:rPr>
            </w:pPr>
            <w:r>
              <w:rPr>
                <w:rFonts w:asciiTheme="majorHAnsi" w:hAnsiTheme="majorHAnsi"/>
                <w:sz w:val="18"/>
                <w:lang w:val="en-GB"/>
              </w:rPr>
              <w:t>214</w:t>
            </w:r>
          </w:p>
          <w:p w14:paraId="768B2D0D" w14:textId="04CBDF38" w:rsidR="001170EE" w:rsidRDefault="001170EE" w:rsidP="001170EE">
            <w:pPr>
              <w:spacing w:after="0"/>
              <w:rPr>
                <w:rFonts w:asciiTheme="majorHAnsi" w:hAnsiTheme="majorHAnsi"/>
                <w:lang w:val="en-GB"/>
              </w:rPr>
            </w:pPr>
            <w:r>
              <w:rPr>
                <w:rFonts w:asciiTheme="majorHAnsi" w:hAnsiTheme="majorHAnsi"/>
                <w:sz w:val="18"/>
                <w:lang w:val="en-GB"/>
              </w:rPr>
              <w:t>68.0%</w:t>
            </w:r>
          </w:p>
        </w:tc>
        <w:tc>
          <w:tcPr>
            <w:tcW w:w="1976" w:type="dxa"/>
          </w:tcPr>
          <w:p w14:paraId="13DF1E88" w14:textId="77777777" w:rsidR="001170EE" w:rsidRDefault="001170EE" w:rsidP="001170EE">
            <w:pPr>
              <w:spacing w:after="0"/>
              <w:rPr>
                <w:rFonts w:asciiTheme="majorHAnsi" w:hAnsiTheme="majorHAnsi"/>
                <w:sz w:val="18"/>
                <w:lang w:val="en-GB"/>
              </w:rPr>
            </w:pPr>
            <w:r>
              <w:rPr>
                <w:rFonts w:asciiTheme="majorHAnsi" w:hAnsiTheme="majorHAnsi"/>
                <w:sz w:val="18"/>
                <w:lang w:val="en-GB"/>
              </w:rPr>
              <w:t>69</w:t>
            </w:r>
          </w:p>
          <w:p w14:paraId="5A377618" w14:textId="71A308E4" w:rsidR="001170EE" w:rsidRDefault="001170EE" w:rsidP="001170EE">
            <w:pPr>
              <w:spacing w:after="0"/>
              <w:rPr>
                <w:rFonts w:asciiTheme="majorHAnsi" w:hAnsiTheme="majorHAnsi"/>
                <w:lang w:val="en-GB"/>
              </w:rPr>
            </w:pPr>
            <w:r>
              <w:rPr>
                <w:rFonts w:asciiTheme="majorHAnsi" w:hAnsiTheme="majorHAnsi"/>
                <w:sz w:val="18"/>
                <w:lang w:val="en-GB"/>
              </w:rPr>
              <w:t>21.9%</w:t>
            </w:r>
          </w:p>
        </w:tc>
        <w:tc>
          <w:tcPr>
            <w:tcW w:w="1976" w:type="dxa"/>
            <w:hideMark/>
          </w:tcPr>
          <w:p w14:paraId="4EEFC76C" w14:textId="72195BDD" w:rsidR="001170EE" w:rsidRDefault="001170EE" w:rsidP="001170EE">
            <w:pPr>
              <w:spacing w:after="0"/>
              <w:rPr>
                <w:rFonts w:asciiTheme="majorHAnsi" w:hAnsiTheme="majorHAnsi"/>
                <w:sz w:val="18"/>
                <w:lang w:val="en-GB"/>
              </w:rPr>
            </w:pPr>
            <w:r>
              <w:rPr>
                <w:rFonts w:asciiTheme="majorHAnsi" w:hAnsiTheme="majorHAnsi"/>
                <w:sz w:val="18"/>
                <w:lang w:val="en-GB"/>
              </w:rPr>
              <w:t>315</w:t>
            </w:r>
          </w:p>
        </w:tc>
      </w:tr>
      <w:tr w:rsidR="001170EE" w14:paraId="0EB98A28" w14:textId="77777777" w:rsidTr="001170EE">
        <w:trPr>
          <w:trHeight w:hRule="exact" w:val="283"/>
        </w:trPr>
        <w:tc>
          <w:tcPr>
            <w:tcW w:w="1844" w:type="dxa"/>
            <w:hideMark/>
          </w:tcPr>
          <w:p w14:paraId="0142E7FB" w14:textId="77777777" w:rsidR="001170EE" w:rsidRDefault="001170EE" w:rsidP="003B389C">
            <w:pPr>
              <w:spacing w:after="0"/>
              <w:rPr>
                <w:rFonts w:asciiTheme="majorHAnsi" w:hAnsiTheme="majorHAnsi"/>
                <w:b/>
                <w:sz w:val="18"/>
                <w:lang w:val="en-GB"/>
              </w:rPr>
            </w:pPr>
            <w:r>
              <w:rPr>
                <w:rFonts w:asciiTheme="majorHAnsi" w:hAnsiTheme="majorHAnsi"/>
                <w:b/>
                <w:sz w:val="18"/>
                <w:lang w:val="en-GB"/>
              </w:rPr>
              <w:t>Total</w:t>
            </w:r>
          </w:p>
        </w:tc>
        <w:tc>
          <w:tcPr>
            <w:tcW w:w="1624" w:type="dxa"/>
          </w:tcPr>
          <w:p w14:paraId="7ECA4A91" w14:textId="77777777" w:rsidR="001170EE" w:rsidRDefault="001170EE" w:rsidP="003B389C">
            <w:pPr>
              <w:spacing w:after="0"/>
              <w:rPr>
                <w:rFonts w:asciiTheme="majorHAnsi" w:hAnsiTheme="majorHAnsi"/>
                <w:b/>
                <w:sz w:val="18"/>
                <w:lang w:val="en-GB"/>
              </w:rPr>
            </w:pPr>
          </w:p>
        </w:tc>
        <w:tc>
          <w:tcPr>
            <w:tcW w:w="1976" w:type="dxa"/>
          </w:tcPr>
          <w:p w14:paraId="5944EE29" w14:textId="77777777" w:rsidR="001170EE" w:rsidRDefault="001170EE" w:rsidP="003B389C">
            <w:pPr>
              <w:spacing w:after="0"/>
              <w:rPr>
                <w:rFonts w:asciiTheme="majorHAnsi" w:hAnsiTheme="majorHAnsi"/>
                <w:b/>
                <w:lang w:val="en-GB"/>
              </w:rPr>
            </w:pPr>
          </w:p>
        </w:tc>
        <w:tc>
          <w:tcPr>
            <w:tcW w:w="1976" w:type="dxa"/>
          </w:tcPr>
          <w:p w14:paraId="1BA38E8B" w14:textId="51C3A2AF" w:rsidR="001170EE" w:rsidRDefault="001170EE" w:rsidP="003B389C">
            <w:pPr>
              <w:spacing w:after="0"/>
              <w:rPr>
                <w:rFonts w:asciiTheme="majorHAnsi" w:hAnsiTheme="majorHAnsi"/>
                <w:b/>
                <w:lang w:val="en-GB"/>
              </w:rPr>
            </w:pPr>
          </w:p>
        </w:tc>
        <w:tc>
          <w:tcPr>
            <w:tcW w:w="1976" w:type="dxa"/>
          </w:tcPr>
          <w:p w14:paraId="319B9A55" w14:textId="5168E44F" w:rsidR="001170EE" w:rsidRDefault="001170EE" w:rsidP="003B389C">
            <w:pPr>
              <w:spacing w:after="0"/>
              <w:rPr>
                <w:rFonts w:asciiTheme="majorHAnsi" w:hAnsiTheme="majorHAnsi"/>
                <w:b/>
                <w:sz w:val="18"/>
                <w:lang w:val="en-GB"/>
              </w:rPr>
            </w:pPr>
            <w:r>
              <w:rPr>
                <w:rFonts w:asciiTheme="majorHAnsi" w:hAnsiTheme="majorHAnsi"/>
                <w:b/>
                <w:sz w:val="18"/>
                <w:lang w:val="en-GB"/>
              </w:rPr>
              <w:t>4,823</w:t>
            </w:r>
          </w:p>
        </w:tc>
      </w:tr>
    </w:tbl>
    <w:p w14:paraId="59600735" w14:textId="5517503F" w:rsidR="00F129DF" w:rsidRDefault="00F129DF" w:rsidP="00F129DF">
      <w:pPr>
        <w:pStyle w:val="FootnoteText"/>
      </w:pPr>
      <w:r>
        <w:t>Source: Data provided by DHHS for the purposes of the RIS.</w:t>
      </w:r>
    </w:p>
    <w:p w14:paraId="540162D4" w14:textId="1E80F52A" w:rsidR="00F129DF" w:rsidRDefault="00F129DF" w:rsidP="00F129DF">
      <w:pPr>
        <w:pStyle w:val="Caption"/>
      </w:pPr>
      <w:r>
        <w:t>Figure 2</w:t>
      </w:r>
      <w:r w:rsidDel="005F7DAB">
        <w:fldChar w:fldCharType="begin"/>
      </w:r>
      <w:r w:rsidDel="005F7DAB">
        <w:fldChar w:fldCharType="end"/>
      </w:r>
      <w:r>
        <w:t>.</w:t>
      </w:r>
      <w:r>
        <w:fldChar w:fldCharType="begin"/>
      </w:r>
      <w:r>
        <w:instrText xml:space="preserve"> SEQ Figure \* ARABIC \s 1 </w:instrText>
      </w:r>
      <w:r>
        <w:fldChar w:fldCharType="separate"/>
      </w:r>
      <w:r w:rsidR="00795309">
        <w:rPr>
          <w:noProof/>
        </w:rPr>
        <w:t>3</w:t>
      </w:r>
      <w:r>
        <w:rPr>
          <w:noProof/>
        </w:rPr>
        <w:fldChar w:fldCharType="end"/>
      </w:r>
      <w:r>
        <w:t xml:space="preserve"> Top 10 registered prescribed accommodation by LGA</w:t>
      </w:r>
    </w:p>
    <w:p w14:paraId="16A49280" w14:textId="4294ECBA" w:rsidR="00366746" w:rsidRPr="00366746" w:rsidRDefault="00366746" w:rsidP="00366746">
      <w:r>
        <w:rPr>
          <w:noProof/>
          <w:lang w:eastAsia="en-AU"/>
        </w:rPr>
        <w:drawing>
          <wp:inline distT="0" distB="0" distL="0" distR="0" wp14:anchorId="664A6632" wp14:editId="4BCAB534">
            <wp:extent cx="5731510" cy="2674275"/>
            <wp:effectExtent l="0" t="0" r="2540" b="0"/>
            <wp:docPr id="2" name="Chart 2" descr="This graph is described in the previous paragraph.">
              <a:extLst xmlns:a="http://schemas.openxmlformats.org/drawingml/2006/main">
                <a:ext uri="{FF2B5EF4-FFF2-40B4-BE49-F238E27FC236}">
                  <a16:creationId xmlns:a16="http://schemas.microsoft.com/office/drawing/2014/main" id="{BC0B6D9B-3F8E-4A87-9268-CA1AC68887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4395267" w14:textId="763B1F14" w:rsidR="00F129DF" w:rsidRDefault="00F129DF" w:rsidP="00F129DF">
      <w:pPr>
        <w:pStyle w:val="FootnoteText"/>
      </w:pPr>
      <w:r>
        <w:t xml:space="preserve">Source: Data provided by DHHS for the purposes of the RIS. </w:t>
      </w:r>
    </w:p>
    <w:p w14:paraId="361B2F22" w14:textId="55243B0D" w:rsidR="00F129DF" w:rsidRDefault="00F129DF" w:rsidP="00F129DF"/>
    <w:p w14:paraId="4BEBEC8A" w14:textId="53FF24E2" w:rsidR="00F129DF" w:rsidRDefault="00F129DF" w:rsidP="00F129DF">
      <w:r>
        <w:t xml:space="preserve">Going forward, there is limited data forecasting the number of prescribed accommodation facilities in Victoria. However while no Victoria-wide forecasts are available, forecasts are available from a large metropolitan Council. </w:t>
      </w:r>
    </w:p>
    <w:p w14:paraId="34DE4506" w14:textId="44F549FD" w:rsidR="00F129DF" w:rsidRDefault="00F129DF" w:rsidP="00F129DF">
      <w:pPr>
        <w:rPr>
          <w:highlight w:val="yellow"/>
        </w:rPr>
      </w:pPr>
      <w:r>
        <w:t>The Council’s data suggests that the rooming house subsector is expected to experience the highest percentage growth rate of all prescribed accommodation subsectors.</w:t>
      </w:r>
      <w:r>
        <w:rPr>
          <w:rStyle w:val="FootnoteReference"/>
        </w:rPr>
        <w:footnoteReference w:id="33"/>
      </w:r>
      <w:r>
        <w:t xml:space="preserve"> Forecasts estimate that there could be 10 additional rooming houses in 2024 relative to 2019, or a 15% increase. Given the current economic outlook in the presence of COVID-19, the demand for affordable accommodation in rooming houses is likely to increase further. In an absolute sense however, hotels and motels are expected to record the highest growth of all subsectors, with 12 additional </w:t>
      </w:r>
      <w:r>
        <w:lastRenderedPageBreak/>
        <w:t xml:space="preserve">hotels and motels expected in the council region between 2019 and 2024 (a 9% increase). It is important to note that these forecasts were prepared pre COVID-19. There is significant uncertainty around such forecasts due to the impact of COVID-19 on the tourism and accommodation sectors. </w:t>
      </w:r>
    </w:p>
    <w:p w14:paraId="4E0AB751" w14:textId="2BC1C612" w:rsidR="00F129DF" w:rsidRDefault="00F129DF" w:rsidP="00F129DF">
      <w:pPr>
        <w:pStyle w:val="Caption"/>
      </w:pPr>
      <w:r>
        <w:t>Figure 2</w:t>
      </w:r>
      <w:r w:rsidDel="005F7DAB">
        <w:fldChar w:fldCharType="begin"/>
      </w:r>
      <w:r w:rsidDel="005F7DAB">
        <w:fldChar w:fldCharType="end"/>
      </w:r>
      <w:r>
        <w:t>.</w:t>
      </w:r>
      <w:r>
        <w:fldChar w:fldCharType="begin"/>
      </w:r>
      <w:r>
        <w:instrText xml:space="preserve"> SEQ Figure \* ARABIC \s 1 </w:instrText>
      </w:r>
      <w:r>
        <w:fldChar w:fldCharType="separate"/>
      </w:r>
      <w:r w:rsidR="00795309">
        <w:rPr>
          <w:noProof/>
        </w:rPr>
        <w:t>4</w:t>
      </w:r>
      <w:r>
        <w:rPr>
          <w:noProof/>
        </w:rPr>
        <w:fldChar w:fldCharType="end"/>
      </w:r>
      <w:r>
        <w:t xml:space="preserve"> Metropolitan Council’s data on prescribed accommodation, by type, forecast</w:t>
      </w:r>
    </w:p>
    <w:p w14:paraId="5E9835B7" w14:textId="1051999B" w:rsidR="00366746" w:rsidRPr="00366746" w:rsidRDefault="00366746" w:rsidP="00366746">
      <w:r w:rsidRPr="005B7148">
        <w:rPr>
          <w:noProof/>
          <w:sz w:val="16"/>
          <w:szCs w:val="16"/>
          <w:lang w:eastAsia="en-AU"/>
        </w:rPr>
        <w:drawing>
          <wp:inline distT="0" distB="0" distL="0" distR="0" wp14:anchorId="257E86E8" wp14:editId="7A8F7D3C">
            <wp:extent cx="5731510" cy="2323425"/>
            <wp:effectExtent l="0" t="0" r="2540" b="1270"/>
            <wp:docPr id="3" name="Chart 3" descr="This graph is described in the previous paragraph.">
              <a:extLst xmlns:a="http://schemas.openxmlformats.org/drawingml/2006/main">
                <a:ext uri="{FF2B5EF4-FFF2-40B4-BE49-F238E27FC236}">
                  <a16:creationId xmlns:a16="http://schemas.microsoft.com/office/drawing/2014/main" id="{615661F9-6FAA-4269-A69E-E17FD0C75D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C278ADA" w14:textId="4A2827A1" w:rsidR="00F129DF" w:rsidRDefault="00F129DF" w:rsidP="00F129DF">
      <w:pPr>
        <w:pStyle w:val="FootnoteText"/>
      </w:pPr>
      <w:r>
        <w:t xml:space="preserve">Source: Data provided by DHHS for the purposes of the RIS.  </w:t>
      </w:r>
    </w:p>
    <w:p w14:paraId="6A84425D" w14:textId="01851A18" w:rsidR="00F129DF" w:rsidRDefault="00F129DF" w:rsidP="00F129DF">
      <w:pPr>
        <w:pStyle w:val="FootnoteText"/>
      </w:pPr>
    </w:p>
    <w:p w14:paraId="2A59F63B" w14:textId="3C4B4913" w:rsidR="00F129DF" w:rsidRPr="00EA5AD4" w:rsidRDefault="00F129DF" w:rsidP="00F129DF">
      <w:pPr>
        <w:pStyle w:val="Heading3"/>
      </w:pPr>
      <w:r w:rsidRPr="00E50009">
        <w:t>Number of p</w:t>
      </w:r>
      <w:r w:rsidRPr="00EE3208">
        <w:t xml:space="preserve">eople </w:t>
      </w:r>
      <w:r w:rsidRPr="00CA22F3">
        <w:t>living</w:t>
      </w:r>
      <w:r w:rsidRPr="00EE3208">
        <w:t xml:space="preserve"> in prescribed accommodation </w:t>
      </w:r>
    </w:p>
    <w:p w14:paraId="1C38D13F" w14:textId="6C069A78" w:rsidR="00F129DF" w:rsidRDefault="00F129DF" w:rsidP="00F129DF">
      <w:r>
        <w:t>It is likely that the number of persons living in prescribed accommodation has been increasing significantly (pre-COVID-19). The number of rooming houses is growing, increased tourism is resulting in more visitor stays in hotels and motels, and the growth in the number of overseas students is also increasing occupants in rooming houses and other forms of prescribed accommodation. There has also been strong population growth in Victoria in recent years. However data on the number of people living in prescribed accommodation is not comprehensive and different sources have to be used to give an indication of this number.</w:t>
      </w:r>
    </w:p>
    <w:p w14:paraId="4AC01D47" w14:textId="4A6E3C17" w:rsidR="00F129DF" w:rsidRDefault="00F129DF" w:rsidP="00F129DF">
      <w:r>
        <w:t>ABS Census data</w:t>
      </w:r>
      <w:r>
        <w:rPr>
          <w:rStyle w:val="FootnoteReference"/>
        </w:rPr>
        <w:footnoteReference w:id="34"/>
      </w:r>
      <w:r>
        <w:t xml:space="preserve"> shows that in 2016 there were 4,406 Victorians residing in rooming houses. Literature published by the Council to Homeless Persons and Chris Chamberlain both argue that these estimates produced by the ABS are flawed because the ABS has in the past misclassified rooming houses as hotels, staff quarters, private dwellings or other types of accommodation.</w:t>
      </w:r>
      <w:r>
        <w:rPr>
          <w:rStyle w:val="FootnoteReference"/>
        </w:rPr>
        <w:footnoteReference w:id="35"/>
      </w:r>
      <w:r>
        <w:t xml:space="preserve"> Research undertaken by Chris Chamberlain leveraging Council records of rooming house registrations estimates that Melbourne’s rooming house population increased from between 2,946 and 3,739 in 2006, to 12,568 in 2011.</w:t>
      </w:r>
      <w:r>
        <w:rPr>
          <w:rStyle w:val="FootnoteReference"/>
        </w:rPr>
        <w:footnoteReference w:id="36"/>
      </w:r>
      <w:r>
        <w:t xml:space="preserve"> </w:t>
      </w:r>
    </w:p>
    <w:p w14:paraId="472FF9E5" w14:textId="54BE8182" w:rsidR="00F129DF" w:rsidRDefault="00F129DF" w:rsidP="00F129DF">
      <w:r>
        <w:t xml:space="preserve">Comprehensive data on the number of guests in Victoria’s hotels and motels is not available but can be estimated. TRA data suggests that hotels and motels were occupied 73% of the year in </w:t>
      </w:r>
      <w:r>
        <w:lastRenderedPageBreak/>
        <w:t>2018-19 and that there were on average 51 rooms per hotels or motel.</w:t>
      </w:r>
      <w:r>
        <w:rPr>
          <w:rStyle w:val="FootnoteReference"/>
        </w:rPr>
        <w:footnoteReference w:id="37"/>
      </w:r>
      <w:r>
        <w:t xml:space="preserve"> Council registration data indicates that there could be 1,322 hotels and motels registered in 2019.</w:t>
      </w:r>
      <w:r>
        <w:rPr>
          <w:rStyle w:val="FootnoteReference"/>
        </w:rPr>
        <w:footnoteReference w:id="38"/>
      </w:r>
      <w:r>
        <w:t xml:space="preserve"> Assuming that each guest stays approximately 3 days, and that there are 2 guests per room, there could have been up to 12 million guests in hotels and motels in 2018-19.</w:t>
      </w:r>
    </w:p>
    <w:p w14:paraId="16929C83" w14:textId="6EB0910F" w:rsidR="00F129DF" w:rsidRDefault="00F129DF" w:rsidP="00F129DF">
      <w:r>
        <w:t xml:space="preserve">There is however no data on the number of occupants in Victorian hostels, student dormitories, residential accommodation or holiday camps. For the purpose of analysis of options in Chapter 4, an estimate of the number of occupants in these types of accommodation has been developed in section </w:t>
      </w:r>
      <w:r w:rsidRPr="00F0077F">
        <w:t>4.2.3.</w:t>
      </w:r>
    </w:p>
    <w:p w14:paraId="2FD4B2A8" w14:textId="2D59EBA9" w:rsidR="00C50FA2" w:rsidRDefault="00CA4DE4" w:rsidP="0002529A">
      <w:pPr>
        <w:pStyle w:val="Heading2"/>
      </w:pPr>
      <w:r>
        <w:t>T</w:t>
      </w:r>
      <w:r w:rsidR="00C50FA2">
        <w:t xml:space="preserve">he </w:t>
      </w:r>
      <w:r w:rsidR="0079576A">
        <w:t>nature</w:t>
      </w:r>
      <w:r w:rsidR="00C50FA2">
        <w:t xml:space="preserve"> of the problem</w:t>
      </w:r>
      <w:bookmarkEnd w:id="148"/>
      <w:bookmarkEnd w:id="149"/>
    </w:p>
    <w:p w14:paraId="232109A8" w14:textId="0DAACADE" w:rsidR="005E60F9" w:rsidRDefault="00DE5EB0" w:rsidP="00DC081A">
      <w:r>
        <w:t xml:space="preserve">In some circumstances, </w:t>
      </w:r>
      <w:r w:rsidR="00F357CD">
        <w:t xml:space="preserve">accommodation </w:t>
      </w:r>
      <w:r w:rsidR="00770136">
        <w:t xml:space="preserve">housing groups of people with shared facilities, and/or with high turnover of occupants </w:t>
      </w:r>
      <w:r>
        <w:t xml:space="preserve">may </w:t>
      </w:r>
      <w:r w:rsidR="00F357CD">
        <w:t xml:space="preserve">pose a risk to the health and </w:t>
      </w:r>
      <w:r w:rsidR="00AD44D3">
        <w:t xml:space="preserve">wellbeing </w:t>
      </w:r>
      <w:r w:rsidR="00F357CD">
        <w:t xml:space="preserve">of its occupants. </w:t>
      </w:r>
      <w:r w:rsidR="00C355B3">
        <w:t>One medical journal found that “</w:t>
      </w:r>
      <w:r w:rsidR="00C355B3" w:rsidRPr="00946D1B">
        <w:rPr>
          <w:i/>
          <w:color w:val="000000"/>
          <w:shd w:val="clear" w:color="auto" w:fill="FFFFFF"/>
        </w:rPr>
        <w:t>Housing is an important determinant of health, and substandard housing is a major public health issue</w:t>
      </w:r>
      <w:r w:rsidR="00C355B3">
        <w:t>”.</w:t>
      </w:r>
      <w:r w:rsidR="00C355B3">
        <w:rPr>
          <w:rStyle w:val="FootnoteReference"/>
        </w:rPr>
        <w:footnoteReference w:id="39"/>
      </w:r>
      <w:r w:rsidR="00C355B3">
        <w:t xml:space="preserve"> </w:t>
      </w:r>
      <w:r w:rsidR="00741112">
        <w:t xml:space="preserve">For example, the </w:t>
      </w:r>
      <w:r w:rsidR="00FD303D">
        <w:t xml:space="preserve">health </w:t>
      </w:r>
      <w:r w:rsidR="00741112">
        <w:t xml:space="preserve">of occupants can be compromised if the proprietor of </w:t>
      </w:r>
      <w:r w:rsidR="004644C2">
        <w:t>prescribed</w:t>
      </w:r>
      <w:r w:rsidR="00741112">
        <w:t xml:space="preserve"> accommodation fails to undertake critical maintenance. Occupants could be at risk of contracting </w:t>
      </w:r>
      <w:r w:rsidR="00F269E1">
        <w:t>bacterial, viral and p</w:t>
      </w:r>
      <w:r w:rsidR="00F269E1" w:rsidRPr="00F8455E">
        <w:t>arasitic</w:t>
      </w:r>
      <w:r w:rsidR="00F269E1">
        <w:t xml:space="preserve"> </w:t>
      </w:r>
      <w:r w:rsidR="0002156C">
        <w:t>infections</w:t>
      </w:r>
      <w:r w:rsidR="00741112">
        <w:t xml:space="preserve"> should the proprietor of </w:t>
      </w:r>
      <w:r w:rsidR="004644C2">
        <w:t>prescribed</w:t>
      </w:r>
      <w:r w:rsidR="00741112">
        <w:t xml:space="preserve"> accommodation fail to uphold adequate hygiene standards. Occupants could also</w:t>
      </w:r>
      <w:r w:rsidR="00BD0699">
        <w:t xml:space="preserve"> be at risk of </w:t>
      </w:r>
      <w:r w:rsidR="002967F1">
        <w:t>diarrhoeal disease</w:t>
      </w:r>
      <w:r w:rsidR="0002156C">
        <w:rPr>
          <w:rStyle w:val="FootnoteReference"/>
          <w:iCs/>
        </w:rPr>
        <w:footnoteReference w:id="40"/>
      </w:r>
      <w:r w:rsidR="002967F1" w:rsidRPr="002967F1" w:rsidDel="002967F1">
        <w:t xml:space="preserve"> </w:t>
      </w:r>
      <w:r w:rsidR="002967F1" w:rsidRPr="002967F1">
        <w:t>or</w:t>
      </w:r>
      <w:r w:rsidR="002967F1">
        <w:t xml:space="preserve"> Neglected Tropical D</w:t>
      </w:r>
      <w:r w:rsidR="002967F1" w:rsidRPr="000C3DF5">
        <w:t>iseases</w:t>
      </w:r>
      <w:r w:rsidR="0002156C">
        <w:rPr>
          <w:rStyle w:val="FootnoteReference"/>
        </w:rPr>
        <w:footnoteReference w:id="41"/>
      </w:r>
      <w:r w:rsidR="002967F1">
        <w:t xml:space="preserve"> </w:t>
      </w:r>
      <w:r w:rsidR="00BD0699">
        <w:t xml:space="preserve">should the proprietor of </w:t>
      </w:r>
      <w:r w:rsidR="004644C2">
        <w:t>prescribed</w:t>
      </w:r>
      <w:r w:rsidR="00BD0699">
        <w:t xml:space="preserve"> accommodation fail to provide adequate sanitation. These risks are compounded in overcrowded </w:t>
      </w:r>
      <w:r w:rsidR="004644C2">
        <w:t>prescribed</w:t>
      </w:r>
      <w:r w:rsidR="00BD0699">
        <w:t xml:space="preserve"> accommodation facilities as it places greater strain on accommodation facilities and </w:t>
      </w:r>
      <w:r w:rsidR="00204785">
        <w:t xml:space="preserve">raises the risk of infectious diseases </w:t>
      </w:r>
      <w:r w:rsidR="00BD0699">
        <w:t xml:space="preserve">spreading amongst occupants.  </w:t>
      </w:r>
    </w:p>
    <w:p w14:paraId="1C356428" w14:textId="73D5D617" w:rsidR="00B56AAC" w:rsidRDefault="002D364D" w:rsidP="00C31FCA">
      <w:r>
        <w:t>Failure to undertake regular m</w:t>
      </w:r>
      <w:r w:rsidRPr="002D364D">
        <w:t xml:space="preserve">aintenance </w:t>
      </w:r>
      <w:r>
        <w:t xml:space="preserve">of prescribed accommodation, particularly </w:t>
      </w:r>
      <w:r w:rsidR="00D83181">
        <w:t>for</w:t>
      </w:r>
      <w:r>
        <w:t xml:space="preserve"> shared facilities, can compr</w:t>
      </w:r>
      <w:r w:rsidR="00D84786">
        <w:t>om</w:t>
      </w:r>
      <w:r>
        <w:t xml:space="preserve">ise the </w:t>
      </w:r>
      <w:r w:rsidR="00D83181">
        <w:t xml:space="preserve">health and </w:t>
      </w:r>
      <w:r w:rsidR="00FD303D">
        <w:t xml:space="preserve">wellbeing </w:t>
      </w:r>
      <w:r>
        <w:t xml:space="preserve">of occupants. </w:t>
      </w:r>
      <w:r w:rsidR="00B56AAC">
        <w:t xml:space="preserve">For example, if taps and plumbing </w:t>
      </w:r>
      <w:r w:rsidR="00D83181">
        <w:t xml:space="preserve">items are not maintained, leaking or faulty plumbing could </w:t>
      </w:r>
      <w:r w:rsidR="00FD303D">
        <w:t>lead to</w:t>
      </w:r>
      <w:r w:rsidR="00D83181">
        <w:t xml:space="preserve"> dampness</w:t>
      </w:r>
      <w:r w:rsidR="008A15F3">
        <w:t>,</w:t>
      </w:r>
      <w:r w:rsidR="00D83181">
        <w:t xml:space="preserve"> </w:t>
      </w:r>
      <w:r w:rsidR="00FD303D">
        <w:t xml:space="preserve">which </w:t>
      </w:r>
      <w:r w:rsidR="00D83181">
        <w:t>could cause illnesses like</w:t>
      </w:r>
      <w:r w:rsidR="00B56AAC">
        <w:t xml:space="preserve"> </w:t>
      </w:r>
      <w:r w:rsidR="00D83181" w:rsidRPr="00D83181">
        <w:t>nasal congestion, sneezing, cough</w:t>
      </w:r>
      <w:r w:rsidR="00D83181">
        <w:t>ing or respiratory infections.</w:t>
      </w:r>
      <w:r w:rsidR="00D83181">
        <w:rPr>
          <w:rStyle w:val="FootnoteReference"/>
        </w:rPr>
        <w:footnoteReference w:id="42"/>
      </w:r>
      <w:r w:rsidR="00D83181">
        <w:t xml:space="preserve"> </w:t>
      </w:r>
    </w:p>
    <w:p w14:paraId="4869D559" w14:textId="407FD54E" w:rsidR="0002156C" w:rsidRDefault="0002156C" w:rsidP="0002156C">
      <w:r>
        <w:t>Inadequate domestic hygiene practices (particularly in shared kitchens, bathrooms and laundries) can give rise to a number of bacterial, viral and parasitic infections.</w:t>
      </w:r>
      <w:r>
        <w:rPr>
          <w:rStyle w:val="FootnoteReference"/>
        </w:rPr>
        <w:footnoteReference w:id="43"/>
      </w:r>
      <w:r>
        <w:t xml:space="preserve"> Inadequate hygiene practices include not cleaning the toilet, not throwing away rubbish and infrequent washing of bedding can </w:t>
      </w:r>
      <w:r>
        <w:lastRenderedPageBreak/>
        <w:t>lead to a number of health concerns.</w:t>
      </w:r>
      <w:r>
        <w:rPr>
          <w:rStyle w:val="FootnoteReference"/>
        </w:rPr>
        <w:footnoteReference w:id="44"/>
      </w:r>
      <w:r>
        <w:t xml:space="preserve"> Health concerns that may arise from inadequate domestic hygiene include gastroenteritis, pneumonia, skin infections, hepatitis A, hookworm, threadworm, roundworm and colds and flus.</w:t>
      </w:r>
      <w:r>
        <w:rPr>
          <w:rStyle w:val="FootnoteReference"/>
        </w:rPr>
        <w:footnoteReference w:id="45"/>
      </w:r>
      <w:r>
        <w:t xml:space="preserve"> </w:t>
      </w:r>
    </w:p>
    <w:p w14:paraId="1F2A99B7" w14:textId="77777777" w:rsidR="0002156C" w:rsidRDefault="0002156C" w:rsidP="0002156C">
      <w:r>
        <w:t>Sanitation by definition refers to the safe management of human excreta, which can include things like a flushable toilet and the safe removal of human excreta into sewage systems.</w:t>
      </w:r>
      <w:r>
        <w:rPr>
          <w:rStyle w:val="FootnoteReference"/>
        </w:rPr>
        <w:footnoteReference w:id="46"/>
      </w:r>
      <w:r>
        <w:t xml:space="preserve"> The World Health Organisation (WHO) suggests that the “</w:t>
      </w:r>
      <w:r>
        <w:rPr>
          <w:i/>
        </w:rPr>
        <w:t>Lack of toilets and the safe confinement of excreta away from hands, feet, drinking water and eating utensils... lead[s] to the transmission of diarrhoeal disease.</w:t>
      </w:r>
      <w:r>
        <w:t>”</w:t>
      </w:r>
      <w:r>
        <w:rPr>
          <w:rStyle w:val="FootnoteReference"/>
        </w:rPr>
        <w:footnoteReference w:id="47"/>
      </w:r>
      <w:r>
        <w:t xml:space="preserve"> Medical journals suggest that “…</w:t>
      </w:r>
      <w:r>
        <w:rPr>
          <w:i/>
          <w:color w:val="000000"/>
          <w:shd w:val="clear" w:color="auto" w:fill="FFFFFF"/>
        </w:rPr>
        <w:t>Improved sanitation can reduce rates of diarrhoeal diseases by 32%–37%.</w:t>
      </w:r>
      <w:r>
        <w:t>”</w:t>
      </w:r>
      <w:r>
        <w:rPr>
          <w:rStyle w:val="FootnoteReference"/>
        </w:rPr>
        <w:footnoteReference w:id="48"/>
      </w:r>
      <w:r>
        <w:t xml:space="preserve"> Medical journals also suggest that Neglected Tropical Diseases </w:t>
      </w:r>
      <w:r>
        <w:rPr>
          <w:color w:val="000000"/>
          <w:shd w:val="clear" w:color="auto" w:fill="FFFFFF"/>
        </w:rPr>
        <w:t>with a faeco-oral transmission pathway can be avoided with adequate sanitation: “…</w:t>
      </w:r>
      <w:r>
        <w:rPr>
          <w:i/>
          <w:color w:val="000000"/>
          <w:shd w:val="clear" w:color="auto" w:fill="FFFFFF"/>
        </w:rPr>
        <w:t>Improved sanitation could contribute significantly to a sustained reduction in the prevalence of many of them</w:t>
      </w:r>
      <w:r>
        <w:rPr>
          <w:color w:val="000000"/>
          <w:shd w:val="clear" w:color="auto" w:fill="FFFFFF"/>
        </w:rPr>
        <w:t>.”</w:t>
      </w:r>
      <w:r>
        <w:rPr>
          <w:rStyle w:val="FootnoteReference"/>
          <w:color w:val="000000"/>
          <w:shd w:val="clear" w:color="auto" w:fill="FFFFFF"/>
        </w:rPr>
        <w:footnoteReference w:id="49"/>
      </w:r>
    </w:p>
    <w:p w14:paraId="4057C7EA" w14:textId="3111AB18" w:rsidR="0002156C" w:rsidRDefault="0002156C" w:rsidP="0002156C">
      <w:r>
        <w:t>Overcrowding increases these health risks for occupants. This is because all things being equal, the more people live in close proximity to one another, the greater the spread of any infectious disease.</w:t>
      </w:r>
      <w:r>
        <w:rPr>
          <w:rStyle w:val="FootnoteReference"/>
        </w:rPr>
        <w:footnoteReference w:id="50"/>
      </w:r>
      <w:r>
        <w:t xml:space="preserve"> By the same token, the more people share a single facility or resource, the more likely it is that the resource will fail and could create a </w:t>
      </w:r>
      <w:r w:rsidR="00DA6F35">
        <w:t xml:space="preserve">health </w:t>
      </w:r>
      <w:r>
        <w:t>risk for occupants. ABS Census data estimates that around 8,930 Victorians lived in ‘severely crowded dwellings’ in 2016</w:t>
      </w:r>
      <w:r>
        <w:rPr>
          <w:rStyle w:val="FootnoteReference"/>
        </w:rPr>
        <w:footnoteReference w:id="51"/>
      </w:r>
      <w:r>
        <w:t>, although data on the extent of overcrowding in prescribed accommodation is not available. Furthermore, a survey undertaken by Salvation Army of rooming houses found that “</w:t>
      </w:r>
      <w:r>
        <w:rPr>
          <w:i/>
        </w:rPr>
        <w:t>For many … the rooming house was a poor accommodation option that impacted negatively on their safety, physical and mental health, and ability to participate in society.</w:t>
      </w:r>
      <w:r>
        <w:t>”</w:t>
      </w:r>
      <w:r>
        <w:rPr>
          <w:rStyle w:val="FootnoteReference"/>
        </w:rPr>
        <w:footnoteReference w:id="52"/>
      </w:r>
    </w:p>
    <w:p w14:paraId="029D2BF6" w14:textId="2671CF8E" w:rsidR="0002156C" w:rsidRDefault="00DA6F35" w:rsidP="0002156C">
      <w:r>
        <w:t>To the extent that there are not</w:t>
      </w:r>
      <w:r w:rsidR="0002156C">
        <w:t xml:space="preserve"> widespread outbreaks of infectious diseases arising from inadequate standards in prescribed accommodation in Victoria, </w:t>
      </w:r>
      <w:r>
        <w:t xml:space="preserve">this </w:t>
      </w:r>
      <w:r w:rsidR="0002156C">
        <w:t>could partly reflect the effectiveness of the PHWA and the Regulations.</w:t>
      </w:r>
    </w:p>
    <w:p w14:paraId="244A0FF6" w14:textId="36847801" w:rsidR="0079576A" w:rsidDel="00317623" w:rsidRDefault="0079576A" w:rsidP="0002156C">
      <w:pPr>
        <w:pStyle w:val="Heading2un-numbered"/>
      </w:pPr>
      <w:bookmarkStart w:id="150" w:name="_Toc49460291"/>
      <w:r w:rsidDel="00317623">
        <w:t>Extent of the problem</w:t>
      </w:r>
      <w:bookmarkEnd w:id="150"/>
    </w:p>
    <w:p w14:paraId="55B0D094" w14:textId="046B3D9C" w:rsidR="00204785" w:rsidRDefault="00204785" w:rsidP="000A471E">
      <w:pPr>
        <w:pStyle w:val="Heading3"/>
      </w:pPr>
      <w:r>
        <w:t>Characteristics</w:t>
      </w:r>
      <w:r w:rsidR="00FB7F93">
        <w:t xml:space="preserve"> leading to higher risk</w:t>
      </w:r>
    </w:p>
    <w:p w14:paraId="23B4AC4B" w14:textId="547C1E8E" w:rsidR="0002156C" w:rsidRDefault="0002156C" w:rsidP="0002156C">
      <w:r>
        <w:t>Risks to the health and</w:t>
      </w:r>
      <w:r w:rsidDel="00FA0059">
        <w:t xml:space="preserve"> </w:t>
      </w:r>
      <w:r w:rsidR="00FA0059">
        <w:t xml:space="preserve">wellbeing </w:t>
      </w:r>
      <w:r>
        <w:t xml:space="preserve">of occupants vary according to the type of prescribed accommodation. There is significant diversity within the prescribed accommodation sector, which ranges from luxury hotels to rooming houses. Some accommodation facilities offer short stay accommodation whilst others cater more for permanent residents. Some prescribed accommodation facilities target the luxury accommodation market whilst others offer more affordable accommodation for people from low socio-economic backgrounds. Some proprietors provide shared facilities such as laundry, bathroom and kitchen in high density accommodation whilst others offer low density accommodation with limited (or no) shared facilities. Some facilities are ageing, while others are modern and purpose built such as </w:t>
      </w:r>
      <w:r w:rsidR="00355849">
        <w:t xml:space="preserve">some purpose </w:t>
      </w:r>
      <w:r>
        <w:t xml:space="preserve">built student </w:t>
      </w:r>
      <w:r>
        <w:lastRenderedPageBreak/>
        <w:t xml:space="preserve">accommodation and modern rooming houses where the risks are lower (see section 2.1.4). As such, the risks to the </w:t>
      </w:r>
      <w:r w:rsidR="00FA0059">
        <w:t xml:space="preserve">public </w:t>
      </w:r>
      <w:r>
        <w:t>health and</w:t>
      </w:r>
      <w:r w:rsidDel="00FA0059">
        <w:t xml:space="preserve"> </w:t>
      </w:r>
      <w:r w:rsidR="00FA0059">
        <w:t xml:space="preserve">welling </w:t>
      </w:r>
      <w:r>
        <w:t xml:space="preserve">of prescribed accommodation occupants is largely dependent on the characteristics of such accommodation. </w:t>
      </w:r>
    </w:p>
    <w:p w14:paraId="2EF599EE" w14:textId="77777777" w:rsidR="009D41E4" w:rsidRPr="000E38FA" w:rsidRDefault="009D41E4" w:rsidP="009D41E4">
      <w:r w:rsidRPr="000E38FA">
        <w:t xml:space="preserve">The </w:t>
      </w:r>
      <w:r w:rsidRPr="00B15772">
        <w:t>presence of shared facilities</w:t>
      </w:r>
      <w:r w:rsidRPr="000E38FA">
        <w:t xml:space="preserve"> </w:t>
      </w:r>
      <w:r>
        <w:t>increases</w:t>
      </w:r>
      <w:r w:rsidRPr="000E38FA">
        <w:t xml:space="preserve"> the health risks to occupants of prescribed accommodation. </w:t>
      </w:r>
      <w:r>
        <w:t>Common s</w:t>
      </w:r>
      <w:r w:rsidRPr="000E38FA">
        <w:t xml:space="preserve">hared facilities </w:t>
      </w:r>
      <w:r w:rsidR="0002156C">
        <w:t>include</w:t>
      </w:r>
      <w:r w:rsidRPr="000E38FA">
        <w:t xml:space="preserve"> kitchens, bathrooms and laundries in permanent prescribed accommodation and front desks, hotel gyms and elevators in short stay accommodation</w:t>
      </w:r>
      <w:r>
        <w:t>. These</w:t>
      </w:r>
      <w:r w:rsidRPr="000E38FA">
        <w:t xml:space="preserve"> are high-contact, high use </w:t>
      </w:r>
      <w:r>
        <w:t xml:space="preserve">facilities, which </w:t>
      </w:r>
      <w:r w:rsidR="0002156C">
        <w:t>increase</w:t>
      </w:r>
      <w:r w:rsidRPr="000E38FA">
        <w:t xml:space="preserve"> the risk of </w:t>
      </w:r>
      <w:r>
        <w:t xml:space="preserve">transmission of </w:t>
      </w:r>
      <w:r w:rsidRPr="000E38FA">
        <w:t xml:space="preserve">infectious diseases. </w:t>
      </w:r>
      <w:r>
        <w:t>The</w:t>
      </w:r>
      <w:r w:rsidRPr="000E38FA">
        <w:t xml:space="preserve"> frequent use of shared facilities </w:t>
      </w:r>
      <w:r>
        <w:t xml:space="preserve">also </w:t>
      </w:r>
      <w:r w:rsidRPr="000E38FA">
        <w:t xml:space="preserve">induces greater wear and tear on these facilities and raises safety risks should these facilities (or assets within the facilities) fail. </w:t>
      </w:r>
    </w:p>
    <w:p w14:paraId="477536F4" w14:textId="07795660" w:rsidR="00245C4C" w:rsidRPr="000E38FA" w:rsidRDefault="000E740E" w:rsidP="00204785">
      <w:r>
        <w:t>Public h</w:t>
      </w:r>
      <w:r w:rsidRPr="000E38FA">
        <w:t xml:space="preserve">ealth </w:t>
      </w:r>
      <w:r w:rsidR="00F95DB9" w:rsidRPr="000E38FA">
        <w:t>and</w:t>
      </w:r>
      <w:r w:rsidR="00F95DB9" w:rsidRPr="00B15772" w:rsidDel="000E740E">
        <w:t xml:space="preserve"> </w:t>
      </w:r>
      <w:r>
        <w:t>wellbeing</w:t>
      </w:r>
      <w:r w:rsidRPr="00B15772">
        <w:t xml:space="preserve"> </w:t>
      </w:r>
      <w:r w:rsidR="00F95DB9" w:rsidRPr="00B15772">
        <w:t xml:space="preserve">risks are present in both short stay and permanent </w:t>
      </w:r>
      <w:r w:rsidR="004644C2" w:rsidRPr="00B15772">
        <w:t xml:space="preserve">prescribed </w:t>
      </w:r>
      <w:r w:rsidR="00F95DB9" w:rsidRPr="00B15772">
        <w:t xml:space="preserve">accommodation. </w:t>
      </w:r>
      <w:r w:rsidR="005E29C4">
        <w:t xml:space="preserve">In </w:t>
      </w:r>
      <w:r w:rsidR="0002156C">
        <w:t>short</w:t>
      </w:r>
      <w:r w:rsidR="00B05B47" w:rsidRPr="00B15772">
        <w:t xml:space="preserve"> stay accommodation facilities </w:t>
      </w:r>
      <w:r w:rsidR="0002156C">
        <w:t xml:space="preserve">such as </w:t>
      </w:r>
      <w:r w:rsidR="00B05B47" w:rsidRPr="00B15772">
        <w:t>hotels and motels</w:t>
      </w:r>
      <w:r w:rsidR="0002156C">
        <w:t>,</w:t>
      </w:r>
      <w:r w:rsidR="00B05B47" w:rsidRPr="00B15772">
        <w:t xml:space="preserve"> high volumes of people use the accommodation facilities for a short period of time. </w:t>
      </w:r>
      <w:r w:rsidR="0002156C">
        <w:t>This increases</w:t>
      </w:r>
      <w:r w:rsidR="00B05B47" w:rsidRPr="00B15772" w:rsidDel="007B6206">
        <w:t xml:space="preserve"> </w:t>
      </w:r>
      <w:r w:rsidR="00B05B47" w:rsidRPr="00B15772">
        <w:t>hygiene risks to occupants if facilities are not kept clean</w:t>
      </w:r>
      <w:r w:rsidR="002D7F4E" w:rsidRPr="00B15772">
        <w:t xml:space="preserve"> and</w:t>
      </w:r>
      <w:r w:rsidR="00B05B47" w:rsidRPr="00B15772">
        <w:t xml:space="preserve"> if single use items </w:t>
      </w:r>
      <w:r w:rsidR="002D7F4E" w:rsidRPr="00B15772">
        <w:t>including</w:t>
      </w:r>
      <w:r w:rsidR="00B05B47" w:rsidRPr="00B15772">
        <w:t xml:space="preserve"> towels and linen are not changed</w:t>
      </w:r>
      <w:r w:rsidR="002D7F4E" w:rsidRPr="00B15772">
        <w:t xml:space="preserve">. </w:t>
      </w:r>
      <w:r w:rsidR="0002156C">
        <w:t xml:space="preserve">This risk in relation to </w:t>
      </w:r>
      <w:r w:rsidR="00D277A3">
        <w:t xml:space="preserve">high </w:t>
      </w:r>
      <w:r w:rsidR="0002156C">
        <w:t>volumes of people</w:t>
      </w:r>
      <w:r w:rsidR="002D7F4E" w:rsidRPr="000E38FA">
        <w:t xml:space="preserve"> is likely lower in permanent accommodation given the </w:t>
      </w:r>
      <w:r w:rsidR="000157A6">
        <w:t>length of</w:t>
      </w:r>
      <w:r w:rsidR="00245C4C" w:rsidRPr="000E38FA">
        <w:t xml:space="preserve"> </w:t>
      </w:r>
      <w:r w:rsidR="000157A6">
        <w:t>occupancy</w:t>
      </w:r>
      <w:r w:rsidR="00644A1F" w:rsidRPr="000E38FA">
        <w:t xml:space="preserve"> and </w:t>
      </w:r>
      <w:r w:rsidR="00B15772">
        <w:t xml:space="preserve">the </w:t>
      </w:r>
      <w:r w:rsidR="00644A1F" w:rsidRPr="000E38FA">
        <w:t xml:space="preserve">lower </w:t>
      </w:r>
      <w:r w:rsidR="004975C9">
        <w:t>number</w:t>
      </w:r>
      <w:r w:rsidR="00644A1F" w:rsidRPr="000E38FA">
        <w:t xml:space="preserve"> of people</w:t>
      </w:r>
      <w:r w:rsidR="004975C9">
        <w:t xml:space="preserve"> moving through</w:t>
      </w:r>
      <w:r w:rsidR="00644A1F" w:rsidRPr="000E38FA">
        <w:t>,</w:t>
      </w:r>
      <w:r w:rsidR="00245C4C" w:rsidRPr="000E38FA">
        <w:t xml:space="preserve"> </w:t>
      </w:r>
      <w:r w:rsidR="004975C9">
        <w:t>however</w:t>
      </w:r>
      <w:r w:rsidR="00245C4C" w:rsidRPr="000E38FA">
        <w:t xml:space="preserve"> occupants of permanent accommodation still interact with high-touch shared facilities. As such, while occupants of short stay accommodation </w:t>
      </w:r>
      <w:r w:rsidR="00614D84">
        <w:t>may be</w:t>
      </w:r>
      <w:r w:rsidR="00614D84" w:rsidRPr="000E38FA">
        <w:t xml:space="preserve"> </w:t>
      </w:r>
      <w:r w:rsidR="00245C4C" w:rsidRPr="000E38FA">
        <w:t xml:space="preserve">exposed to a higher risk, their counterparts in permanent accommodation </w:t>
      </w:r>
      <w:r w:rsidR="00614D84">
        <w:t>may be</w:t>
      </w:r>
      <w:r w:rsidR="00614D84" w:rsidRPr="000E38FA">
        <w:t xml:space="preserve"> </w:t>
      </w:r>
      <w:r w:rsidR="00245C4C" w:rsidRPr="000E38FA">
        <w:t xml:space="preserve">exposed to a lower risk for longer periods.  </w:t>
      </w:r>
    </w:p>
    <w:p w14:paraId="49CFF31F" w14:textId="2A0D23DC" w:rsidR="00920C95" w:rsidRDefault="00920C95" w:rsidP="00920C95">
      <w:r w:rsidRPr="006B37BF">
        <w:t>Health</w:t>
      </w:r>
      <w:r w:rsidRPr="006B37BF" w:rsidDel="000E740E">
        <w:t xml:space="preserve"> </w:t>
      </w:r>
      <w:r w:rsidRPr="006B37BF">
        <w:t xml:space="preserve">risks </w:t>
      </w:r>
      <w:r w:rsidR="003965FA">
        <w:t>may be</w:t>
      </w:r>
      <w:r w:rsidR="003965FA" w:rsidRPr="006B37BF">
        <w:t xml:space="preserve"> </w:t>
      </w:r>
      <w:r w:rsidRPr="006B37BF">
        <w:t xml:space="preserve">more prominent in high density prescribed accommodation such as </w:t>
      </w:r>
      <w:r>
        <w:t xml:space="preserve">hostels, </w:t>
      </w:r>
      <w:r w:rsidRPr="006B37BF">
        <w:t>rooming houses and student dormitories because the greater the density</w:t>
      </w:r>
      <w:r w:rsidR="00987B76">
        <w:t xml:space="preserve"> and </w:t>
      </w:r>
      <w:r w:rsidR="00EE0A20">
        <w:t xml:space="preserve">the amount of </w:t>
      </w:r>
      <w:r w:rsidR="00987B76">
        <w:t>shared facilities</w:t>
      </w:r>
      <w:r w:rsidRPr="006B37BF">
        <w:t xml:space="preserve">, the more likely it is that infectious diseases </w:t>
      </w:r>
      <w:r>
        <w:t xml:space="preserve">can </w:t>
      </w:r>
      <w:r w:rsidRPr="006B37BF">
        <w:t>spread amongst occupants. High</w:t>
      </w:r>
      <w:r>
        <w:t xml:space="preserve"> density accommodation requires </w:t>
      </w:r>
      <w:r w:rsidRPr="00204785">
        <w:t xml:space="preserve">more cleaning and maintenance to keep these facilities hygienic, sanitary and in good working order.  </w:t>
      </w:r>
    </w:p>
    <w:p w14:paraId="4FF25047" w14:textId="55258038" w:rsidR="00B15772" w:rsidRDefault="004B7C13" w:rsidP="00680AC6">
      <w:r>
        <w:t>While</w:t>
      </w:r>
      <w:r w:rsidR="000E18BF">
        <w:t xml:space="preserve"> some risks may be presen</w:t>
      </w:r>
      <w:r w:rsidR="000E18BF" w:rsidRPr="00B15772">
        <w:t>t</w:t>
      </w:r>
      <w:r w:rsidR="0079576A" w:rsidRPr="00B15772">
        <w:t xml:space="preserve"> </w:t>
      </w:r>
      <w:r w:rsidR="008461AA" w:rsidRPr="00B15772">
        <w:t xml:space="preserve">in </w:t>
      </w:r>
      <w:r w:rsidR="0079576A" w:rsidRPr="00B15772">
        <w:t xml:space="preserve">luxury </w:t>
      </w:r>
      <w:r w:rsidR="00B15772" w:rsidRPr="00B15772">
        <w:t>accommodation,</w:t>
      </w:r>
      <w:r w:rsidR="0079576A" w:rsidRPr="00B15772">
        <w:t xml:space="preserve"> the risks are likely to be higher in</w:t>
      </w:r>
      <w:r w:rsidR="004348F2" w:rsidRPr="00B15772">
        <w:t xml:space="preserve"> </w:t>
      </w:r>
      <w:r w:rsidR="0002156C">
        <w:t xml:space="preserve">affordable </w:t>
      </w:r>
      <w:r w:rsidR="004348F2" w:rsidRPr="00B15772">
        <w:t>accommodation</w:t>
      </w:r>
      <w:r w:rsidR="004348F2" w:rsidRPr="000E38FA">
        <w:t xml:space="preserve">. </w:t>
      </w:r>
      <w:r w:rsidR="00F77B77">
        <w:t>Residents of</w:t>
      </w:r>
      <w:r w:rsidR="004348F2" w:rsidRPr="000E38FA">
        <w:t xml:space="preserve"> </w:t>
      </w:r>
      <w:r w:rsidR="003F589B">
        <w:t>luxury</w:t>
      </w:r>
      <w:r w:rsidR="003F589B" w:rsidRPr="000E38FA">
        <w:t xml:space="preserve"> </w:t>
      </w:r>
      <w:r w:rsidR="004348F2" w:rsidRPr="000E38FA">
        <w:t xml:space="preserve">accommodation are </w:t>
      </w:r>
      <w:r w:rsidR="00F77B77">
        <w:t xml:space="preserve">likely to have more market </w:t>
      </w:r>
      <w:r w:rsidR="00D07D59">
        <w:t xml:space="preserve">power </w:t>
      </w:r>
      <w:r w:rsidR="00A1073E">
        <w:t xml:space="preserve">and can have higher expectations and demands on providers </w:t>
      </w:r>
      <w:r w:rsidR="0042161E">
        <w:t xml:space="preserve">in respect to </w:t>
      </w:r>
      <w:r w:rsidR="004348F2" w:rsidRPr="000E38FA">
        <w:t xml:space="preserve">hygiene, safety and sanitation standards. </w:t>
      </w:r>
      <w:r w:rsidR="003965FA">
        <w:t xml:space="preserve">Lower tier hotels </w:t>
      </w:r>
      <w:r w:rsidR="0002156C">
        <w:t xml:space="preserve">and holiday camps are unable to demand the same levels of hygiene, safety and sanitation as observed in luxury accommodation. </w:t>
      </w:r>
    </w:p>
    <w:p w14:paraId="502FDEF3" w14:textId="1AB4C142" w:rsidR="0002156C" w:rsidRDefault="0002156C" w:rsidP="0002156C">
      <w:pPr>
        <w:rPr>
          <w:i/>
          <w:iCs/>
        </w:rPr>
      </w:pPr>
      <w:r>
        <w:t xml:space="preserve">Self-regulation and market forces also play an important role in reducing health and safety risks for occupants of certain types of prescribed accommodation. Accreditation agencies such as STAR Ratings Australia and Tourism Board of Victoria are self-regulation tools that ensure acceptable hygiene, sanitation and maintenance standards are achieved. These agencies self-regulate hotels, motels, serviced apartments, hosted accommodation, caravan-holiday parks and self-catering properties. Consumer review websites also incentivise hygiene and maintenance standards across the prescribed accommodation sector. It is noted that in June 2011, the then Victorian Competition &amp; Efficiency Commission (VCEC) published its report </w:t>
      </w:r>
      <w:r>
        <w:rPr>
          <w:i/>
          <w:iCs/>
        </w:rPr>
        <w:t>Unlocking Victorian Tourism: An inquiry into Victoria’s Tourism Industry</w:t>
      </w:r>
      <w:r>
        <w:t>. This report noted the role of star rating and other accreditation schemes administered by recognised ratings and accreditation bodies in managing risk.</w:t>
      </w:r>
    </w:p>
    <w:p w14:paraId="5788E937" w14:textId="38AD20E7" w:rsidR="0002156C" w:rsidRDefault="0002156C" w:rsidP="0002156C">
      <w:r>
        <w:t>Affordable accommodation such as rooming houses</w:t>
      </w:r>
      <w:r w:rsidR="00326359">
        <w:t xml:space="preserve"> and</w:t>
      </w:r>
      <w:r w:rsidR="00153A8D">
        <w:t xml:space="preserve"> </w:t>
      </w:r>
      <w:r>
        <w:t>student dormitories are arguably less subject to self-regulation and market forces, which means incentives to maintain health standards are not as strong.</w:t>
      </w:r>
    </w:p>
    <w:p w14:paraId="3A67D41F" w14:textId="741DBC71" w:rsidR="0002156C" w:rsidRDefault="0002156C" w:rsidP="0002156C">
      <w:r>
        <w:t xml:space="preserve">Rooming houses have the highest risk relative to other types of prescribed accommodation. This is because they offer high density accommodation featuring numerous shared facilities (including shared bedrooms) and they provide affordable accommodation </w:t>
      </w:r>
      <w:r w:rsidR="0044524A">
        <w:t xml:space="preserve">for </w:t>
      </w:r>
      <w:r>
        <w:t xml:space="preserve">generally disadvantaged, vulnerable or marginalised members of the community with limited alternative accommodation (see section 2.1.6). </w:t>
      </w:r>
    </w:p>
    <w:p w14:paraId="6232DAC6" w14:textId="6613FEA6" w:rsidR="0079576A" w:rsidRDefault="0079576A" w:rsidP="000A471E">
      <w:pPr>
        <w:pStyle w:val="Heading3"/>
      </w:pPr>
      <w:r>
        <w:t>Underlying causes of the problem</w:t>
      </w:r>
    </w:p>
    <w:p w14:paraId="6DBCFC72" w14:textId="05F4DFBF" w:rsidR="0002156C" w:rsidRDefault="0002156C" w:rsidP="0002156C">
      <w:r>
        <w:t xml:space="preserve">Proprietors may have financial incentives to minimise expenditure on cleaning and maintenance. Reduced cleaning and maintenance is more likely to occur in affordable prescribed accommodation rather than luxury accommodation, because occupants in affordable accommodation may have less market power. It is also more likely to occur in types of prescribed accommodation which are subject to low levels of self-regulation as occupants have limited opportunities to base their </w:t>
      </w:r>
      <w:r>
        <w:lastRenderedPageBreak/>
        <w:t>decisions on the experiences of prior occupants. Material reductions in cleaning and maintenance activities by proprietors would likely give rise to hygiene, sanitation and safety risks for occupants. For example, if shared bathrooms and kitchens are not hygienic it could result in bacterial, viral and parasitic infections (see section 2.3).</w:t>
      </w:r>
    </w:p>
    <w:p w14:paraId="062DA1B2" w14:textId="77777777" w:rsidR="0002156C" w:rsidRDefault="0002156C" w:rsidP="0002156C">
      <w:r>
        <w:t>Proprietors may be incentivised to host as many occupants in their prescribed accommodation facilities as possible. This is because the more occupants there are in a single facility, the more revenue the proprietor can make. Such behaviour is more likely to be observed in affordable accommodation or high density accommodation like rooming houses, student dormitories and hostels, for the reasons identified above. However overcrowding compounds the existing hygiene, sanitation and maintenance risks associated with shared accommodation. It also amplifies the impact of an asset failure as many people are often reliant on the same asset.</w:t>
      </w:r>
    </w:p>
    <w:p w14:paraId="1FA0DBF1" w14:textId="0E09CD7C" w:rsidR="0002156C" w:rsidRPr="0003190D" w:rsidRDefault="0002156C" w:rsidP="0002156C">
      <w:r>
        <w:t xml:space="preserve">With the demand for </w:t>
      </w:r>
      <w:r w:rsidRPr="0003190D">
        <w:t>affordable accommodation (e.g.</w:t>
      </w:r>
      <w:r w:rsidR="0006552B" w:rsidRPr="0003190D">
        <w:t xml:space="preserve"> </w:t>
      </w:r>
      <w:r w:rsidRPr="00EF4E43">
        <w:t>rooming houses, student dormitories and hostels) exceeding the supply, occupants often have limited alternative accommodation options. Literature suggests that “</w:t>
      </w:r>
      <w:r w:rsidRPr="00C349DA">
        <w:rPr>
          <w:i/>
        </w:rPr>
        <w:t xml:space="preserve">The failure of the private rental market to provide accommodation which is </w:t>
      </w:r>
      <w:r w:rsidRPr="0003190D">
        <w:rPr>
          <w:i/>
        </w:rPr>
        <w:t>affordable for … people on low incomes is a crucial driver contributing to the growth of sub-standard … accommodation</w:t>
      </w:r>
      <w:r w:rsidRPr="0003190D">
        <w:t>.”</w:t>
      </w:r>
      <w:r w:rsidRPr="0003190D">
        <w:rPr>
          <w:rStyle w:val="FootnoteReference"/>
        </w:rPr>
        <w:footnoteReference w:id="53"/>
      </w:r>
      <w:r w:rsidRPr="0003190D">
        <w:t xml:space="preserve"> </w:t>
      </w:r>
      <w:r w:rsidR="0003190D" w:rsidRPr="00F0077F">
        <w:t>Similarly, where occupants are not able to access social housing and other types of supported accommodation, they may have limited alternatives making them disproportionately at risk of experiencing substandard accommodation practices. Given these circumstances, occupants may be reluctant to raise issues with the proprietor for fear of being evicted.</w:t>
      </w:r>
      <w:r w:rsidR="0003190D" w:rsidRPr="0003190D">
        <w:t xml:space="preserve"> </w:t>
      </w:r>
    </w:p>
    <w:p w14:paraId="792281D1" w14:textId="77777777" w:rsidR="0002156C" w:rsidRDefault="0002156C" w:rsidP="0002156C">
      <w:r w:rsidRPr="0003190D">
        <w:t>Considering the disadvantaged, vulnerable or marginalised members of the community that reside in certain types of prescribed accommodation</w:t>
      </w:r>
      <w:r>
        <w:t xml:space="preserve"> (particularly in rooming houses), there may be an imbalance of power between proprietors and occupants. Occupants may have limited rights relative to the proprietor and may not be able to leverage collective bargaining power to improve the standards within their accommodation. Some occupants, particularly migrants and international students might not know (or understand) their rights in relation to prescribed accommodation and even where rights are understood it might be difficult to raise issues with the proprietor given language barriers.</w:t>
      </w:r>
    </w:p>
    <w:p w14:paraId="58DF46FD" w14:textId="0D44A17E" w:rsidR="00B35977" w:rsidRDefault="00B35977" w:rsidP="0002529A">
      <w:pPr>
        <w:pStyle w:val="Heading2"/>
      </w:pPr>
      <w:bookmarkStart w:id="151" w:name="_Toc48638272"/>
      <w:bookmarkStart w:id="152" w:name="_Toc49460292"/>
      <w:r>
        <w:t>Compliance</w:t>
      </w:r>
      <w:r w:rsidR="004D353F">
        <w:t xml:space="preserve"> and enforcement</w:t>
      </w:r>
      <w:bookmarkEnd w:id="151"/>
      <w:bookmarkEnd w:id="152"/>
    </w:p>
    <w:p w14:paraId="174D741B" w14:textId="77777777" w:rsidR="0002156C" w:rsidRDefault="0002156C" w:rsidP="0002156C">
      <w:r>
        <w:t>To assess the extent to which the Regulations are addressing the problem, Council data on industry compliance is examined in this section. A 2018 survey of Victorian Councils asked Councils about the array of enforcement activities undertaken in relation to prescribed accommodation.</w:t>
      </w:r>
      <w:r>
        <w:rPr>
          <w:rStyle w:val="FootnoteReference"/>
        </w:rPr>
        <w:t xml:space="preserve"> </w:t>
      </w:r>
      <w:r>
        <w:rPr>
          <w:rStyle w:val="FootnoteReference"/>
        </w:rPr>
        <w:footnoteReference w:id="54"/>
      </w:r>
      <w:r>
        <w:t xml:space="preserve"> The survey received responses from 37 of 79 Councils and accounted for 1,946 of Victoria’s 4,823 registered prescribed accommodation facilities in 2018. Enforcement data collected in the survey is outlined below. It is important to note that while the data is incomplete, it is the best available source of information on compliance with the Regulations.  </w:t>
      </w:r>
    </w:p>
    <w:p w14:paraId="116BF51F" w14:textId="2DA05A2A" w:rsidR="0002156C" w:rsidRDefault="001E19DC" w:rsidP="0002156C">
      <w:pPr>
        <w:pStyle w:val="Caption"/>
      </w:pPr>
      <w:r>
        <w:t xml:space="preserve">Table </w:t>
      </w:r>
      <w:r w:rsidR="004335F8">
        <w:fldChar w:fldCharType="begin"/>
      </w:r>
      <w:r w:rsidR="004335F8">
        <w:instrText xml:space="preserve"> STYLEREF 1 \s </w:instrText>
      </w:r>
      <w:r w:rsidR="004335F8">
        <w:fldChar w:fldCharType="separate"/>
      </w:r>
      <w:r w:rsidR="00795309">
        <w:rPr>
          <w:noProof/>
        </w:rPr>
        <w:t>2</w:t>
      </w:r>
      <w:r w:rsidR="004335F8">
        <w:fldChar w:fldCharType="end"/>
      </w:r>
      <w:r w:rsidR="004335F8">
        <w:noBreakHyphen/>
      </w:r>
      <w:r w:rsidR="004335F8">
        <w:fldChar w:fldCharType="begin"/>
      </w:r>
      <w:r w:rsidR="004335F8">
        <w:instrText xml:space="preserve"> SEQ Table \* ARABIC \s 1 </w:instrText>
      </w:r>
      <w:r w:rsidR="004335F8">
        <w:fldChar w:fldCharType="separate"/>
      </w:r>
      <w:r w:rsidR="00795309">
        <w:rPr>
          <w:noProof/>
        </w:rPr>
        <w:t>2</w:t>
      </w:r>
      <w:r w:rsidR="004335F8">
        <w:fldChar w:fldCharType="end"/>
      </w:r>
      <w:r w:rsidR="0002156C">
        <w:t xml:space="preserve"> Compliance data on prescribed accommodation</w:t>
      </w:r>
    </w:p>
    <w:tbl>
      <w:tblPr>
        <w:tblStyle w:val="Deloittetable"/>
        <w:tblW w:w="9551" w:type="dxa"/>
        <w:tblLook w:val="04A0" w:firstRow="1" w:lastRow="0" w:firstColumn="1" w:lastColumn="0" w:noHBand="0" w:noVBand="1"/>
      </w:tblPr>
      <w:tblGrid>
        <w:gridCol w:w="2566"/>
        <w:gridCol w:w="2396"/>
        <w:gridCol w:w="4589"/>
      </w:tblGrid>
      <w:tr w:rsidR="0002156C" w14:paraId="510655FD" w14:textId="77777777" w:rsidTr="0002156C">
        <w:trPr>
          <w:cnfStyle w:val="100000000000" w:firstRow="1" w:lastRow="0" w:firstColumn="0" w:lastColumn="0" w:oddVBand="0" w:evenVBand="0" w:oddHBand="0" w:evenHBand="0" w:firstRowFirstColumn="0" w:firstRowLastColumn="0" w:lastRowFirstColumn="0" w:lastRowLastColumn="0"/>
          <w:trHeight w:val="561"/>
        </w:trPr>
        <w:tc>
          <w:tcPr>
            <w:tcW w:w="2566" w:type="dxa"/>
            <w:tcBorders>
              <w:left w:val="nil"/>
              <w:bottom w:val="single" w:sz="4" w:space="0" w:color="000000" w:themeColor="text1"/>
              <w:right w:val="nil"/>
            </w:tcBorders>
            <w:hideMark/>
          </w:tcPr>
          <w:p w14:paraId="75A75A69" w14:textId="77777777" w:rsidR="0002156C" w:rsidRDefault="0002156C">
            <w:pPr>
              <w:rPr>
                <w:b/>
                <w:lang w:val="en-GB"/>
              </w:rPr>
            </w:pPr>
            <w:r>
              <w:rPr>
                <w:b/>
                <w:lang w:val="en-GB"/>
              </w:rPr>
              <w:t>Types of enforcement activity</w:t>
            </w:r>
          </w:p>
        </w:tc>
        <w:tc>
          <w:tcPr>
            <w:tcW w:w="2396" w:type="dxa"/>
            <w:tcBorders>
              <w:left w:val="nil"/>
              <w:bottom w:val="single" w:sz="4" w:space="0" w:color="000000" w:themeColor="text1"/>
              <w:right w:val="nil"/>
            </w:tcBorders>
            <w:hideMark/>
          </w:tcPr>
          <w:p w14:paraId="3044582B" w14:textId="77777777" w:rsidR="0002156C" w:rsidRDefault="0002156C">
            <w:pPr>
              <w:rPr>
                <w:b/>
                <w:lang w:val="en-GB"/>
              </w:rPr>
            </w:pPr>
            <w:r>
              <w:rPr>
                <w:b/>
                <w:lang w:val="en-GB"/>
              </w:rPr>
              <w:t>Volume of enforcement activity in 2018</w:t>
            </w:r>
          </w:p>
        </w:tc>
        <w:tc>
          <w:tcPr>
            <w:tcW w:w="4589" w:type="dxa"/>
            <w:tcBorders>
              <w:left w:val="nil"/>
              <w:bottom w:val="single" w:sz="4" w:space="0" w:color="000000" w:themeColor="text1"/>
              <w:right w:val="nil"/>
            </w:tcBorders>
            <w:hideMark/>
          </w:tcPr>
          <w:p w14:paraId="48F7445C" w14:textId="77777777" w:rsidR="0002156C" w:rsidRDefault="0002156C">
            <w:pPr>
              <w:rPr>
                <w:b/>
                <w:lang w:val="en-GB"/>
              </w:rPr>
            </w:pPr>
            <w:r>
              <w:rPr>
                <w:b/>
                <w:lang w:val="en-GB"/>
              </w:rPr>
              <w:t>Enforcement activity relative to the number of prescribed accommodation facilities</w:t>
            </w:r>
          </w:p>
        </w:tc>
      </w:tr>
      <w:tr w:rsidR="0002156C" w14:paraId="34CF3420" w14:textId="77777777" w:rsidTr="0002156C">
        <w:trPr>
          <w:trHeight w:val="259"/>
        </w:trPr>
        <w:tc>
          <w:tcPr>
            <w:tcW w:w="2566" w:type="dxa"/>
            <w:tcBorders>
              <w:top w:val="single" w:sz="4" w:space="0" w:color="000000" w:themeColor="text1"/>
              <w:left w:val="nil"/>
              <w:bottom w:val="single" w:sz="4" w:space="0" w:color="000000" w:themeColor="text1"/>
              <w:right w:val="nil"/>
            </w:tcBorders>
            <w:hideMark/>
          </w:tcPr>
          <w:p w14:paraId="7B1D9935" w14:textId="77777777" w:rsidR="0002156C" w:rsidRDefault="0002156C">
            <w:pPr>
              <w:rPr>
                <w:lang w:val="en-GB"/>
              </w:rPr>
            </w:pPr>
            <w:r>
              <w:rPr>
                <w:lang w:val="en-GB"/>
              </w:rPr>
              <w:t>Complaints</w:t>
            </w:r>
          </w:p>
        </w:tc>
        <w:tc>
          <w:tcPr>
            <w:tcW w:w="2396" w:type="dxa"/>
            <w:tcBorders>
              <w:top w:val="single" w:sz="4" w:space="0" w:color="000000" w:themeColor="text1"/>
              <w:left w:val="nil"/>
              <w:bottom w:val="single" w:sz="4" w:space="0" w:color="000000" w:themeColor="text1"/>
              <w:right w:val="nil"/>
            </w:tcBorders>
            <w:hideMark/>
          </w:tcPr>
          <w:p w14:paraId="398B7F57" w14:textId="77777777" w:rsidR="0002156C" w:rsidRDefault="0002156C">
            <w:pPr>
              <w:jc w:val="center"/>
              <w:rPr>
                <w:lang w:val="en-GB"/>
              </w:rPr>
            </w:pPr>
            <w:r>
              <w:rPr>
                <w:lang w:val="en-GB"/>
              </w:rPr>
              <w:t>569</w:t>
            </w:r>
          </w:p>
        </w:tc>
        <w:tc>
          <w:tcPr>
            <w:tcW w:w="4589" w:type="dxa"/>
            <w:tcBorders>
              <w:top w:val="single" w:sz="4" w:space="0" w:color="000000" w:themeColor="text1"/>
              <w:left w:val="nil"/>
              <w:bottom w:val="single" w:sz="4" w:space="0" w:color="000000" w:themeColor="text1"/>
              <w:right w:val="nil"/>
            </w:tcBorders>
            <w:hideMark/>
          </w:tcPr>
          <w:p w14:paraId="37A0F476" w14:textId="77777777" w:rsidR="0002156C" w:rsidRDefault="0002156C">
            <w:pPr>
              <w:rPr>
                <w:lang w:val="en-GB"/>
              </w:rPr>
            </w:pPr>
            <w:r>
              <w:rPr>
                <w:lang w:val="en-GB"/>
              </w:rPr>
              <w:t>Complaints were made for 30% of properties</w:t>
            </w:r>
          </w:p>
        </w:tc>
      </w:tr>
      <w:tr w:rsidR="0002156C" w14:paraId="11C7EB00" w14:textId="77777777" w:rsidTr="0002156C">
        <w:trPr>
          <w:trHeight w:val="259"/>
        </w:trPr>
        <w:tc>
          <w:tcPr>
            <w:tcW w:w="2566" w:type="dxa"/>
            <w:tcBorders>
              <w:top w:val="single" w:sz="4" w:space="0" w:color="000000" w:themeColor="text1"/>
              <w:left w:val="nil"/>
              <w:bottom w:val="single" w:sz="4" w:space="0" w:color="000000" w:themeColor="text1"/>
              <w:right w:val="nil"/>
            </w:tcBorders>
            <w:hideMark/>
          </w:tcPr>
          <w:p w14:paraId="0C0F80A0" w14:textId="77777777" w:rsidR="0002156C" w:rsidRDefault="0002156C">
            <w:pPr>
              <w:rPr>
                <w:lang w:val="en-GB"/>
              </w:rPr>
            </w:pPr>
            <w:r>
              <w:rPr>
                <w:lang w:val="en-GB"/>
              </w:rPr>
              <w:t>Informal advice</w:t>
            </w:r>
          </w:p>
        </w:tc>
        <w:tc>
          <w:tcPr>
            <w:tcW w:w="2396" w:type="dxa"/>
            <w:tcBorders>
              <w:top w:val="single" w:sz="4" w:space="0" w:color="000000" w:themeColor="text1"/>
              <w:left w:val="nil"/>
              <w:bottom w:val="single" w:sz="4" w:space="0" w:color="000000" w:themeColor="text1"/>
              <w:right w:val="nil"/>
            </w:tcBorders>
            <w:hideMark/>
          </w:tcPr>
          <w:p w14:paraId="49C63B2A" w14:textId="77777777" w:rsidR="0002156C" w:rsidRDefault="0002156C">
            <w:pPr>
              <w:jc w:val="center"/>
              <w:rPr>
                <w:lang w:val="en-GB"/>
              </w:rPr>
            </w:pPr>
            <w:r>
              <w:rPr>
                <w:lang w:val="en-GB"/>
              </w:rPr>
              <w:t>554</w:t>
            </w:r>
          </w:p>
        </w:tc>
        <w:tc>
          <w:tcPr>
            <w:tcW w:w="4589" w:type="dxa"/>
            <w:tcBorders>
              <w:top w:val="single" w:sz="4" w:space="0" w:color="000000" w:themeColor="text1"/>
              <w:left w:val="nil"/>
              <w:bottom w:val="single" w:sz="4" w:space="0" w:color="000000" w:themeColor="text1"/>
              <w:right w:val="nil"/>
            </w:tcBorders>
            <w:hideMark/>
          </w:tcPr>
          <w:p w14:paraId="54D88735" w14:textId="77777777" w:rsidR="0002156C" w:rsidRDefault="0002156C">
            <w:pPr>
              <w:rPr>
                <w:lang w:val="en-GB"/>
              </w:rPr>
            </w:pPr>
            <w:r>
              <w:rPr>
                <w:lang w:val="en-GB"/>
              </w:rPr>
              <w:t>Informal advice was issued for 28% of properties</w:t>
            </w:r>
          </w:p>
        </w:tc>
      </w:tr>
      <w:tr w:rsidR="0002156C" w14:paraId="53E8783E" w14:textId="77777777" w:rsidTr="0002156C">
        <w:trPr>
          <w:trHeight w:val="259"/>
        </w:trPr>
        <w:tc>
          <w:tcPr>
            <w:tcW w:w="2566" w:type="dxa"/>
            <w:tcBorders>
              <w:top w:val="single" w:sz="4" w:space="0" w:color="000000" w:themeColor="text1"/>
              <w:left w:val="nil"/>
              <w:bottom w:val="single" w:sz="4" w:space="0" w:color="000000" w:themeColor="text1"/>
              <w:right w:val="nil"/>
            </w:tcBorders>
            <w:hideMark/>
          </w:tcPr>
          <w:p w14:paraId="3D8F244F" w14:textId="77777777" w:rsidR="0002156C" w:rsidRDefault="0002156C">
            <w:pPr>
              <w:rPr>
                <w:lang w:val="en-GB"/>
              </w:rPr>
            </w:pPr>
            <w:r>
              <w:rPr>
                <w:lang w:val="en-GB"/>
              </w:rPr>
              <w:lastRenderedPageBreak/>
              <w:t>Prohibition notices</w:t>
            </w:r>
          </w:p>
        </w:tc>
        <w:tc>
          <w:tcPr>
            <w:tcW w:w="2396" w:type="dxa"/>
            <w:tcBorders>
              <w:top w:val="single" w:sz="4" w:space="0" w:color="000000" w:themeColor="text1"/>
              <w:left w:val="nil"/>
              <w:bottom w:val="single" w:sz="4" w:space="0" w:color="000000" w:themeColor="text1"/>
              <w:right w:val="nil"/>
            </w:tcBorders>
            <w:hideMark/>
          </w:tcPr>
          <w:p w14:paraId="3770C537" w14:textId="77777777" w:rsidR="0002156C" w:rsidRDefault="0002156C">
            <w:pPr>
              <w:jc w:val="center"/>
              <w:rPr>
                <w:lang w:val="en-GB"/>
              </w:rPr>
            </w:pPr>
            <w:r>
              <w:rPr>
                <w:lang w:val="en-GB"/>
              </w:rPr>
              <w:t>72</w:t>
            </w:r>
          </w:p>
        </w:tc>
        <w:tc>
          <w:tcPr>
            <w:tcW w:w="4589" w:type="dxa"/>
            <w:tcBorders>
              <w:top w:val="single" w:sz="4" w:space="0" w:color="000000" w:themeColor="text1"/>
              <w:left w:val="nil"/>
              <w:bottom w:val="single" w:sz="4" w:space="0" w:color="000000" w:themeColor="text1"/>
              <w:right w:val="nil"/>
            </w:tcBorders>
            <w:hideMark/>
          </w:tcPr>
          <w:p w14:paraId="7C4A92A3" w14:textId="77777777" w:rsidR="0002156C" w:rsidRDefault="0002156C">
            <w:pPr>
              <w:rPr>
                <w:lang w:val="en-GB"/>
              </w:rPr>
            </w:pPr>
            <w:r>
              <w:rPr>
                <w:lang w:val="en-GB"/>
              </w:rPr>
              <w:t>Prohibition notices were issued to 3.7% of properties</w:t>
            </w:r>
          </w:p>
        </w:tc>
      </w:tr>
      <w:tr w:rsidR="0002156C" w14:paraId="238BBB85" w14:textId="77777777" w:rsidTr="0002156C">
        <w:trPr>
          <w:trHeight w:val="259"/>
        </w:trPr>
        <w:tc>
          <w:tcPr>
            <w:tcW w:w="2566" w:type="dxa"/>
            <w:tcBorders>
              <w:top w:val="single" w:sz="4" w:space="0" w:color="000000" w:themeColor="text1"/>
              <w:left w:val="nil"/>
              <w:bottom w:val="single" w:sz="4" w:space="0" w:color="000000" w:themeColor="text1"/>
              <w:right w:val="nil"/>
            </w:tcBorders>
            <w:hideMark/>
          </w:tcPr>
          <w:p w14:paraId="1859B446" w14:textId="77777777" w:rsidR="0002156C" w:rsidRDefault="0002156C">
            <w:pPr>
              <w:rPr>
                <w:lang w:val="en-GB"/>
              </w:rPr>
            </w:pPr>
            <w:r>
              <w:rPr>
                <w:lang w:val="en-GB"/>
              </w:rPr>
              <w:t>Prosecutions</w:t>
            </w:r>
          </w:p>
        </w:tc>
        <w:tc>
          <w:tcPr>
            <w:tcW w:w="2396" w:type="dxa"/>
            <w:tcBorders>
              <w:top w:val="single" w:sz="4" w:space="0" w:color="000000" w:themeColor="text1"/>
              <w:left w:val="nil"/>
              <w:bottom w:val="single" w:sz="4" w:space="0" w:color="000000" w:themeColor="text1"/>
              <w:right w:val="nil"/>
            </w:tcBorders>
            <w:hideMark/>
          </w:tcPr>
          <w:p w14:paraId="44659B6D" w14:textId="77777777" w:rsidR="0002156C" w:rsidRDefault="0002156C">
            <w:pPr>
              <w:jc w:val="center"/>
              <w:rPr>
                <w:lang w:val="en-GB"/>
              </w:rPr>
            </w:pPr>
            <w:r>
              <w:rPr>
                <w:lang w:val="en-GB"/>
              </w:rPr>
              <w:t>3</w:t>
            </w:r>
          </w:p>
        </w:tc>
        <w:tc>
          <w:tcPr>
            <w:tcW w:w="4589" w:type="dxa"/>
            <w:tcBorders>
              <w:top w:val="single" w:sz="4" w:space="0" w:color="000000" w:themeColor="text1"/>
              <w:left w:val="nil"/>
              <w:bottom w:val="single" w:sz="4" w:space="0" w:color="000000" w:themeColor="text1"/>
              <w:right w:val="nil"/>
            </w:tcBorders>
            <w:hideMark/>
          </w:tcPr>
          <w:p w14:paraId="09086EB5" w14:textId="77777777" w:rsidR="0002156C" w:rsidRDefault="0002156C">
            <w:pPr>
              <w:rPr>
                <w:lang w:val="en-GB"/>
              </w:rPr>
            </w:pPr>
            <w:r>
              <w:rPr>
                <w:lang w:val="en-GB"/>
              </w:rPr>
              <w:t>Prosecutions were pursued for 0.2% of properties</w:t>
            </w:r>
          </w:p>
        </w:tc>
      </w:tr>
    </w:tbl>
    <w:p w14:paraId="42A5A5C6" w14:textId="77777777" w:rsidR="0002156C" w:rsidRDefault="0002156C" w:rsidP="0002156C">
      <w:pPr>
        <w:pStyle w:val="FootnoteText"/>
      </w:pPr>
      <w:r>
        <w:t>DHHS. (2019). Public Health and Wellbeing Regulations Sunset Review – Survey of Environmental Health Officers.</w:t>
      </w:r>
    </w:p>
    <w:p w14:paraId="67D56934" w14:textId="77777777" w:rsidR="0002156C" w:rsidRDefault="0002156C" w:rsidP="0002156C">
      <w:pPr>
        <w:pStyle w:val="FootnoteText"/>
      </w:pPr>
    </w:p>
    <w:p w14:paraId="0131ECA6" w14:textId="4FBA94FE" w:rsidR="0002156C" w:rsidRDefault="0002156C" w:rsidP="0002156C">
      <w:r>
        <w:t>Survey results indicate that most Council</w:t>
      </w:r>
      <w:r w:rsidR="00BC0F7F">
        <w:t>s</w:t>
      </w:r>
      <w:r>
        <w:t xml:space="preserve"> conduct inspections at least annually in line with their assessment of registration or renewal applications. Some Councils noted that additional inspections were undertaken in response to complaints. While the number of complaints was relatively high, Councils noted that not all complaints were indeed related to the prescribed accommodation regulations. Generally speaking, the low number of prohibition notices and prosecutions suggest relatively good compliance with the Regulations</w:t>
      </w:r>
      <w:r w:rsidR="00F539AF">
        <w:t>. It is difficult to draw a conclusion</w:t>
      </w:r>
      <w:r w:rsidR="00534C66">
        <w:t xml:space="preserve"> on this; for example it</w:t>
      </w:r>
      <w:r>
        <w:t xml:space="preserve"> </w:t>
      </w:r>
      <w:r w:rsidR="00534C66">
        <w:t xml:space="preserve">could </w:t>
      </w:r>
      <w:r>
        <w:t>suggest that the Regulations are achieving their objective</w:t>
      </w:r>
      <w:r w:rsidR="009B3E3F">
        <w:t xml:space="preserve">, </w:t>
      </w:r>
      <w:r w:rsidR="00534C66">
        <w:t xml:space="preserve">or it could </w:t>
      </w:r>
      <w:r w:rsidR="007142E3">
        <w:t>be that proprietors are meeting the standards regardless of the Regulations</w:t>
      </w:r>
      <w:r w:rsidR="00AE081C">
        <w:t>,</w:t>
      </w:r>
      <w:r w:rsidR="00AE081C" w:rsidRPr="00AE081C">
        <w:t xml:space="preserve"> or Councils may be choosing not to initiate formal enforcement actions.</w:t>
      </w:r>
    </w:p>
    <w:p w14:paraId="73506056" w14:textId="77777777" w:rsidR="0002156C" w:rsidRDefault="0002156C" w:rsidP="0002156C">
      <w:r>
        <w:t>It is worth noting that the survey data is not disaggregated by type of prescribed accommodation hence it is difficult to comment on the performance of different types of accommodation. CAV however have supplied data on the number of complaints it has received in relation to rooming houses and student accommodation. The data estimates that there were a total of 306 complaints in rooming houses and 38 complaints in student accommodation in 2018-19.</w:t>
      </w:r>
      <w:r>
        <w:rPr>
          <w:rStyle w:val="FootnoteReference"/>
        </w:rPr>
        <w:footnoteReference w:id="55"/>
      </w:r>
      <w:r>
        <w:t xml:space="preserve"> This anecdotally suggests that there may be more complaints in rooming houses but there are also more registered rooming houses relative to other forms of student accommodation. </w:t>
      </w:r>
    </w:p>
    <w:p w14:paraId="6D8CC0BF" w14:textId="2AB20CA3" w:rsidR="0002156C" w:rsidRDefault="0002156C" w:rsidP="0002156C">
      <w:r>
        <w:t xml:space="preserve">In general, stakeholder feedback and compliance data suggest that the Regulations are achieving their objective. </w:t>
      </w:r>
    </w:p>
    <w:p w14:paraId="5FC82484" w14:textId="4A03D46B" w:rsidR="007D40F8" w:rsidRDefault="00CF0739" w:rsidP="0002529A">
      <w:pPr>
        <w:pStyle w:val="Heading2"/>
      </w:pPr>
      <w:bookmarkStart w:id="153" w:name="_Toc48638273"/>
      <w:bookmarkStart w:id="154" w:name="_Toc49460293"/>
      <w:r>
        <w:t xml:space="preserve">Objectives of </w:t>
      </w:r>
      <w:r w:rsidR="00430055">
        <w:t xml:space="preserve">the </w:t>
      </w:r>
      <w:r>
        <w:t>Regulations</w:t>
      </w:r>
      <w:bookmarkEnd w:id="153"/>
      <w:bookmarkEnd w:id="154"/>
    </w:p>
    <w:p w14:paraId="21BDB1BF" w14:textId="43B59A79" w:rsidR="007D40F8" w:rsidRDefault="007D40F8" w:rsidP="00921A2F">
      <w:pPr>
        <w:autoSpaceDE w:val="0"/>
        <w:autoSpaceDN w:val="0"/>
        <w:adjustRightInd w:val="0"/>
        <w:spacing w:after="0" w:line="240" w:lineRule="auto"/>
      </w:pPr>
    </w:p>
    <w:p w14:paraId="707784CA" w14:textId="2E45A755" w:rsidR="0002156C" w:rsidRDefault="0002156C" w:rsidP="0002156C">
      <w:r>
        <w:t xml:space="preserve">The Regulations support the objectives of the PHWA, which </w:t>
      </w:r>
      <w:r w:rsidR="00DB14FF">
        <w:t>include achieving</w:t>
      </w:r>
      <w:r>
        <w:t xml:space="preserve"> the highest attainable standard of public health and wellbeing by:</w:t>
      </w:r>
    </w:p>
    <w:p w14:paraId="342E1FBC" w14:textId="77777777" w:rsidR="0002156C" w:rsidRDefault="0002156C" w:rsidP="0002156C">
      <w:pPr>
        <w:pStyle w:val="ListParagraph"/>
        <w:numPr>
          <w:ilvl w:val="0"/>
          <w:numId w:val="127"/>
        </w:numPr>
      </w:pPr>
      <w:r>
        <w:t>Protecting public health and preventing disease, illness, injury, disability or premature death</w:t>
      </w:r>
    </w:p>
    <w:p w14:paraId="68844DEE" w14:textId="77777777" w:rsidR="0002156C" w:rsidRDefault="0002156C" w:rsidP="0002156C">
      <w:pPr>
        <w:pStyle w:val="ListParagraph"/>
        <w:numPr>
          <w:ilvl w:val="0"/>
          <w:numId w:val="127"/>
        </w:numPr>
      </w:pPr>
      <w:r>
        <w:t>Promoting conditions in which persons can be healthy</w:t>
      </w:r>
    </w:p>
    <w:p w14:paraId="36AE8D1C" w14:textId="77777777" w:rsidR="0002156C" w:rsidRDefault="0002156C" w:rsidP="0002156C">
      <w:pPr>
        <w:pStyle w:val="ListParagraph"/>
        <w:numPr>
          <w:ilvl w:val="0"/>
          <w:numId w:val="127"/>
        </w:numPr>
      </w:pPr>
      <w:r>
        <w:t>Reducing inequalities in the state of public health and wellbeing.</w:t>
      </w:r>
      <w:r>
        <w:rPr>
          <w:rStyle w:val="FootnoteReference"/>
        </w:rPr>
        <w:footnoteReference w:id="56"/>
      </w:r>
    </w:p>
    <w:p w14:paraId="6168495B" w14:textId="4F6D9FFF" w:rsidR="0002156C" w:rsidRPr="005B7148" w:rsidRDefault="0002156C" w:rsidP="00221EDF">
      <w:pPr>
        <w:rPr>
          <w:rFonts w:ascii="Times New Roman" w:hAnsi="Times New Roman" w:cs="Times New Roman"/>
          <w:sz w:val="24"/>
          <w:szCs w:val="24"/>
          <w:lang w:eastAsia="en-AU"/>
        </w:rPr>
      </w:pPr>
      <w:r>
        <w:t xml:space="preserve">The objective of the Regulations is to contribute to the achievement of the highest attainable standard of public health and wellbeing by prescribing matters </w:t>
      </w:r>
      <w:r w:rsidR="0001288A">
        <w:t>t</w:t>
      </w:r>
      <w:r>
        <w:t xml:space="preserve">o give effect to the PHWA. This includes establishing the registration scheme and a range of requirements </w:t>
      </w:r>
      <w:r w:rsidRPr="00221EDF">
        <w:rPr>
          <w:rFonts w:asciiTheme="majorHAnsi" w:hAnsiTheme="majorHAnsi"/>
        </w:rPr>
        <w:t>intended to prevent overcrowding and ensuring adequate maintenance and hygiene standards in prescribed accommodation premises</w:t>
      </w:r>
      <w:r w:rsidR="00E10B69" w:rsidRPr="00221EDF">
        <w:rPr>
          <w:rFonts w:asciiTheme="majorHAnsi" w:hAnsiTheme="majorHAnsi"/>
        </w:rPr>
        <w:t>.</w:t>
      </w:r>
      <w:r w:rsidR="00E10B69" w:rsidRPr="00221EDF">
        <w:rPr>
          <w:rFonts w:asciiTheme="majorHAnsi" w:hAnsiTheme="majorHAnsi" w:cs="Times New Roman"/>
          <w:lang w:eastAsia="en-AU"/>
        </w:rPr>
        <w:t xml:space="preserve"> </w:t>
      </w:r>
      <w:r w:rsidR="00221EDF" w:rsidRPr="00221EDF">
        <w:rPr>
          <w:rFonts w:asciiTheme="majorHAnsi" w:hAnsiTheme="majorHAnsi"/>
        </w:rPr>
        <w:t>The Regulations aim to achieve</w:t>
      </w:r>
      <w:r w:rsidR="00221EDF" w:rsidRPr="00221EDF">
        <w:rPr>
          <w:rFonts w:asciiTheme="majorHAnsi" w:hAnsiTheme="majorHAnsi" w:cs="Times New Roman"/>
          <w:lang w:eastAsia="en-AU"/>
        </w:rPr>
        <w:t xml:space="preserve"> the objectives in a</w:t>
      </w:r>
      <w:r w:rsidR="00B4375A">
        <w:rPr>
          <w:rFonts w:asciiTheme="majorHAnsi" w:hAnsiTheme="majorHAnsi" w:cs="Times New Roman"/>
          <w:lang w:eastAsia="en-AU"/>
        </w:rPr>
        <w:t xml:space="preserve"> cost</w:t>
      </w:r>
      <w:r w:rsidR="00221EDF" w:rsidRPr="00221EDF">
        <w:rPr>
          <w:rFonts w:asciiTheme="majorHAnsi" w:hAnsiTheme="majorHAnsi" w:cs="Times New Roman"/>
          <w:lang w:eastAsia="en-AU"/>
        </w:rPr>
        <w:t xml:space="preserve"> efficient manner</w:t>
      </w:r>
      <w:r w:rsidR="00B4375A">
        <w:rPr>
          <w:rFonts w:asciiTheme="majorHAnsi" w:hAnsiTheme="majorHAnsi" w:cs="Times New Roman"/>
          <w:lang w:eastAsia="en-AU"/>
        </w:rPr>
        <w:t>.</w:t>
      </w:r>
    </w:p>
    <w:p w14:paraId="0CB87A47" w14:textId="09646617" w:rsidR="00921A2F" w:rsidRDefault="00921A2F" w:rsidP="00433B4A"/>
    <w:p w14:paraId="2A92243D" w14:textId="1BB9CFC6" w:rsidR="001470FC" w:rsidRPr="00E05B57" w:rsidRDefault="000A574C" w:rsidP="0002529A">
      <w:pPr>
        <w:pStyle w:val="Heading1"/>
      </w:pPr>
      <w:bookmarkStart w:id="155" w:name="_Toc10111308"/>
      <w:bookmarkStart w:id="156" w:name="_Toc17892132"/>
      <w:bookmarkStart w:id="157" w:name="_Toc447626781"/>
      <w:r>
        <w:lastRenderedPageBreak/>
        <w:t xml:space="preserve"> </w:t>
      </w:r>
      <w:bookmarkStart w:id="158" w:name="_Toc49460294"/>
      <w:r w:rsidR="00F513A5" w:rsidRPr="00CD6F30">
        <w:t>Options</w:t>
      </w:r>
      <w:bookmarkEnd w:id="155"/>
      <w:bookmarkEnd w:id="156"/>
      <w:bookmarkEnd w:id="158"/>
    </w:p>
    <w:p w14:paraId="2A92243E" w14:textId="318B6465" w:rsidR="00F513A5" w:rsidRPr="00C07963" w:rsidRDefault="00F513A5" w:rsidP="00C07963">
      <w:pPr>
        <w:pStyle w:val="Sectionintro"/>
      </w:pPr>
      <w:r w:rsidRPr="00C07963">
        <w:t xml:space="preserve">This chapter outlines the set of options considered </w:t>
      </w:r>
      <w:r w:rsidR="00BD2721">
        <w:t xml:space="preserve">for the </w:t>
      </w:r>
      <w:r w:rsidR="007A37DC">
        <w:t xml:space="preserve">future </w:t>
      </w:r>
      <w:r w:rsidR="00BD2721">
        <w:t>Regulations</w:t>
      </w:r>
      <w:r w:rsidRPr="00C07963">
        <w:t xml:space="preserve">, an explanation of how </w:t>
      </w:r>
      <w:r w:rsidR="00BD2721">
        <w:t>they</w:t>
      </w:r>
      <w:r w:rsidRPr="00C07963">
        <w:t xml:space="preserve"> were selected, and why other options were considered </w:t>
      </w:r>
      <w:r w:rsidR="00540325">
        <w:t>u</w:t>
      </w:r>
      <w:r w:rsidRPr="00C07963">
        <w:t>nfeasible</w:t>
      </w:r>
      <w:r w:rsidR="007A37DC">
        <w:t xml:space="preserve"> at this time</w:t>
      </w:r>
      <w:r w:rsidRPr="00C07963">
        <w:t xml:space="preserve">. </w:t>
      </w:r>
    </w:p>
    <w:p w14:paraId="2A92243F" w14:textId="1E386334" w:rsidR="00F513A5" w:rsidRPr="00C07963" w:rsidRDefault="00476C36" w:rsidP="0002529A">
      <w:pPr>
        <w:pStyle w:val="Heading2"/>
      </w:pPr>
      <w:bookmarkStart w:id="159" w:name="_Toc48638275"/>
      <w:bookmarkStart w:id="160" w:name="_Toc49460295"/>
      <w:r>
        <w:t>Development of options</w:t>
      </w:r>
      <w:bookmarkEnd w:id="159"/>
      <w:bookmarkEnd w:id="160"/>
    </w:p>
    <w:p w14:paraId="6B1122D1" w14:textId="6A4DA67E" w:rsidR="00D257BD" w:rsidRPr="0000517D" w:rsidRDefault="00F513A5" w:rsidP="00CF3E13">
      <w:r w:rsidRPr="0063508B">
        <w:t xml:space="preserve">As part of the RIS process, it is </w:t>
      </w:r>
      <w:r w:rsidR="00410BCA">
        <w:t>important</w:t>
      </w:r>
      <w:r w:rsidRPr="0063508B">
        <w:t xml:space="preserve"> to consider different options that could achieve the Victorian Government’s objectives. The </w:t>
      </w:r>
      <w:r w:rsidRPr="0063508B">
        <w:rPr>
          <w:i/>
        </w:rPr>
        <w:t>Subordinate Legislation Act 1994</w:t>
      </w:r>
      <w:r w:rsidRPr="0063508B">
        <w:t xml:space="preserve">, the </w:t>
      </w:r>
      <w:r w:rsidRPr="0063508B">
        <w:rPr>
          <w:i/>
        </w:rPr>
        <w:t>Subordinate Legislation Act Guidelines,</w:t>
      </w:r>
      <w:r w:rsidRPr="00C07963">
        <w:rPr>
          <w:vertAlign w:val="superscript"/>
        </w:rPr>
        <w:footnoteReference w:id="57"/>
      </w:r>
      <w:r w:rsidRPr="0063508B">
        <w:t xml:space="preserve"> and the </w:t>
      </w:r>
      <w:r w:rsidRPr="0063508B">
        <w:rPr>
          <w:i/>
        </w:rPr>
        <w:t>Victorian Guide to Regulation</w:t>
      </w:r>
      <w:r w:rsidR="0006222D">
        <w:rPr>
          <w:rStyle w:val="FootnoteReference"/>
          <w:i/>
        </w:rPr>
        <w:footnoteReference w:id="58"/>
      </w:r>
      <w:r w:rsidRPr="0063508B">
        <w:t xml:space="preserve"> recommend that this includes considering a range of approaches, including co-regulation and non-regulatory approaches, and those that reduce the burden imposed on business and/or the community.</w:t>
      </w:r>
    </w:p>
    <w:p w14:paraId="4E1BC337" w14:textId="693AD6FD" w:rsidR="00E564A3" w:rsidRDefault="00644EB7" w:rsidP="004F60AF">
      <w:pPr>
        <w:spacing w:after="120"/>
        <w:rPr>
          <w:rFonts w:asciiTheme="minorHAnsi" w:hAnsiTheme="minorHAnsi" w:cs="Segoe UI Light"/>
        </w:rPr>
      </w:pPr>
      <w:r>
        <w:rPr>
          <w:rFonts w:asciiTheme="minorHAnsi" w:hAnsiTheme="minorHAnsi" w:cs="Segoe UI Light"/>
        </w:rPr>
        <w:t>As</w:t>
      </w:r>
      <w:r w:rsidR="00A90DA9" w:rsidRPr="00864403">
        <w:rPr>
          <w:rFonts w:asciiTheme="minorHAnsi" w:hAnsiTheme="minorHAnsi" w:cs="Segoe UI Light"/>
        </w:rPr>
        <w:t xml:space="preserve"> outlined in Chapter 1, several </w:t>
      </w:r>
      <w:r w:rsidR="00C6622E">
        <w:rPr>
          <w:rFonts w:asciiTheme="minorHAnsi" w:hAnsiTheme="minorHAnsi" w:cs="Segoe UI Light"/>
        </w:rPr>
        <w:t>cross-</w:t>
      </w:r>
      <w:r w:rsidR="00BF36D0">
        <w:rPr>
          <w:rFonts w:asciiTheme="minorHAnsi" w:hAnsiTheme="minorHAnsi" w:cs="Segoe UI Light"/>
        </w:rPr>
        <w:t>portfolio</w:t>
      </w:r>
      <w:r w:rsidR="00C6622E">
        <w:rPr>
          <w:rFonts w:asciiTheme="minorHAnsi" w:hAnsiTheme="minorHAnsi" w:cs="Segoe UI Light"/>
        </w:rPr>
        <w:t xml:space="preserve"> </w:t>
      </w:r>
      <w:r w:rsidR="00A90DA9" w:rsidRPr="00864403">
        <w:rPr>
          <w:rFonts w:asciiTheme="minorHAnsi" w:hAnsiTheme="minorHAnsi" w:cs="Segoe UI Light"/>
        </w:rPr>
        <w:t xml:space="preserve">reviews are </w:t>
      </w:r>
      <w:r w:rsidR="00C6622E">
        <w:rPr>
          <w:rFonts w:asciiTheme="minorHAnsi" w:hAnsiTheme="minorHAnsi" w:cs="Segoe UI Light"/>
        </w:rPr>
        <w:t xml:space="preserve">currently </w:t>
      </w:r>
      <w:r w:rsidR="00A90DA9" w:rsidRPr="00864403">
        <w:rPr>
          <w:rFonts w:asciiTheme="minorHAnsi" w:hAnsiTheme="minorHAnsi" w:cs="Segoe UI Light"/>
        </w:rPr>
        <w:t xml:space="preserve">being undertaken across </w:t>
      </w:r>
      <w:r w:rsidR="00C22273" w:rsidRPr="00864403">
        <w:rPr>
          <w:rFonts w:asciiTheme="minorHAnsi" w:hAnsiTheme="minorHAnsi" w:cs="Segoe UI Light"/>
        </w:rPr>
        <w:t xml:space="preserve">different Victorian Government departments and agencies that have </w:t>
      </w:r>
      <w:r w:rsidR="00831B48" w:rsidRPr="00864403">
        <w:rPr>
          <w:rFonts w:asciiTheme="minorHAnsi" w:hAnsiTheme="minorHAnsi" w:cs="Segoe UI Light"/>
        </w:rPr>
        <w:t xml:space="preserve">substantial overlap with key matters </w:t>
      </w:r>
      <w:r w:rsidR="009A1CB7" w:rsidRPr="00864403">
        <w:rPr>
          <w:rFonts w:asciiTheme="minorHAnsi" w:hAnsiTheme="minorHAnsi" w:cs="Segoe UI Light"/>
        </w:rPr>
        <w:t xml:space="preserve">addressed in the </w:t>
      </w:r>
      <w:r w:rsidR="004F5860" w:rsidRPr="00864403">
        <w:rPr>
          <w:rFonts w:asciiTheme="minorHAnsi" w:hAnsiTheme="minorHAnsi" w:cs="Segoe UI Light"/>
        </w:rPr>
        <w:t>Regulations.</w:t>
      </w:r>
      <w:r w:rsidR="003149E7">
        <w:rPr>
          <w:rFonts w:asciiTheme="minorHAnsi" w:hAnsiTheme="minorHAnsi" w:cs="Segoe UI Light"/>
        </w:rPr>
        <w:t xml:space="preserve"> Any findings of these reviews </w:t>
      </w:r>
      <w:r w:rsidR="00CF6787">
        <w:rPr>
          <w:rFonts w:asciiTheme="minorHAnsi" w:hAnsiTheme="minorHAnsi" w:cs="Segoe UI Light"/>
        </w:rPr>
        <w:t xml:space="preserve">that </w:t>
      </w:r>
      <w:r w:rsidR="00AF6923">
        <w:rPr>
          <w:rFonts w:asciiTheme="minorHAnsi" w:hAnsiTheme="minorHAnsi" w:cs="Segoe UI Light"/>
        </w:rPr>
        <w:t xml:space="preserve">might </w:t>
      </w:r>
      <w:r w:rsidR="00CF6787">
        <w:rPr>
          <w:rFonts w:asciiTheme="minorHAnsi" w:hAnsiTheme="minorHAnsi" w:cs="Segoe UI Light"/>
        </w:rPr>
        <w:t xml:space="preserve">require changes to </w:t>
      </w:r>
      <w:r w:rsidR="00AF6923">
        <w:rPr>
          <w:rFonts w:asciiTheme="minorHAnsi" w:hAnsiTheme="minorHAnsi" w:cs="Segoe UI Light"/>
        </w:rPr>
        <w:t xml:space="preserve">the Regulations </w:t>
      </w:r>
      <w:r w:rsidR="000F6ECA">
        <w:rPr>
          <w:rFonts w:asciiTheme="minorHAnsi" w:hAnsiTheme="minorHAnsi" w:cs="Segoe UI Light"/>
        </w:rPr>
        <w:t xml:space="preserve">will not </w:t>
      </w:r>
      <w:r w:rsidR="000F6ECA" w:rsidRPr="004F60AF">
        <w:rPr>
          <w:rFonts w:asciiTheme="minorHAnsi" w:hAnsiTheme="minorHAnsi" w:cs="Segoe UI Light"/>
        </w:rPr>
        <w:t xml:space="preserve">be delivered within the timeframe </w:t>
      </w:r>
      <w:r w:rsidR="004C72BC" w:rsidRPr="004F60AF">
        <w:rPr>
          <w:rFonts w:asciiTheme="minorHAnsi" w:hAnsiTheme="minorHAnsi" w:cs="Segoe UI Light"/>
        </w:rPr>
        <w:t>for this RIS process</w:t>
      </w:r>
      <w:r w:rsidR="00C11CF8" w:rsidRPr="004F60AF">
        <w:rPr>
          <w:rFonts w:asciiTheme="minorHAnsi" w:hAnsiTheme="minorHAnsi" w:cs="Segoe UI Light"/>
        </w:rPr>
        <w:t xml:space="preserve"> and remake of Regulations, but will be considered </w:t>
      </w:r>
      <w:r w:rsidR="00FD504E" w:rsidRPr="004F60AF">
        <w:rPr>
          <w:rFonts w:asciiTheme="minorHAnsi" w:hAnsiTheme="minorHAnsi" w:cs="Segoe UI Light"/>
        </w:rPr>
        <w:t xml:space="preserve">by DHHS </w:t>
      </w:r>
      <w:r w:rsidR="003C3B92" w:rsidRPr="004F60AF">
        <w:rPr>
          <w:rFonts w:asciiTheme="minorHAnsi" w:hAnsiTheme="minorHAnsi" w:cs="Segoe UI Light"/>
        </w:rPr>
        <w:t>after these cross-</w:t>
      </w:r>
      <w:r w:rsidR="00CB52D3" w:rsidRPr="004F60AF">
        <w:rPr>
          <w:rFonts w:asciiTheme="minorHAnsi" w:hAnsiTheme="minorHAnsi" w:cs="Segoe UI Light"/>
        </w:rPr>
        <w:t>portf</w:t>
      </w:r>
      <w:r w:rsidR="00C54071" w:rsidRPr="004F60AF">
        <w:rPr>
          <w:rFonts w:asciiTheme="minorHAnsi" w:hAnsiTheme="minorHAnsi" w:cs="Segoe UI Light"/>
        </w:rPr>
        <w:t>o</w:t>
      </w:r>
      <w:r w:rsidR="00CB52D3" w:rsidRPr="004F60AF">
        <w:rPr>
          <w:rFonts w:asciiTheme="minorHAnsi" w:hAnsiTheme="minorHAnsi" w:cs="Segoe UI Light"/>
        </w:rPr>
        <w:t>l</w:t>
      </w:r>
      <w:r w:rsidR="00C54071" w:rsidRPr="004F60AF">
        <w:rPr>
          <w:rFonts w:asciiTheme="minorHAnsi" w:hAnsiTheme="minorHAnsi" w:cs="Segoe UI Light"/>
        </w:rPr>
        <w:t>i</w:t>
      </w:r>
      <w:r w:rsidR="00CB52D3" w:rsidRPr="004F60AF">
        <w:rPr>
          <w:rFonts w:asciiTheme="minorHAnsi" w:hAnsiTheme="minorHAnsi" w:cs="Segoe UI Light"/>
        </w:rPr>
        <w:t xml:space="preserve">o </w:t>
      </w:r>
      <w:r w:rsidR="003C3B92" w:rsidRPr="004F60AF">
        <w:rPr>
          <w:rFonts w:asciiTheme="minorHAnsi" w:hAnsiTheme="minorHAnsi" w:cs="Segoe UI Light"/>
        </w:rPr>
        <w:t>reviews have been complete</w:t>
      </w:r>
      <w:r w:rsidR="004C72BC" w:rsidRPr="004F60AF">
        <w:rPr>
          <w:rFonts w:asciiTheme="minorHAnsi" w:hAnsiTheme="minorHAnsi" w:cs="Segoe UI Light"/>
        </w:rPr>
        <w:t>d</w:t>
      </w:r>
      <w:r w:rsidR="000A574C" w:rsidRPr="004F60AF">
        <w:rPr>
          <w:rFonts w:asciiTheme="minorHAnsi" w:hAnsiTheme="minorHAnsi" w:cs="Segoe UI Light"/>
        </w:rPr>
        <w:t>. In addition, some findings may require a change to the PHWA</w:t>
      </w:r>
      <w:r w:rsidR="00964ABD" w:rsidRPr="004F60AF">
        <w:rPr>
          <w:rFonts w:asciiTheme="minorHAnsi" w:hAnsiTheme="minorHAnsi" w:cs="Segoe UI Light"/>
        </w:rPr>
        <w:t>; this is a</w:t>
      </w:r>
      <w:r w:rsidR="000A574C" w:rsidRPr="004F60AF">
        <w:rPr>
          <w:rFonts w:asciiTheme="minorHAnsi" w:hAnsiTheme="minorHAnsi" w:cs="Segoe UI Light"/>
        </w:rPr>
        <w:t xml:space="preserve"> legislative change which is</w:t>
      </w:r>
      <w:r w:rsidR="000A574C">
        <w:rPr>
          <w:rFonts w:asciiTheme="minorHAnsi" w:hAnsiTheme="minorHAnsi" w:cs="Segoe UI Light"/>
        </w:rPr>
        <w:t xml:space="preserve"> a separate and often a more complex process than change to regulations. S</w:t>
      </w:r>
      <w:r w:rsidR="001921DC">
        <w:rPr>
          <w:rFonts w:asciiTheme="minorHAnsi" w:hAnsiTheme="minorHAnsi" w:cs="Segoe UI Light"/>
        </w:rPr>
        <w:t xml:space="preserve">ee Chapter 5 for discussion of timeline and process for assessing </w:t>
      </w:r>
      <w:r w:rsidR="007521CF">
        <w:rPr>
          <w:rFonts w:asciiTheme="minorHAnsi" w:hAnsiTheme="minorHAnsi" w:cs="Segoe UI Light"/>
        </w:rPr>
        <w:t>the</w:t>
      </w:r>
      <w:r w:rsidR="001921DC">
        <w:rPr>
          <w:rFonts w:asciiTheme="minorHAnsi" w:hAnsiTheme="minorHAnsi" w:cs="Segoe UI Light"/>
        </w:rPr>
        <w:t xml:space="preserve"> finding of these reviews</w:t>
      </w:r>
      <w:r w:rsidR="00FD504E">
        <w:rPr>
          <w:rFonts w:asciiTheme="minorHAnsi" w:hAnsiTheme="minorHAnsi" w:cs="Segoe UI Light"/>
        </w:rPr>
        <w:t>.</w:t>
      </w:r>
      <w:r w:rsidR="001C0176">
        <w:rPr>
          <w:rFonts w:asciiTheme="minorHAnsi" w:hAnsiTheme="minorHAnsi" w:cs="Segoe UI Light"/>
        </w:rPr>
        <w:t xml:space="preserve"> </w:t>
      </w:r>
      <w:r w:rsidR="00007C54">
        <w:rPr>
          <w:rFonts w:asciiTheme="minorHAnsi" w:hAnsiTheme="minorHAnsi" w:cs="Segoe UI Light"/>
        </w:rPr>
        <w:t>R</w:t>
      </w:r>
      <w:r w:rsidR="00A8222A">
        <w:rPr>
          <w:rFonts w:asciiTheme="minorHAnsi" w:hAnsiTheme="minorHAnsi" w:cs="Segoe UI Light"/>
        </w:rPr>
        <w:t xml:space="preserve">eviews that may have implications for the Regulations </w:t>
      </w:r>
      <w:r w:rsidR="001E27E8">
        <w:rPr>
          <w:rFonts w:asciiTheme="minorHAnsi" w:hAnsiTheme="minorHAnsi" w:cs="Segoe UI Light"/>
        </w:rPr>
        <w:t>include</w:t>
      </w:r>
      <w:r w:rsidR="002C7709" w:rsidRPr="002C7709">
        <w:rPr>
          <w:rFonts w:asciiTheme="minorHAnsi" w:hAnsiTheme="minorHAnsi" w:cs="Segoe UI Light"/>
        </w:rPr>
        <w:t xml:space="preserve"> </w:t>
      </w:r>
      <w:r w:rsidR="002C7709">
        <w:rPr>
          <w:rFonts w:asciiTheme="minorHAnsi" w:hAnsiTheme="minorHAnsi" w:cs="Segoe UI Light"/>
        </w:rPr>
        <w:t xml:space="preserve">a review of the definition of ‘rooming house’ to be conducted by DJCS, and a review </w:t>
      </w:r>
      <w:r w:rsidR="002C7709" w:rsidRPr="00C61449">
        <w:rPr>
          <w:rFonts w:asciiTheme="minorHAnsi" w:hAnsiTheme="minorHAnsi" w:cs="Segoe UI Light"/>
        </w:rPr>
        <w:t>of the Residential Tenancies (Caravan Parks and Movable Dwellings Registration and Standards) Regulations</w:t>
      </w:r>
      <w:r w:rsidR="002C7709">
        <w:rPr>
          <w:rFonts w:asciiTheme="minorHAnsi" w:hAnsiTheme="minorHAnsi" w:cs="Segoe UI Light"/>
        </w:rPr>
        <w:t xml:space="preserve"> by DELWP. Further information about the issues being examined in the various reviews is contained in Appendix </w:t>
      </w:r>
      <w:r w:rsidR="00BA34B0">
        <w:rPr>
          <w:rFonts w:asciiTheme="minorHAnsi" w:hAnsiTheme="minorHAnsi" w:cs="Segoe UI Light"/>
        </w:rPr>
        <w:t>C</w:t>
      </w:r>
      <w:r w:rsidR="00C92676">
        <w:rPr>
          <w:rFonts w:asciiTheme="minorHAnsi" w:hAnsiTheme="minorHAnsi" w:cs="Segoe UI Light"/>
        </w:rPr>
        <w:t>.</w:t>
      </w:r>
      <w:r w:rsidR="002C7709">
        <w:rPr>
          <w:rFonts w:asciiTheme="minorHAnsi" w:hAnsiTheme="minorHAnsi" w:cs="Segoe UI Light"/>
        </w:rPr>
        <w:t xml:space="preserve"> </w:t>
      </w:r>
    </w:p>
    <w:p w14:paraId="51880F36" w14:textId="124A0BF4" w:rsidR="000A574C" w:rsidRDefault="000A574C" w:rsidP="00CA6E3B">
      <w:r>
        <w:t xml:space="preserve">DHHS considers it is appropriate to consider the recommendations and stakeholder feedback arising from the DELWP review in considering whether definitions of types of prescribed accommodation (e.g. holiday camps) are </w:t>
      </w:r>
      <w:r w:rsidR="00801300">
        <w:t>‘</w:t>
      </w:r>
      <w:r>
        <w:t>fit for purpose</w:t>
      </w:r>
      <w:r w:rsidR="00801300">
        <w:t>’</w:t>
      </w:r>
      <w:r>
        <w:t>.</w:t>
      </w:r>
    </w:p>
    <w:p w14:paraId="2A8AE4DF" w14:textId="71CCD427" w:rsidR="001F52E5" w:rsidRPr="00864403" w:rsidRDefault="001F52E5" w:rsidP="001F52E5">
      <w:pPr>
        <w:spacing w:after="120"/>
        <w:rPr>
          <w:rFonts w:asciiTheme="minorHAnsi" w:hAnsiTheme="minorHAnsi" w:cs="Segoe UI Light"/>
        </w:rPr>
      </w:pPr>
      <w:r w:rsidRPr="00864403">
        <w:rPr>
          <w:rFonts w:asciiTheme="minorHAnsi" w:hAnsiTheme="minorHAnsi" w:cs="Segoe UI Light"/>
        </w:rPr>
        <w:t xml:space="preserve">The range of feasible options for addressing the problem </w:t>
      </w:r>
      <w:r w:rsidR="007B79E8">
        <w:rPr>
          <w:rFonts w:asciiTheme="minorHAnsi" w:hAnsiTheme="minorHAnsi" w:cs="Segoe UI Light"/>
        </w:rPr>
        <w:t>has therefore</w:t>
      </w:r>
      <w:r w:rsidRPr="00864403">
        <w:rPr>
          <w:rFonts w:asciiTheme="minorHAnsi" w:hAnsiTheme="minorHAnsi" w:cs="Segoe UI Light"/>
        </w:rPr>
        <w:t xml:space="preserve"> </w:t>
      </w:r>
      <w:r w:rsidR="00B64252">
        <w:rPr>
          <w:rFonts w:asciiTheme="minorHAnsi" w:hAnsiTheme="minorHAnsi" w:cs="Segoe UI Light"/>
        </w:rPr>
        <w:t xml:space="preserve">been </w:t>
      </w:r>
      <w:r w:rsidRPr="00864403">
        <w:rPr>
          <w:rFonts w:asciiTheme="minorHAnsi" w:hAnsiTheme="minorHAnsi" w:cs="Segoe UI Light"/>
        </w:rPr>
        <w:t xml:space="preserve">considered within this broader </w:t>
      </w:r>
      <w:r w:rsidR="00582165">
        <w:rPr>
          <w:rFonts w:asciiTheme="minorHAnsi" w:hAnsiTheme="minorHAnsi" w:cs="Segoe UI Light"/>
        </w:rPr>
        <w:t>Victorian Government context.</w:t>
      </w:r>
    </w:p>
    <w:p w14:paraId="7EB55668" w14:textId="6A4B9B76" w:rsidR="006D2A1E" w:rsidRDefault="006D2A1E" w:rsidP="006D2A1E">
      <w:pPr>
        <w:spacing w:after="120"/>
        <w:rPr>
          <w:rFonts w:asciiTheme="minorHAnsi" w:hAnsiTheme="minorHAnsi" w:cs="Segoe UI Light"/>
        </w:rPr>
      </w:pPr>
      <w:r>
        <w:rPr>
          <w:rFonts w:asciiTheme="minorHAnsi" w:hAnsiTheme="minorHAnsi" w:cs="Segoe UI Light"/>
        </w:rPr>
        <w:t>Where the reviews require change to the Regulations and/or the PHWA in the context of their regulatory objectives, DHH</w:t>
      </w:r>
      <w:r w:rsidR="00D13EA6">
        <w:rPr>
          <w:rFonts w:asciiTheme="minorHAnsi" w:hAnsiTheme="minorHAnsi" w:cs="Segoe UI Light"/>
        </w:rPr>
        <w:t>S</w:t>
      </w:r>
      <w:r>
        <w:rPr>
          <w:rFonts w:asciiTheme="minorHAnsi" w:hAnsiTheme="minorHAnsi" w:cs="Segoe UI Light"/>
        </w:rPr>
        <w:t xml:space="preserve"> will consult with any sector of the public on which a significant economic or social burden may be imposed by a proposed change. Where any consultation on change occurs after the remake of the Regulations in December 2020, key stakeholders will likely have greater capacity (in terms of time and priority) to engage than they do at this time given the COVID-19 health emergency and social distancing requirements.  </w:t>
      </w:r>
    </w:p>
    <w:p w14:paraId="2EF6F996" w14:textId="1BA2490E" w:rsidR="006D2E65" w:rsidRPr="006D2E65" w:rsidRDefault="000C71D7" w:rsidP="006D2E65">
      <w:pPr>
        <w:spacing w:after="120"/>
        <w:rPr>
          <w:rFonts w:asciiTheme="minorHAnsi" w:hAnsiTheme="minorHAnsi" w:cs="Segoe UI Light"/>
        </w:rPr>
      </w:pPr>
      <w:r>
        <w:rPr>
          <w:rFonts w:asciiTheme="minorHAnsi" w:hAnsiTheme="minorHAnsi" w:cs="Segoe UI Light"/>
        </w:rPr>
        <w:t>Notwithstanding th</w:t>
      </w:r>
      <w:r w:rsidR="006D2E65">
        <w:rPr>
          <w:rFonts w:asciiTheme="minorHAnsi" w:hAnsiTheme="minorHAnsi" w:cs="Segoe UI Light"/>
        </w:rPr>
        <w:t xml:space="preserve">is constraint, </w:t>
      </w:r>
      <w:r w:rsidR="006D2E65" w:rsidRPr="006D2E65">
        <w:rPr>
          <w:rFonts w:asciiTheme="minorHAnsi" w:hAnsiTheme="minorHAnsi" w:cs="Segoe UI Light"/>
        </w:rPr>
        <w:t>DHHS has</w:t>
      </w:r>
      <w:r w:rsidR="007269DF">
        <w:rPr>
          <w:rFonts w:asciiTheme="minorHAnsi" w:hAnsiTheme="minorHAnsi" w:cs="Segoe UI Light"/>
        </w:rPr>
        <w:t xml:space="preserve">, prior to </w:t>
      </w:r>
      <w:r w:rsidR="00801300">
        <w:rPr>
          <w:rFonts w:asciiTheme="minorHAnsi" w:hAnsiTheme="minorHAnsi" w:cs="Segoe UI Light"/>
        </w:rPr>
        <w:t xml:space="preserve">releasing </w:t>
      </w:r>
      <w:r w:rsidR="007269DF">
        <w:rPr>
          <w:rFonts w:asciiTheme="minorHAnsi" w:hAnsiTheme="minorHAnsi" w:cs="Segoe UI Light"/>
        </w:rPr>
        <w:t xml:space="preserve">this RIS, </w:t>
      </w:r>
      <w:r w:rsidR="006D2E65" w:rsidRPr="006D2E65">
        <w:rPr>
          <w:rFonts w:asciiTheme="minorHAnsi" w:hAnsiTheme="minorHAnsi" w:cs="Segoe UI Light"/>
        </w:rPr>
        <w:t>undertaken stakeholder consultation with key stakeholders</w:t>
      </w:r>
      <w:r w:rsidR="00153A8D">
        <w:rPr>
          <w:rFonts w:asciiTheme="minorHAnsi" w:hAnsiTheme="minorHAnsi" w:cs="Segoe UI Light"/>
        </w:rPr>
        <w:t xml:space="preserve"> </w:t>
      </w:r>
      <w:r w:rsidR="003326E3">
        <w:rPr>
          <w:rFonts w:asciiTheme="minorHAnsi" w:hAnsiTheme="minorHAnsi" w:cs="Segoe UI Light"/>
        </w:rPr>
        <w:t xml:space="preserve">(see </w:t>
      </w:r>
      <w:r w:rsidR="001D032B">
        <w:rPr>
          <w:rFonts w:asciiTheme="minorHAnsi" w:hAnsiTheme="minorHAnsi" w:cs="Segoe UI Light"/>
        </w:rPr>
        <w:t xml:space="preserve">Appendix B for </w:t>
      </w:r>
      <w:r w:rsidR="00F56D49">
        <w:rPr>
          <w:rFonts w:asciiTheme="minorHAnsi" w:hAnsiTheme="minorHAnsi" w:cs="Segoe UI Light"/>
        </w:rPr>
        <w:t>an overview</w:t>
      </w:r>
      <w:r w:rsidR="001D032B">
        <w:rPr>
          <w:rFonts w:asciiTheme="minorHAnsi" w:hAnsiTheme="minorHAnsi" w:cs="Segoe UI Light"/>
        </w:rPr>
        <w:t xml:space="preserve"> of consultation findings)</w:t>
      </w:r>
      <w:r w:rsidR="00C01471">
        <w:rPr>
          <w:rFonts w:asciiTheme="minorHAnsi" w:hAnsiTheme="minorHAnsi" w:cs="Segoe UI Light"/>
        </w:rPr>
        <w:t xml:space="preserve">. In summary, </w:t>
      </w:r>
      <w:r w:rsidR="006D2E65" w:rsidRPr="006D2E65">
        <w:rPr>
          <w:rFonts w:asciiTheme="minorHAnsi" w:hAnsiTheme="minorHAnsi" w:cs="Segoe UI Light"/>
        </w:rPr>
        <w:t xml:space="preserve">consultation has not identified any other material </w:t>
      </w:r>
      <w:r w:rsidR="00561E2C">
        <w:rPr>
          <w:rFonts w:asciiTheme="minorHAnsi" w:hAnsiTheme="minorHAnsi" w:cs="Segoe UI Light"/>
        </w:rPr>
        <w:t xml:space="preserve">and immediate </w:t>
      </w:r>
      <w:r w:rsidR="006D2E65" w:rsidRPr="006D2E65">
        <w:rPr>
          <w:rFonts w:asciiTheme="minorHAnsi" w:hAnsiTheme="minorHAnsi" w:cs="Segoe UI Light"/>
        </w:rPr>
        <w:t xml:space="preserve">issues with the current Regulations that need to be </w:t>
      </w:r>
      <w:r w:rsidR="00561E2C">
        <w:rPr>
          <w:rFonts w:asciiTheme="minorHAnsi" w:hAnsiTheme="minorHAnsi" w:cs="Segoe UI Light"/>
        </w:rPr>
        <w:t xml:space="preserve">urgently </w:t>
      </w:r>
      <w:r w:rsidR="006D2E65" w:rsidRPr="006D2E65">
        <w:rPr>
          <w:rFonts w:asciiTheme="minorHAnsi" w:hAnsiTheme="minorHAnsi" w:cs="Segoe UI Light"/>
        </w:rPr>
        <w:t xml:space="preserve">addressed in this </w:t>
      </w:r>
      <w:r w:rsidR="00240514" w:rsidRPr="006D2E65">
        <w:rPr>
          <w:rFonts w:asciiTheme="minorHAnsi" w:hAnsiTheme="minorHAnsi" w:cs="Segoe UI Light"/>
        </w:rPr>
        <w:t>review</w:t>
      </w:r>
      <w:r w:rsidR="00240514">
        <w:rPr>
          <w:rFonts w:asciiTheme="minorHAnsi" w:hAnsiTheme="minorHAnsi" w:cs="Segoe UI Light"/>
        </w:rPr>
        <w:t xml:space="preserve"> and are not being addressed in other forums or reviews</w:t>
      </w:r>
      <w:r w:rsidR="00240514" w:rsidRPr="006D2E65">
        <w:rPr>
          <w:rFonts w:asciiTheme="minorHAnsi" w:hAnsiTheme="minorHAnsi" w:cs="Segoe UI Light"/>
        </w:rPr>
        <w:t>.</w:t>
      </w:r>
    </w:p>
    <w:p w14:paraId="2A92244E" w14:textId="032B4C75" w:rsidR="00F772EE" w:rsidRPr="00C07963" w:rsidRDefault="00CC05F7" w:rsidP="00CA6E3B">
      <w:pPr>
        <w:spacing w:after="120"/>
        <w:rPr>
          <w:rFonts w:asciiTheme="minorHAnsi" w:hAnsiTheme="minorHAnsi" w:cs="Segoe UI Light"/>
        </w:rPr>
      </w:pPr>
      <w:r>
        <w:rPr>
          <w:rFonts w:asciiTheme="minorHAnsi" w:hAnsiTheme="minorHAnsi" w:cs="Segoe UI Light"/>
        </w:rPr>
        <w:t xml:space="preserve">Given the diverse nature of the prescribed accommodation sectors, there are different perspectives among stakeholder groups regarding the Regulations and their operation. </w:t>
      </w:r>
      <w:r w:rsidR="00561E2C">
        <w:rPr>
          <w:rFonts w:asciiTheme="minorHAnsi" w:hAnsiTheme="minorHAnsi" w:cs="Segoe UI Light"/>
        </w:rPr>
        <w:t xml:space="preserve">However, it still appears </w:t>
      </w:r>
      <w:r w:rsidR="00561E2C">
        <w:rPr>
          <w:rFonts w:asciiTheme="minorHAnsi" w:hAnsiTheme="minorHAnsi" w:cs="Segoe UI Light"/>
        </w:rPr>
        <w:lastRenderedPageBreak/>
        <w:t>that unhygienic, unsafe and overcrowded premises are</w:t>
      </w:r>
      <w:r>
        <w:rPr>
          <w:rFonts w:asciiTheme="minorHAnsi" w:hAnsiTheme="minorHAnsi" w:cs="Segoe UI Light"/>
        </w:rPr>
        <w:t xml:space="preserve"> the key drivers of public health issues in shared accommodation. </w:t>
      </w:r>
    </w:p>
    <w:p w14:paraId="2A92244F" w14:textId="1620D64A" w:rsidR="00F513A5" w:rsidRPr="0066130A" w:rsidRDefault="00CC2AB1" w:rsidP="005A3D16">
      <w:pPr>
        <w:pStyle w:val="Heading2"/>
      </w:pPr>
      <w:bookmarkStart w:id="161" w:name="_Toc48638276"/>
      <w:bookmarkStart w:id="162" w:name="_Toc49460296"/>
      <w:r>
        <w:t xml:space="preserve">Options </w:t>
      </w:r>
      <w:r w:rsidR="00BE7836">
        <w:t>being considered</w:t>
      </w:r>
      <w:bookmarkEnd w:id="161"/>
      <w:r w:rsidR="00DA5F65">
        <w:t xml:space="preserve"> in this RIS</w:t>
      </w:r>
      <w:bookmarkEnd w:id="162"/>
    </w:p>
    <w:p w14:paraId="3C54D375" w14:textId="12B917B0" w:rsidR="00CC2AB1" w:rsidRPr="00E64C4D" w:rsidRDefault="00CC2AB1" w:rsidP="00CC2AB1">
      <w:pPr>
        <w:pStyle w:val="ListBullet2"/>
        <w:numPr>
          <w:ilvl w:val="0"/>
          <w:numId w:val="0"/>
        </w:numPr>
        <w:rPr>
          <w:szCs w:val="18"/>
        </w:rPr>
      </w:pPr>
      <w:r w:rsidRPr="00E64C4D">
        <w:rPr>
          <w:szCs w:val="18"/>
        </w:rPr>
        <w:t xml:space="preserve">The options being considered </w:t>
      </w:r>
      <w:r w:rsidR="00876A9F">
        <w:rPr>
          <w:szCs w:val="18"/>
        </w:rPr>
        <w:t>are</w:t>
      </w:r>
      <w:r w:rsidRPr="00E64C4D">
        <w:rPr>
          <w:szCs w:val="18"/>
        </w:rPr>
        <w:t>:</w:t>
      </w:r>
    </w:p>
    <w:p w14:paraId="05AB5B8C" w14:textId="1032740E" w:rsidR="00416BF6" w:rsidRPr="00CA6E3B" w:rsidRDefault="00CC2AB1" w:rsidP="00CA6E3B">
      <w:pPr>
        <w:pStyle w:val="ListBullet"/>
        <w:numPr>
          <w:ilvl w:val="0"/>
          <w:numId w:val="12"/>
        </w:numPr>
        <w:rPr>
          <w:bCs/>
          <w:szCs w:val="18"/>
        </w:rPr>
      </w:pPr>
      <w:r w:rsidRPr="00A61E12">
        <w:rPr>
          <w:b/>
        </w:rPr>
        <w:t>Base Case</w:t>
      </w:r>
      <w:r w:rsidRPr="00CA6E3B">
        <w:t xml:space="preserve">: </w:t>
      </w:r>
      <w:r w:rsidRPr="00FF1A06">
        <w:t>the case that would exist in the absence of regulations</w:t>
      </w:r>
      <w:r w:rsidR="004931D5" w:rsidRPr="00FF1A06">
        <w:t xml:space="preserve"> i.e. if the Regulations were allowed to lapse at the end of 2020</w:t>
      </w:r>
      <w:r w:rsidRPr="00FF1A06">
        <w:t>.</w:t>
      </w:r>
      <w:r w:rsidR="00ED08F7" w:rsidRPr="00FF1A06">
        <w:t xml:space="preserve"> </w:t>
      </w:r>
      <w:r w:rsidR="004527BE" w:rsidRPr="00FF1A06">
        <w:t xml:space="preserve">The Base Case would mean </w:t>
      </w:r>
      <w:r w:rsidR="00F516FF" w:rsidRPr="00FF1A06">
        <w:t xml:space="preserve">that </w:t>
      </w:r>
      <w:r w:rsidR="00F72912" w:rsidRPr="00FF1A06">
        <w:t xml:space="preserve">there is no detailed prescription of what accommodation </w:t>
      </w:r>
      <w:r w:rsidR="00524FD4" w:rsidRPr="00FF1A06">
        <w:t xml:space="preserve">places </w:t>
      </w:r>
      <w:r w:rsidR="002267F2" w:rsidRPr="00FF1A06">
        <w:t xml:space="preserve">are </w:t>
      </w:r>
      <w:r w:rsidR="00F516FF" w:rsidRPr="00FF1A06">
        <w:t xml:space="preserve">subject to </w:t>
      </w:r>
      <w:r w:rsidR="00513C50" w:rsidRPr="00FF1A06">
        <w:t xml:space="preserve">the </w:t>
      </w:r>
      <w:r w:rsidR="003754BE" w:rsidRPr="00FF1A06">
        <w:t>registration provisions of the</w:t>
      </w:r>
      <w:r w:rsidR="00E63C50" w:rsidRPr="00FF1A06">
        <w:t xml:space="preserve"> </w:t>
      </w:r>
      <w:r w:rsidR="00FF0503" w:rsidRPr="00CA6E3B">
        <w:rPr>
          <w:bCs/>
          <w:szCs w:val="18"/>
        </w:rPr>
        <w:t>PHWA</w:t>
      </w:r>
      <w:r w:rsidR="00E63C50" w:rsidRPr="00FF1A06">
        <w:t xml:space="preserve">, </w:t>
      </w:r>
      <w:r w:rsidR="003754BE" w:rsidRPr="00FF1A06">
        <w:t xml:space="preserve">and no </w:t>
      </w:r>
      <w:r w:rsidR="001920AF" w:rsidRPr="00FF1A06">
        <w:t>hygiene and maintenance standards would be prescribed.</w:t>
      </w:r>
      <w:r w:rsidR="006C6BB4" w:rsidRPr="00FF1A06">
        <w:t xml:space="preserve"> </w:t>
      </w:r>
      <w:r w:rsidR="00322145" w:rsidRPr="00CA6E3B">
        <w:rPr>
          <w:bCs/>
          <w:szCs w:val="18"/>
        </w:rPr>
        <w:t xml:space="preserve">It is important to note that </w:t>
      </w:r>
      <w:r w:rsidR="00BE4636" w:rsidRPr="00CA6E3B">
        <w:rPr>
          <w:bCs/>
          <w:szCs w:val="18"/>
        </w:rPr>
        <w:t>t</w:t>
      </w:r>
      <w:r w:rsidR="004931D5" w:rsidRPr="00CA6E3B">
        <w:rPr>
          <w:bCs/>
          <w:szCs w:val="18"/>
        </w:rPr>
        <w:t>he Base Case is a counter-factual scenario used to provide a common point of comparison for all options.</w:t>
      </w:r>
    </w:p>
    <w:p w14:paraId="64CC9374" w14:textId="48A4DB1E" w:rsidR="006443B5" w:rsidRPr="00772F82" w:rsidRDefault="003F321B" w:rsidP="00CA6E3B">
      <w:pPr>
        <w:pStyle w:val="ListBullet"/>
        <w:numPr>
          <w:ilvl w:val="0"/>
          <w:numId w:val="12"/>
        </w:numPr>
        <w:rPr>
          <w:rFonts w:asciiTheme="minorHAnsi" w:hAnsiTheme="minorHAnsi" w:cs="Segoe UI Light"/>
          <w:szCs w:val="18"/>
        </w:rPr>
      </w:pPr>
      <w:r w:rsidRPr="00E64C4D">
        <w:rPr>
          <w:b/>
          <w:szCs w:val="18"/>
        </w:rPr>
        <w:t>Option</w:t>
      </w:r>
      <w:r w:rsidR="002B0B80">
        <w:rPr>
          <w:b/>
          <w:szCs w:val="18"/>
        </w:rPr>
        <w:t xml:space="preserve"> </w:t>
      </w:r>
      <w:r w:rsidRPr="00E64C4D">
        <w:rPr>
          <w:b/>
          <w:szCs w:val="18"/>
        </w:rPr>
        <w:t xml:space="preserve">1: </w:t>
      </w:r>
      <w:r w:rsidR="00CC2AB1" w:rsidRPr="00E64C4D">
        <w:rPr>
          <w:b/>
          <w:szCs w:val="18"/>
        </w:rPr>
        <w:t xml:space="preserve">Current Regulations: </w:t>
      </w:r>
      <w:r w:rsidR="00CC2AB1" w:rsidRPr="00E64C4D">
        <w:rPr>
          <w:szCs w:val="18"/>
        </w:rPr>
        <w:t xml:space="preserve">the current Regulations </w:t>
      </w:r>
      <w:r w:rsidR="00BF0F6B" w:rsidRPr="00E64C4D">
        <w:rPr>
          <w:szCs w:val="18"/>
        </w:rPr>
        <w:t>would be re-made in their current form (see summary of current Regulations in Appendix A.) The inclusion of this status quo option provides for an evaluation of the effectiveness</w:t>
      </w:r>
      <w:r w:rsidR="00BF0F6B" w:rsidRPr="00E64C4D">
        <w:rPr>
          <w:rFonts w:asciiTheme="minorHAnsi" w:hAnsiTheme="minorHAnsi" w:cs="Segoe UI Light"/>
          <w:szCs w:val="18"/>
        </w:rPr>
        <w:t xml:space="preserve"> of the current regulations, which is important in the context of sunsetting </w:t>
      </w:r>
      <w:r w:rsidR="00BC1EA2" w:rsidRPr="00E64C4D">
        <w:rPr>
          <w:rFonts w:asciiTheme="minorHAnsi" w:hAnsiTheme="minorHAnsi" w:cs="Segoe UI Light"/>
          <w:szCs w:val="18"/>
        </w:rPr>
        <w:t>r</w:t>
      </w:r>
      <w:r w:rsidR="00BF0F6B" w:rsidRPr="00E64C4D">
        <w:rPr>
          <w:rFonts w:asciiTheme="minorHAnsi" w:hAnsiTheme="minorHAnsi" w:cs="Segoe UI Light"/>
          <w:szCs w:val="18"/>
        </w:rPr>
        <w:t xml:space="preserve">egulations. </w:t>
      </w:r>
    </w:p>
    <w:p w14:paraId="213A74F9" w14:textId="17AC0526" w:rsidR="00416BF6" w:rsidRPr="00E64C4D" w:rsidRDefault="003F321B" w:rsidP="00416BF6">
      <w:pPr>
        <w:pStyle w:val="ListBullet"/>
        <w:numPr>
          <w:ilvl w:val="0"/>
          <w:numId w:val="12"/>
        </w:numPr>
        <w:rPr>
          <w:szCs w:val="18"/>
        </w:rPr>
      </w:pPr>
      <w:r w:rsidRPr="00E64C4D">
        <w:rPr>
          <w:b/>
          <w:szCs w:val="18"/>
        </w:rPr>
        <w:t xml:space="preserve">Option 2: </w:t>
      </w:r>
      <w:r w:rsidR="00CC2AB1" w:rsidRPr="00E64C4D">
        <w:rPr>
          <w:b/>
          <w:szCs w:val="18"/>
        </w:rPr>
        <w:t xml:space="preserve">Current Regulations with minor improvements: </w:t>
      </w:r>
      <w:r w:rsidR="00CC2AB1" w:rsidRPr="00E64C4D">
        <w:rPr>
          <w:szCs w:val="18"/>
        </w:rPr>
        <w:t xml:space="preserve">the current Regulations </w:t>
      </w:r>
      <w:r w:rsidR="00905B24">
        <w:rPr>
          <w:szCs w:val="18"/>
        </w:rPr>
        <w:t>would be</w:t>
      </w:r>
      <w:r w:rsidR="00CC2AB1" w:rsidRPr="00E64C4D">
        <w:rPr>
          <w:szCs w:val="18"/>
        </w:rPr>
        <w:t xml:space="preserve"> remade with minor improvements including </w:t>
      </w:r>
      <w:r w:rsidR="00D25B1D" w:rsidRPr="00E64C4D">
        <w:rPr>
          <w:szCs w:val="18"/>
        </w:rPr>
        <w:t xml:space="preserve">changes to definitions to align with other regulatory frameworks and </w:t>
      </w:r>
      <w:r w:rsidR="00CC2AB1" w:rsidRPr="00E64C4D">
        <w:rPr>
          <w:szCs w:val="18"/>
        </w:rPr>
        <w:t xml:space="preserve">technical updates. This will include, for example, amendment of the prescribed accommodation definition of ‘rooming house’ to pick up the definition in the </w:t>
      </w:r>
      <w:r w:rsidR="00561E2C" w:rsidRPr="00253112">
        <w:rPr>
          <w:iCs/>
          <w:szCs w:val="18"/>
        </w:rPr>
        <w:t>RTA</w:t>
      </w:r>
      <w:r w:rsidR="00CC2AB1" w:rsidRPr="00E64C4D">
        <w:rPr>
          <w:szCs w:val="18"/>
        </w:rPr>
        <w:t xml:space="preserve"> as the lead definition and to provide for consistency with the new </w:t>
      </w:r>
      <w:r w:rsidR="00561E2C">
        <w:rPr>
          <w:szCs w:val="18"/>
        </w:rPr>
        <w:t>RTA</w:t>
      </w:r>
      <w:r w:rsidR="00CC2AB1" w:rsidRPr="00E64C4D">
        <w:rPr>
          <w:szCs w:val="18"/>
        </w:rPr>
        <w:t xml:space="preserve"> provisions. This option </w:t>
      </w:r>
      <w:r w:rsidR="003029EA" w:rsidRPr="00E64C4D">
        <w:rPr>
          <w:szCs w:val="18"/>
        </w:rPr>
        <w:t xml:space="preserve">aims to achieve </w:t>
      </w:r>
      <w:r w:rsidR="0056563F" w:rsidRPr="00E64C4D">
        <w:rPr>
          <w:szCs w:val="18"/>
        </w:rPr>
        <w:t xml:space="preserve">improved </w:t>
      </w:r>
      <w:r w:rsidR="00007BAB" w:rsidRPr="00E64C4D">
        <w:rPr>
          <w:szCs w:val="18"/>
        </w:rPr>
        <w:t xml:space="preserve">clarity </w:t>
      </w:r>
      <w:r w:rsidR="0033247B" w:rsidRPr="00E64C4D">
        <w:rPr>
          <w:szCs w:val="18"/>
        </w:rPr>
        <w:t>and cons</w:t>
      </w:r>
      <w:r w:rsidR="004E51A5" w:rsidRPr="00E64C4D">
        <w:rPr>
          <w:szCs w:val="18"/>
        </w:rPr>
        <w:t>istency with other regulatory framewor</w:t>
      </w:r>
      <w:r w:rsidR="00373986" w:rsidRPr="00E64C4D">
        <w:rPr>
          <w:szCs w:val="18"/>
        </w:rPr>
        <w:t>ks</w:t>
      </w:r>
      <w:r w:rsidR="004E51A5" w:rsidRPr="00E64C4D">
        <w:rPr>
          <w:szCs w:val="18"/>
        </w:rPr>
        <w:t>. It</w:t>
      </w:r>
      <w:r w:rsidR="00007BAB" w:rsidRPr="00E64C4D">
        <w:rPr>
          <w:szCs w:val="18"/>
        </w:rPr>
        <w:t xml:space="preserve"> </w:t>
      </w:r>
      <w:r w:rsidR="00CC2AB1" w:rsidRPr="00E64C4D">
        <w:rPr>
          <w:szCs w:val="18"/>
        </w:rPr>
        <w:t>does not impose material</w:t>
      </w:r>
      <w:r w:rsidR="00373986" w:rsidRPr="00E64C4D">
        <w:rPr>
          <w:szCs w:val="18"/>
        </w:rPr>
        <w:t xml:space="preserve"> </w:t>
      </w:r>
      <w:r w:rsidR="00CC2AB1" w:rsidRPr="00E64C4D">
        <w:rPr>
          <w:szCs w:val="18"/>
        </w:rPr>
        <w:t>changes in regulatory requirements.</w:t>
      </w:r>
    </w:p>
    <w:p w14:paraId="67AC2F88" w14:textId="1C87E290" w:rsidR="00FB7AB2" w:rsidRDefault="001B6B3A" w:rsidP="00CA6E3B">
      <w:pPr>
        <w:pStyle w:val="ListBullet2"/>
        <w:numPr>
          <w:ilvl w:val="0"/>
          <w:numId w:val="0"/>
        </w:numPr>
        <w:rPr>
          <w:szCs w:val="18"/>
        </w:rPr>
      </w:pPr>
      <w:r>
        <w:rPr>
          <w:szCs w:val="18"/>
        </w:rPr>
        <w:t>Key</w:t>
      </w:r>
      <w:r w:rsidRPr="00E64C4D">
        <w:rPr>
          <w:szCs w:val="18"/>
        </w:rPr>
        <w:t xml:space="preserve"> </w:t>
      </w:r>
      <w:r w:rsidR="00E86356">
        <w:rPr>
          <w:szCs w:val="18"/>
        </w:rPr>
        <w:t xml:space="preserve">proposed </w:t>
      </w:r>
      <w:r w:rsidR="00CA6E98" w:rsidRPr="00E64C4D">
        <w:rPr>
          <w:szCs w:val="18"/>
        </w:rPr>
        <w:t xml:space="preserve">amendments </w:t>
      </w:r>
      <w:r w:rsidR="002464CE" w:rsidRPr="00E64C4D">
        <w:rPr>
          <w:szCs w:val="18"/>
        </w:rPr>
        <w:t xml:space="preserve">under </w:t>
      </w:r>
      <w:r w:rsidR="00A61E12">
        <w:rPr>
          <w:szCs w:val="18"/>
        </w:rPr>
        <w:t>O</w:t>
      </w:r>
      <w:r w:rsidR="002464CE" w:rsidRPr="00E64C4D">
        <w:rPr>
          <w:szCs w:val="18"/>
        </w:rPr>
        <w:t xml:space="preserve">ption 2 are </w:t>
      </w:r>
      <w:r w:rsidR="002F2B0C" w:rsidRPr="00E64C4D">
        <w:rPr>
          <w:szCs w:val="18"/>
        </w:rPr>
        <w:t xml:space="preserve">outlined in </w:t>
      </w:r>
      <w:r w:rsidR="00CE18DF">
        <w:rPr>
          <w:szCs w:val="18"/>
        </w:rPr>
        <w:t xml:space="preserve">full in Appendix </w:t>
      </w:r>
      <w:r w:rsidR="00CF5E1A">
        <w:rPr>
          <w:szCs w:val="18"/>
        </w:rPr>
        <w:t>D</w:t>
      </w:r>
      <w:r w:rsidR="00CE18DF">
        <w:rPr>
          <w:szCs w:val="18"/>
        </w:rPr>
        <w:t xml:space="preserve">. The two main changes </w:t>
      </w:r>
      <w:r w:rsidR="00734850">
        <w:rPr>
          <w:szCs w:val="18"/>
        </w:rPr>
        <w:t>are:</w:t>
      </w:r>
    </w:p>
    <w:p w14:paraId="2EDBD5BE" w14:textId="456C52ED" w:rsidR="00810E0F" w:rsidRDefault="00810E0F" w:rsidP="002B0B80">
      <w:pPr>
        <w:pStyle w:val="ListBullet"/>
        <w:numPr>
          <w:ilvl w:val="0"/>
          <w:numId w:val="12"/>
        </w:numPr>
        <w:rPr>
          <w:bCs/>
          <w:szCs w:val="18"/>
        </w:rPr>
      </w:pPr>
      <w:r w:rsidRPr="007E6880">
        <w:rPr>
          <w:bCs/>
          <w:szCs w:val="18"/>
        </w:rPr>
        <w:t>Definition of ‘residential accommodation’</w:t>
      </w:r>
      <w:r w:rsidR="002B0B80" w:rsidRPr="007E6880">
        <w:rPr>
          <w:bCs/>
          <w:szCs w:val="18"/>
        </w:rPr>
        <w:t xml:space="preserve">: It is proposed to amend the definition </w:t>
      </w:r>
      <w:r w:rsidR="00131DC8">
        <w:rPr>
          <w:bCs/>
          <w:szCs w:val="18"/>
        </w:rPr>
        <w:t>to include</w:t>
      </w:r>
      <w:r w:rsidR="00131DC8" w:rsidRPr="007E6880">
        <w:rPr>
          <w:bCs/>
          <w:szCs w:val="18"/>
        </w:rPr>
        <w:t xml:space="preserve"> </w:t>
      </w:r>
      <w:r w:rsidR="002B0B80" w:rsidRPr="007E6880">
        <w:rPr>
          <w:bCs/>
          <w:szCs w:val="18"/>
        </w:rPr>
        <w:t xml:space="preserve">‘any </w:t>
      </w:r>
      <w:r w:rsidR="006504B6">
        <w:rPr>
          <w:bCs/>
          <w:szCs w:val="18"/>
        </w:rPr>
        <w:t>part’ of a</w:t>
      </w:r>
      <w:r w:rsidR="002B0B80" w:rsidRPr="007E6880">
        <w:rPr>
          <w:bCs/>
          <w:szCs w:val="18"/>
        </w:rPr>
        <w:t xml:space="preserve"> house, building, or other structure used as a place of abode where a person or persons can live on payment of consideration to the proprietor</w:t>
      </w:r>
      <w:r w:rsidR="00912B57">
        <w:rPr>
          <w:bCs/>
          <w:szCs w:val="18"/>
        </w:rPr>
        <w:t>’</w:t>
      </w:r>
      <w:r w:rsidR="002B0B80" w:rsidRPr="007E6880">
        <w:rPr>
          <w:bCs/>
          <w:szCs w:val="18"/>
        </w:rPr>
        <w:t xml:space="preserve"> </w:t>
      </w:r>
      <w:r w:rsidR="00290A96">
        <w:rPr>
          <w:bCs/>
          <w:szCs w:val="18"/>
        </w:rPr>
        <w:t>in addition to the entire house, building or structure.</w:t>
      </w:r>
      <w:r w:rsidR="002B0B80" w:rsidRPr="007E6880">
        <w:rPr>
          <w:bCs/>
          <w:szCs w:val="18"/>
        </w:rPr>
        <w:t xml:space="preserve"> </w:t>
      </w:r>
      <w:r w:rsidR="00DC6D9A" w:rsidRPr="00DC6D9A">
        <w:rPr>
          <w:bCs/>
          <w:szCs w:val="18"/>
        </w:rPr>
        <w:t xml:space="preserve">This is </w:t>
      </w:r>
      <w:r w:rsidR="007A1213">
        <w:rPr>
          <w:bCs/>
          <w:szCs w:val="18"/>
        </w:rPr>
        <w:t>to</w:t>
      </w:r>
      <w:r w:rsidR="00DC6D9A" w:rsidRPr="00DC6D9A">
        <w:rPr>
          <w:bCs/>
          <w:szCs w:val="18"/>
        </w:rPr>
        <w:t xml:space="preserve"> clarify what is intended to be the position, namely that apartments or flats within existing buildings or parts of buildings can constitute prescribed accommodation.</w:t>
      </w:r>
    </w:p>
    <w:p w14:paraId="5F9FFAF2" w14:textId="11569802" w:rsidR="00B1159E" w:rsidRDefault="003E7F81" w:rsidP="00DA5F65">
      <w:pPr>
        <w:pStyle w:val="ListParagraph"/>
        <w:numPr>
          <w:ilvl w:val="0"/>
          <w:numId w:val="12"/>
        </w:numPr>
      </w:pPr>
      <w:r>
        <w:t>Definition of ‘rooming house’:</w:t>
      </w:r>
      <w:r w:rsidR="0064262B">
        <w:t xml:space="preserve"> </w:t>
      </w:r>
      <w:r w:rsidR="00616731" w:rsidRPr="00616731">
        <w:t xml:space="preserve">The definition is proposed to be amended to incorporate by reference, the definition of ‘rooming house’ in section 3(1) of the </w:t>
      </w:r>
      <w:r w:rsidR="00F106E3">
        <w:t>RTA</w:t>
      </w:r>
      <w:r w:rsidR="00616731" w:rsidRPr="00616731">
        <w:t>.</w:t>
      </w:r>
      <w:r w:rsidR="00DA5F65">
        <w:t xml:space="preserve"> Currently the Regulations </w:t>
      </w:r>
      <w:r w:rsidR="00961ADF">
        <w:t xml:space="preserve">may </w:t>
      </w:r>
      <w:r w:rsidR="00DA5F65">
        <w:t>apply to Specialist Disability Accommodation (SDA) enrolled</w:t>
      </w:r>
      <w:r w:rsidR="009862CD">
        <w:t xml:space="preserve"> dwellings</w:t>
      </w:r>
      <w:r w:rsidR="00D13EA6">
        <w:t xml:space="preserve">. However, </w:t>
      </w:r>
      <w:r w:rsidR="00B1159E">
        <w:t>SDA</w:t>
      </w:r>
      <w:r w:rsidR="00DA5F65">
        <w:t xml:space="preserve"> accommodation is excluded </w:t>
      </w:r>
      <w:r w:rsidR="00E23DC5">
        <w:t xml:space="preserve">from the RTA definition of rooming house as it </w:t>
      </w:r>
      <w:r w:rsidR="00DA5F65">
        <w:t xml:space="preserve">is subject to a separate registration, quality and safeguards framework to be enrolled under the Commonwealth National Disability Insurance Scheme (NDIS) legislation. Continuing to regulate this accommodation under the Regulations subjects them to dual regulation. </w:t>
      </w:r>
      <w:r w:rsidR="00961ADF">
        <w:t>The amendment ensures there is alignment between the RTA and the Regulations</w:t>
      </w:r>
      <w:r w:rsidR="00961ADF" w:rsidRPr="00291D90">
        <w:t>.</w:t>
      </w:r>
      <w:r w:rsidR="00A32A59" w:rsidRPr="00844999">
        <w:t xml:space="preserve"> Consistent with this approach, SDA enrolled accommodation will also be excluded from other definitions of prescribed accommodation. </w:t>
      </w:r>
    </w:p>
    <w:p w14:paraId="498CB0B5" w14:textId="49F53931" w:rsidR="003E7F81" w:rsidRDefault="00961ADF" w:rsidP="00ED12AF">
      <w:pPr>
        <w:pStyle w:val="ListParagraph"/>
        <w:ind w:left="340"/>
      </w:pPr>
      <w:r>
        <w:br/>
      </w:r>
      <w:r w:rsidR="00DA5F65">
        <w:t xml:space="preserve">The amendment would also ensure that declared rooming houses (declared by the Minister for Housing under s. 19 of the RTA) are subject to both the Regulations (which address matters of public health, particularly relating to sanitation and overcrowding), and the rooming house minimum standards created under the RTA. Currently, declared rooming houses would </w:t>
      </w:r>
      <w:r w:rsidR="00F106E3">
        <w:t xml:space="preserve">already </w:t>
      </w:r>
      <w:r w:rsidR="00DA5F65">
        <w:t xml:space="preserve">be subject to the requirements of the Regulations where they </w:t>
      </w:r>
      <w:r w:rsidR="00F106E3">
        <w:t>fall within</w:t>
      </w:r>
      <w:r w:rsidR="00DA5F65">
        <w:t xml:space="preserve"> the current definition in the Regulations</w:t>
      </w:r>
      <w:r w:rsidR="001736F5">
        <w:t xml:space="preserve"> and it is considered that this change is unlikely to have a material impact.</w:t>
      </w:r>
      <w:r w:rsidR="00780312">
        <w:rPr>
          <w:rStyle w:val="FootnoteReference"/>
        </w:rPr>
        <w:footnoteReference w:id="59"/>
      </w:r>
    </w:p>
    <w:p w14:paraId="6562D004" w14:textId="1AD32204" w:rsidR="000B7C45" w:rsidRDefault="000B7C45" w:rsidP="00F0077F">
      <w:bookmarkStart w:id="163" w:name="_Hlk49807516"/>
      <w:r w:rsidRPr="00844999">
        <w:lastRenderedPageBreak/>
        <w:t xml:space="preserve">The amendment will also accommodate a review lead by DJCS into the definition of ‘rooming house’ and avoid the need for further amendment to the definition in the Regulations to accommodate the outcomes of the DJCS review. </w:t>
      </w:r>
      <w:bookmarkEnd w:id="163"/>
    </w:p>
    <w:p w14:paraId="67241CD6" w14:textId="5485B4FE" w:rsidR="00BC1294" w:rsidRDefault="00BC1294" w:rsidP="00F0077F">
      <w:r w:rsidRPr="00987597">
        <w:t xml:space="preserve">The proposed approach to other issues raised by stakeholders is set out in </w:t>
      </w:r>
      <w:r w:rsidR="00863BD9">
        <w:t xml:space="preserve">Appendix </w:t>
      </w:r>
      <w:r w:rsidR="00CA52B4">
        <w:t>B.</w:t>
      </w:r>
    </w:p>
    <w:p w14:paraId="391B8D4C" w14:textId="19F18F1D" w:rsidR="00271B27" w:rsidRDefault="00DA3297" w:rsidP="00CA6E3B">
      <w:pPr>
        <w:pStyle w:val="Heading2"/>
        <w:spacing w:before="0"/>
        <w:rPr>
          <w:lang w:eastAsia="en-AU"/>
        </w:rPr>
      </w:pPr>
      <w:bookmarkStart w:id="164" w:name="_Toc48638277"/>
      <w:bookmarkStart w:id="165" w:name="_Toc48638278"/>
      <w:bookmarkStart w:id="166" w:name="_Toc48638295"/>
      <w:bookmarkStart w:id="167" w:name="_Toc49460297"/>
      <w:bookmarkStart w:id="168" w:name="_Toc48638296"/>
      <w:bookmarkEnd w:id="164"/>
      <w:bookmarkEnd w:id="165"/>
      <w:bookmarkEnd w:id="166"/>
      <w:r>
        <w:rPr>
          <w:lang w:eastAsia="en-AU"/>
        </w:rPr>
        <w:t xml:space="preserve">Options considered but not assessed </w:t>
      </w:r>
      <w:r w:rsidR="00C85B54">
        <w:rPr>
          <w:lang w:eastAsia="en-AU"/>
        </w:rPr>
        <w:t>further in this RIS</w:t>
      </w:r>
      <w:bookmarkEnd w:id="167"/>
      <w:r>
        <w:rPr>
          <w:lang w:eastAsia="en-AU"/>
        </w:rPr>
        <w:t xml:space="preserve"> </w:t>
      </w:r>
      <w:bookmarkEnd w:id="168"/>
    </w:p>
    <w:p w14:paraId="129958BF" w14:textId="3A01C11A" w:rsidR="00C85B54" w:rsidRPr="00CA6E3B" w:rsidRDefault="000C77D9" w:rsidP="00CA6E3B">
      <w:pPr>
        <w:spacing w:after="0"/>
        <w:rPr>
          <w:rFonts w:asciiTheme="minorHAnsi" w:hAnsiTheme="minorHAnsi" w:cs="Segoe UI Light"/>
        </w:rPr>
      </w:pPr>
      <w:r w:rsidRPr="00CA6E3B">
        <w:rPr>
          <w:rFonts w:asciiTheme="minorHAnsi" w:hAnsiTheme="minorHAnsi" w:cs="Segoe UI Light"/>
          <w:b/>
        </w:rPr>
        <w:t>Significant changes to the coverage of the Regulations</w:t>
      </w:r>
    </w:p>
    <w:p w14:paraId="18056AF0" w14:textId="3855E6A5" w:rsidR="003A3656" w:rsidRDefault="001E4808" w:rsidP="000C77D9">
      <w:pPr>
        <w:rPr>
          <w:lang w:eastAsia="en-AU"/>
        </w:rPr>
      </w:pPr>
      <w:r>
        <w:rPr>
          <w:lang w:eastAsia="en-AU"/>
        </w:rPr>
        <w:t>As discussed above</w:t>
      </w:r>
      <w:r w:rsidR="004D6088">
        <w:rPr>
          <w:lang w:eastAsia="en-AU"/>
        </w:rPr>
        <w:t xml:space="preserve"> the definition of prescribed accommodation includes </w:t>
      </w:r>
      <w:r w:rsidR="0026715C">
        <w:rPr>
          <w:lang w:eastAsia="en-AU"/>
        </w:rPr>
        <w:t>many</w:t>
      </w:r>
      <w:r w:rsidR="00605F9C">
        <w:rPr>
          <w:lang w:eastAsia="en-AU"/>
        </w:rPr>
        <w:t xml:space="preserve"> </w:t>
      </w:r>
      <w:r w:rsidR="008A524F">
        <w:rPr>
          <w:lang w:eastAsia="en-AU"/>
        </w:rPr>
        <w:t>accommodation types</w:t>
      </w:r>
      <w:r w:rsidR="003A3656">
        <w:rPr>
          <w:lang w:eastAsia="en-AU"/>
        </w:rPr>
        <w:t xml:space="preserve">. </w:t>
      </w:r>
      <w:r w:rsidR="0026715C">
        <w:rPr>
          <w:lang w:eastAsia="en-AU"/>
        </w:rPr>
        <w:t>Coverage ranges from</w:t>
      </w:r>
      <w:r w:rsidR="00053F96">
        <w:rPr>
          <w:lang w:eastAsia="en-AU"/>
        </w:rPr>
        <w:t xml:space="preserve"> accommodation </w:t>
      </w:r>
      <w:r w:rsidR="00B20AD6">
        <w:rPr>
          <w:lang w:eastAsia="en-AU"/>
        </w:rPr>
        <w:t>with</w:t>
      </w:r>
      <w:r w:rsidR="00053F96">
        <w:rPr>
          <w:lang w:eastAsia="en-AU"/>
        </w:rPr>
        <w:t xml:space="preserve"> </w:t>
      </w:r>
      <w:r w:rsidR="00B20AD6">
        <w:rPr>
          <w:lang w:eastAsia="en-AU"/>
        </w:rPr>
        <w:t>relatively</w:t>
      </w:r>
      <w:r w:rsidR="00053F96">
        <w:rPr>
          <w:lang w:eastAsia="en-AU"/>
        </w:rPr>
        <w:t xml:space="preserve"> high </w:t>
      </w:r>
      <w:r w:rsidR="00F106E3">
        <w:rPr>
          <w:lang w:eastAsia="en-AU"/>
        </w:rPr>
        <w:t xml:space="preserve">public </w:t>
      </w:r>
      <w:r w:rsidR="003A3656">
        <w:rPr>
          <w:lang w:eastAsia="en-AU"/>
        </w:rPr>
        <w:t>health risk</w:t>
      </w:r>
      <w:r w:rsidR="001B273A">
        <w:rPr>
          <w:lang w:eastAsia="en-AU"/>
        </w:rPr>
        <w:t>s</w:t>
      </w:r>
      <w:r w:rsidR="006E7C27">
        <w:rPr>
          <w:lang w:eastAsia="en-AU"/>
        </w:rPr>
        <w:t xml:space="preserve"> </w:t>
      </w:r>
      <w:r w:rsidR="00C32280">
        <w:rPr>
          <w:lang w:eastAsia="en-AU"/>
        </w:rPr>
        <w:t>serving</w:t>
      </w:r>
      <w:r w:rsidR="006E7C27">
        <w:rPr>
          <w:lang w:eastAsia="en-AU"/>
        </w:rPr>
        <w:t xml:space="preserve"> vulnerable population</w:t>
      </w:r>
      <w:r w:rsidR="00CC7B51">
        <w:rPr>
          <w:lang w:eastAsia="en-AU"/>
        </w:rPr>
        <w:t>s</w:t>
      </w:r>
      <w:r w:rsidR="003A3656">
        <w:rPr>
          <w:lang w:eastAsia="en-AU"/>
        </w:rPr>
        <w:t xml:space="preserve">, </w:t>
      </w:r>
      <w:r w:rsidR="00C32280">
        <w:rPr>
          <w:lang w:eastAsia="en-AU"/>
        </w:rPr>
        <w:t>to</w:t>
      </w:r>
      <w:r w:rsidR="003A3656">
        <w:rPr>
          <w:lang w:eastAsia="en-AU"/>
        </w:rPr>
        <w:t xml:space="preserve"> </w:t>
      </w:r>
      <w:r w:rsidR="001B273A">
        <w:rPr>
          <w:lang w:eastAsia="en-AU"/>
        </w:rPr>
        <w:t xml:space="preserve">luxury </w:t>
      </w:r>
      <w:r w:rsidR="00CB7753">
        <w:rPr>
          <w:lang w:eastAsia="en-AU"/>
        </w:rPr>
        <w:t xml:space="preserve">accommodation </w:t>
      </w:r>
      <w:r w:rsidR="009543E2">
        <w:rPr>
          <w:lang w:eastAsia="en-AU"/>
        </w:rPr>
        <w:t xml:space="preserve">serving wealthy </w:t>
      </w:r>
      <w:r w:rsidR="00E164B9">
        <w:rPr>
          <w:lang w:eastAsia="en-AU"/>
        </w:rPr>
        <w:t>tourists and business travellers</w:t>
      </w:r>
      <w:r w:rsidR="003A3656">
        <w:rPr>
          <w:lang w:eastAsia="en-AU"/>
        </w:rPr>
        <w:t>.</w:t>
      </w:r>
    </w:p>
    <w:p w14:paraId="76F532EB" w14:textId="76E3185D" w:rsidR="00081938" w:rsidRDefault="00E164B9" w:rsidP="000C77D9">
      <w:pPr>
        <w:rPr>
          <w:bCs/>
        </w:rPr>
      </w:pPr>
      <w:r>
        <w:rPr>
          <w:lang w:eastAsia="en-AU"/>
        </w:rPr>
        <w:t>One</w:t>
      </w:r>
      <w:r w:rsidR="00CB7753">
        <w:rPr>
          <w:lang w:eastAsia="en-AU"/>
        </w:rPr>
        <w:t xml:space="preserve"> option would be to </w:t>
      </w:r>
      <w:r w:rsidR="002C1C8E" w:rsidRPr="00DA3297">
        <w:rPr>
          <w:bCs/>
        </w:rPr>
        <w:t>increas</w:t>
      </w:r>
      <w:r w:rsidR="002C1C8E">
        <w:rPr>
          <w:bCs/>
        </w:rPr>
        <w:t>e</w:t>
      </w:r>
      <w:r w:rsidR="002C1C8E" w:rsidRPr="00DA3297">
        <w:rPr>
          <w:bCs/>
        </w:rPr>
        <w:t xml:space="preserve"> the </w:t>
      </w:r>
      <w:r w:rsidR="0094234F">
        <w:rPr>
          <w:bCs/>
        </w:rPr>
        <w:t>scope</w:t>
      </w:r>
      <w:r w:rsidR="002C1C8E" w:rsidRPr="00DA3297">
        <w:rPr>
          <w:bCs/>
        </w:rPr>
        <w:t xml:space="preserve"> of the </w:t>
      </w:r>
      <w:r w:rsidR="002C1C8E">
        <w:rPr>
          <w:bCs/>
        </w:rPr>
        <w:t>R</w:t>
      </w:r>
      <w:r w:rsidR="002C1C8E" w:rsidRPr="00DA3297">
        <w:rPr>
          <w:bCs/>
        </w:rPr>
        <w:t>egulations to cover additional accommodation and/or reduc</w:t>
      </w:r>
      <w:r w:rsidR="00BE0E2E">
        <w:rPr>
          <w:bCs/>
        </w:rPr>
        <w:t>e</w:t>
      </w:r>
      <w:r w:rsidR="002C1C8E" w:rsidRPr="00DA3297">
        <w:rPr>
          <w:bCs/>
        </w:rPr>
        <w:t xml:space="preserve"> the </w:t>
      </w:r>
      <w:r w:rsidR="00013711">
        <w:rPr>
          <w:bCs/>
        </w:rPr>
        <w:t>coverage</w:t>
      </w:r>
      <w:r w:rsidR="002C1C8E" w:rsidRPr="00DA3297">
        <w:rPr>
          <w:bCs/>
        </w:rPr>
        <w:t xml:space="preserve"> of the </w:t>
      </w:r>
      <w:r w:rsidR="00A171B9">
        <w:rPr>
          <w:bCs/>
        </w:rPr>
        <w:t>R</w:t>
      </w:r>
      <w:r w:rsidR="002C1C8E" w:rsidRPr="00DA3297">
        <w:rPr>
          <w:bCs/>
        </w:rPr>
        <w:t>egulations with respect to others</w:t>
      </w:r>
      <w:r w:rsidR="00EE3515">
        <w:rPr>
          <w:bCs/>
        </w:rPr>
        <w:t>.</w:t>
      </w:r>
      <w:r w:rsidR="009159A8">
        <w:rPr>
          <w:bCs/>
        </w:rPr>
        <w:t xml:space="preserve"> </w:t>
      </w:r>
      <w:r w:rsidR="002639F1">
        <w:rPr>
          <w:bCs/>
        </w:rPr>
        <w:t>The objectives of doing so would include:</w:t>
      </w:r>
    </w:p>
    <w:p w14:paraId="1DDF15F4" w14:textId="59FF84A8" w:rsidR="002639F1" w:rsidRPr="002639F1" w:rsidRDefault="002639F1" w:rsidP="002639F1">
      <w:pPr>
        <w:pStyle w:val="ListParagraph"/>
        <w:numPr>
          <w:ilvl w:val="0"/>
          <w:numId w:val="71"/>
        </w:numPr>
        <w:rPr>
          <w:bCs/>
        </w:rPr>
      </w:pPr>
      <w:r>
        <w:rPr>
          <w:bCs/>
        </w:rPr>
        <w:t>Ensuring that the Regulations better target areas of higher public health risk and more vul</w:t>
      </w:r>
      <w:r w:rsidR="000C522F">
        <w:rPr>
          <w:bCs/>
        </w:rPr>
        <w:t>nerable population cohorts</w:t>
      </w:r>
    </w:p>
    <w:p w14:paraId="563EDC61" w14:textId="380F7C7B" w:rsidR="000C522F" w:rsidRDefault="001B60A3" w:rsidP="002639F1">
      <w:pPr>
        <w:pStyle w:val="ListParagraph"/>
        <w:numPr>
          <w:ilvl w:val="0"/>
          <w:numId w:val="71"/>
        </w:numPr>
        <w:rPr>
          <w:bCs/>
        </w:rPr>
      </w:pPr>
      <w:r>
        <w:rPr>
          <w:bCs/>
        </w:rPr>
        <w:t>Achieving</w:t>
      </w:r>
      <w:r w:rsidR="000C522F">
        <w:rPr>
          <w:bCs/>
        </w:rPr>
        <w:t xml:space="preserve"> a more level regulatory playing field across </w:t>
      </w:r>
      <w:r>
        <w:rPr>
          <w:bCs/>
        </w:rPr>
        <w:t>similar and competing accommodation types</w:t>
      </w:r>
    </w:p>
    <w:p w14:paraId="345784C6" w14:textId="781583A1" w:rsidR="003224DD" w:rsidRDefault="000C522F" w:rsidP="002639F1">
      <w:pPr>
        <w:pStyle w:val="ListParagraph"/>
        <w:numPr>
          <w:ilvl w:val="0"/>
          <w:numId w:val="71"/>
        </w:numPr>
        <w:rPr>
          <w:bCs/>
        </w:rPr>
      </w:pPr>
      <w:r>
        <w:rPr>
          <w:bCs/>
        </w:rPr>
        <w:t>Reducing regulatory burden on accommodation providers</w:t>
      </w:r>
    </w:p>
    <w:p w14:paraId="1F555116" w14:textId="77777777" w:rsidR="00F106E3" w:rsidRPr="00F106E3" w:rsidRDefault="0013783B" w:rsidP="00F106E3">
      <w:pPr>
        <w:pStyle w:val="ListParagraph"/>
        <w:numPr>
          <w:ilvl w:val="0"/>
          <w:numId w:val="71"/>
        </w:numPr>
      </w:pPr>
      <w:r>
        <w:rPr>
          <w:bCs/>
        </w:rPr>
        <w:t>Supporting</w:t>
      </w:r>
      <w:r w:rsidR="00FF3F6E" w:rsidRPr="007E6880">
        <w:rPr>
          <w:bCs/>
        </w:rPr>
        <w:t xml:space="preserve"> </w:t>
      </w:r>
      <w:r w:rsidR="00C678F4">
        <w:rPr>
          <w:bCs/>
        </w:rPr>
        <w:t xml:space="preserve">an outcomes and risk based approach to </w:t>
      </w:r>
      <w:r w:rsidR="00FF3F6E" w:rsidRPr="007E6880">
        <w:rPr>
          <w:bCs/>
        </w:rPr>
        <w:t>compliance and enforcement actions</w:t>
      </w:r>
      <w:r w:rsidR="003224DD" w:rsidRPr="007E6880">
        <w:rPr>
          <w:bCs/>
        </w:rPr>
        <w:t>.</w:t>
      </w:r>
    </w:p>
    <w:p w14:paraId="0F9A5349" w14:textId="580D4CAF" w:rsidR="0035117A" w:rsidRDefault="009159A8" w:rsidP="00F106E3">
      <w:r w:rsidRPr="007E6880">
        <w:t xml:space="preserve">For example, </w:t>
      </w:r>
      <w:r w:rsidR="0094234F" w:rsidRPr="007E6880">
        <w:t>options might</w:t>
      </w:r>
      <w:r w:rsidR="00556582" w:rsidRPr="007E6880">
        <w:t xml:space="preserve"> include:</w:t>
      </w:r>
    </w:p>
    <w:p w14:paraId="717E714F" w14:textId="72FCB44A" w:rsidR="00556582" w:rsidRDefault="00C10A67" w:rsidP="00CA6E3B">
      <w:pPr>
        <w:pStyle w:val="ListParagraph"/>
        <w:numPr>
          <w:ilvl w:val="0"/>
          <w:numId w:val="110"/>
        </w:numPr>
        <w:ind w:hanging="436"/>
        <w:rPr>
          <w:lang w:eastAsia="en-AU"/>
        </w:rPr>
      </w:pPr>
      <w:r>
        <w:rPr>
          <w:lang w:eastAsia="en-AU"/>
        </w:rPr>
        <w:t>Excluding</w:t>
      </w:r>
      <w:r w:rsidR="00FF0614">
        <w:rPr>
          <w:lang w:eastAsia="en-AU"/>
        </w:rPr>
        <w:t xml:space="preserve"> </w:t>
      </w:r>
      <w:r w:rsidR="007B7765">
        <w:rPr>
          <w:lang w:eastAsia="en-AU"/>
        </w:rPr>
        <w:t xml:space="preserve">premium </w:t>
      </w:r>
      <w:r w:rsidR="00FF0614">
        <w:rPr>
          <w:lang w:eastAsia="en-AU"/>
        </w:rPr>
        <w:t>hotel and motel accommodation</w:t>
      </w:r>
      <w:r w:rsidR="00586291">
        <w:rPr>
          <w:lang w:eastAsia="en-AU"/>
        </w:rPr>
        <w:t xml:space="preserve"> given that they do not involve shared facilities and industry accreditation and </w:t>
      </w:r>
      <w:r w:rsidR="000D563D">
        <w:rPr>
          <w:lang w:eastAsia="en-AU"/>
        </w:rPr>
        <w:t xml:space="preserve">reputational forces mean that </w:t>
      </w:r>
      <w:r>
        <w:rPr>
          <w:lang w:eastAsia="en-AU"/>
        </w:rPr>
        <w:t xml:space="preserve">public health risks are low. </w:t>
      </w:r>
      <w:r w:rsidR="001E5685">
        <w:rPr>
          <w:lang w:eastAsia="en-AU"/>
        </w:rPr>
        <w:t xml:space="preserve">A similar option might involve excluding all </w:t>
      </w:r>
      <w:r w:rsidR="00D0792F">
        <w:rPr>
          <w:lang w:eastAsia="en-AU"/>
        </w:rPr>
        <w:t>hotel or motel accommodation that does not involve shared facilities</w:t>
      </w:r>
      <w:r w:rsidR="007553FE">
        <w:rPr>
          <w:lang w:eastAsia="en-AU"/>
        </w:rPr>
        <w:t>.</w:t>
      </w:r>
    </w:p>
    <w:p w14:paraId="677002E2" w14:textId="5EC2590A" w:rsidR="00D41C1E" w:rsidRDefault="00CB6150" w:rsidP="00CA6E3B">
      <w:pPr>
        <w:pStyle w:val="ListParagraph"/>
        <w:numPr>
          <w:ilvl w:val="0"/>
          <w:numId w:val="110"/>
        </w:numPr>
        <w:ind w:hanging="436"/>
        <w:rPr>
          <w:lang w:eastAsia="en-AU"/>
        </w:rPr>
      </w:pPr>
      <w:r>
        <w:rPr>
          <w:lang w:eastAsia="en-AU"/>
        </w:rPr>
        <w:t>Subjecting some properties such as houses, holiday homes and apartments,</w:t>
      </w:r>
      <w:r w:rsidR="0011549C">
        <w:rPr>
          <w:lang w:eastAsia="en-AU"/>
        </w:rPr>
        <w:t xml:space="preserve"> </w:t>
      </w:r>
      <w:r w:rsidR="00A5565E">
        <w:rPr>
          <w:lang w:eastAsia="en-AU"/>
        </w:rPr>
        <w:t xml:space="preserve">advertised on </w:t>
      </w:r>
      <w:r w:rsidR="004634BB">
        <w:rPr>
          <w:lang w:eastAsia="en-AU"/>
        </w:rPr>
        <w:t xml:space="preserve">online advertising </w:t>
      </w:r>
      <w:r w:rsidR="00A5565E">
        <w:rPr>
          <w:lang w:eastAsia="en-AU"/>
        </w:rPr>
        <w:t xml:space="preserve">platforms </w:t>
      </w:r>
      <w:r w:rsidR="00877F47">
        <w:rPr>
          <w:lang w:eastAsia="en-AU"/>
        </w:rPr>
        <w:t>such as Airb</w:t>
      </w:r>
      <w:r w:rsidR="00A71DD2">
        <w:rPr>
          <w:lang w:eastAsia="en-AU"/>
        </w:rPr>
        <w:t>n</w:t>
      </w:r>
      <w:r w:rsidR="00877F47">
        <w:rPr>
          <w:lang w:eastAsia="en-AU"/>
        </w:rPr>
        <w:t>b</w:t>
      </w:r>
      <w:r w:rsidR="004634BB">
        <w:rPr>
          <w:lang w:eastAsia="en-AU"/>
        </w:rPr>
        <w:t xml:space="preserve">, </w:t>
      </w:r>
      <w:r w:rsidR="00957FE7" w:rsidRPr="00957FE7">
        <w:rPr>
          <w:lang w:eastAsia="en-AU"/>
        </w:rPr>
        <w:t>Stayz or Homeaway</w:t>
      </w:r>
      <w:r w:rsidR="00A5565E">
        <w:rPr>
          <w:lang w:eastAsia="en-AU"/>
        </w:rPr>
        <w:t xml:space="preserve"> to the same level of regulation as hotels and motels</w:t>
      </w:r>
      <w:r w:rsidR="00EF1064">
        <w:rPr>
          <w:lang w:eastAsia="en-AU"/>
        </w:rPr>
        <w:t>.</w:t>
      </w:r>
      <w:r w:rsidR="003865C0">
        <w:rPr>
          <w:lang w:eastAsia="en-AU"/>
        </w:rPr>
        <w:t xml:space="preserve"> </w:t>
      </w:r>
      <w:r w:rsidR="00283B99">
        <w:rPr>
          <w:lang w:eastAsia="en-AU"/>
        </w:rPr>
        <w:t xml:space="preserve">This might involve either excluding hotels and motels from the Regulations, or including properties </w:t>
      </w:r>
      <w:r w:rsidR="00957FE7">
        <w:rPr>
          <w:lang w:eastAsia="en-AU"/>
        </w:rPr>
        <w:t>advertised on online platforms</w:t>
      </w:r>
      <w:r w:rsidR="00AC1954">
        <w:rPr>
          <w:lang w:eastAsia="en-AU"/>
        </w:rPr>
        <w:t xml:space="preserve"> </w:t>
      </w:r>
      <w:r w:rsidR="00283B99">
        <w:rPr>
          <w:lang w:eastAsia="en-AU"/>
        </w:rPr>
        <w:t xml:space="preserve">within the Regulations. </w:t>
      </w:r>
      <w:r w:rsidR="00D41C1E">
        <w:rPr>
          <w:lang w:eastAsia="en-AU"/>
        </w:rPr>
        <w:t xml:space="preserve">Some </w:t>
      </w:r>
      <w:r w:rsidR="009B7A4B">
        <w:rPr>
          <w:lang w:eastAsia="en-AU"/>
        </w:rPr>
        <w:t>stakeholders</w:t>
      </w:r>
      <w:r w:rsidR="00EF1064">
        <w:rPr>
          <w:lang w:eastAsia="en-AU"/>
        </w:rPr>
        <w:t xml:space="preserve"> have observed that the different regulatory treatment </w:t>
      </w:r>
      <w:r w:rsidR="002910F2">
        <w:rPr>
          <w:lang w:eastAsia="en-AU"/>
        </w:rPr>
        <w:t xml:space="preserve">of hotels and </w:t>
      </w:r>
      <w:r w:rsidR="00957FE7">
        <w:rPr>
          <w:lang w:eastAsia="en-AU"/>
        </w:rPr>
        <w:t xml:space="preserve">commercial properties advertised on online platforms </w:t>
      </w:r>
      <w:r w:rsidR="002910F2">
        <w:rPr>
          <w:lang w:eastAsia="en-AU"/>
        </w:rPr>
        <w:t>means the</w:t>
      </w:r>
      <w:r w:rsidR="005B42C7">
        <w:rPr>
          <w:lang w:eastAsia="en-AU"/>
        </w:rPr>
        <w:t>y</w:t>
      </w:r>
      <w:r w:rsidR="002910F2">
        <w:rPr>
          <w:lang w:eastAsia="en-AU"/>
        </w:rPr>
        <w:t xml:space="preserve"> are not competing on a level playing field.</w:t>
      </w:r>
      <w:r w:rsidR="00A5565E">
        <w:rPr>
          <w:lang w:eastAsia="en-AU"/>
        </w:rPr>
        <w:t xml:space="preserve"> </w:t>
      </w:r>
      <w:r w:rsidR="00E84F48">
        <w:rPr>
          <w:lang w:eastAsia="en-AU"/>
        </w:rPr>
        <w:t xml:space="preserve">Public health risk and regulatory burden would also need to be examined. </w:t>
      </w:r>
    </w:p>
    <w:p w14:paraId="193A2B73" w14:textId="7CB1743E" w:rsidR="00D41C1E" w:rsidRDefault="00AC1954" w:rsidP="00CA6E3B">
      <w:pPr>
        <w:pStyle w:val="ListParagraph"/>
        <w:numPr>
          <w:ilvl w:val="0"/>
          <w:numId w:val="110"/>
        </w:numPr>
        <w:ind w:hanging="436"/>
      </w:pPr>
      <w:r>
        <w:rPr>
          <w:lang w:eastAsia="en-AU"/>
        </w:rPr>
        <w:t>Excluding</w:t>
      </w:r>
      <w:r w:rsidR="00463D69">
        <w:rPr>
          <w:lang w:eastAsia="en-AU"/>
        </w:rPr>
        <w:t xml:space="preserve"> holiday camps </w:t>
      </w:r>
      <w:r>
        <w:rPr>
          <w:lang w:eastAsia="en-AU"/>
        </w:rPr>
        <w:t xml:space="preserve">from the Regulations and transferring them </w:t>
      </w:r>
      <w:r w:rsidR="000A7A02">
        <w:rPr>
          <w:lang w:eastAsia="en-AU"/>
        </w:rPr>
        <w:t>under</w:t>
      </w:r>
      <w:r w:rsidR="00463D69">
        <w:rPr>
          <w:lang w:eastAsia="en-AU"/>
        </w:rPr>
        <w:t xml:space="preserve"> the </w:t>
      </w:r>
      <w:r w:rsidR="000A7A02">
        <w:rPr>
          <w:lang w:eastAsia="en-AU"/>
        </w:rPr>
        <w:t>auspices of the</w:t>
      </w:r>
      <w:r w:rsidR="00463D69">
        <w:rPr>
          <w:lang w:eastAsia="en-AU"/>
        </w:rPr>
        <w:t xml:space="preserve"> caravan park</w:t>
      </w:r>
      <w:r w:rsidR="000A7A02">
        <w:rPr>
          <w:lang w:eastAsia="en-AU"/>
        </w:rPr>
        <w:t xml:space="preserve"> regulatory regime</w:t>
      </w:r>
      <w:r w:rsidR="0013783B">
        <w:rPr>
          <w:lang w:eastAsia="en-AU"/>
        </w:rPr>
        <w:t>.</w:t>
      </w:r>
    </w:p>
    <w:p w14:paraId="071F00D8" w14:textId="527E162A" w:rsidR="0013783B" w:rsidRDefault="009F2B3D" w:rsidP="00253112">
      <w:pPr>
        <w:pStyle w:val="ListParagraph"/>
        <w:numPr>
          <w:ilvl w:val="0"/>
          <w:numId w:val="110"/>
        </w:numPr>
      </w:pPr>
      <w:r>
        <w:t xml:space="preserve">Ensuring that student </w:t>
      </w:r>
      <w:r w:rsidR="00C678F4">
        <w:t xml:space="preserve">accommodation </w:t>
      </w:r>
      <w:r>
        <w:t>(which include</w:t>
      </w:r>
      <w:r w:rsidR="00CC7B51">
        <w:t>s</w:t>
      </w:r>
      <w:r>
        <w:t xml:space="preserve"> </w:t>
      </w:r>
      <w:r w:rsidR="00F07AD7">
        <w:t>shared facilities</w:t>
      </w:r>
      <w:r>
        <w:t xml:space="preserve">) </w:t>
      </w:r>
      <w:r w:rsidR="00F07AD7">
        <w:t>are</w:t>
      </w:r>
      <w:r>
        <w:t xml:space="preserve"> covered by the Regulations </w:t>
      </w:r>
      <w:r w:rsidR="00F07AD7">
        <w:t>regardless of whether they</w:t>
      </w:r>
      <w:r>
        <w:t xml:space="preserve"> are affiliated with an education provider or university.</w:t>
      </w:r>
    </w:p>
    <w:p w14:paraId="70DFECDF" w14:textId="6E0D9283" w:rsidR="006D6053" w:rsidRPr="00CA6E3B" w:rsidRDefault="000250D8" w:rsidP="00CA6E3B">
      <w:pPr>
        <w:rPr>
          <w:rFonts w:asciiTheme="minorHAnsi" w:eastAsia="Times New Roman" w:hAnsiTheme="minorHAnsi"/>
          <w:lang w:eastAsia="en-AU"/>
        </w:rPr>
      </w:pPr>
      <w:r>
        <w:rPr>
          <w:lang w:eastAsia="en-AU"/>
        </w:rPr>
        <w:t>However</w:t>
      </w:r>
      <w:r w:rsidR="002E3DBC">
        <w:rPr>
          <w:lang w:eastAsia="en-AU"/>
        </w:rPr>
        <w:t>,</w:t>
      </w:r>
      <w:r>
        <w:rPr>
          <w:lang w:eastAsia="en-AU"/>
        </w:rPr>
        <w:t xml:space="preserve"> this RIS does not examine </w:t>
      </w:r>
      <w:r w:rsidR="00044D75">
        <w:rPr>
          <w:lang w:eastAsia="en-AU"/>
        </w:rPr>
        <w:t>these options. This is because</w:t>
      </w:r>
      <w:r w:rsidR="003734A8">
        <w:rPr>
          <w:lang w:eastAsia="en-AU"/>
        </w:rPr>
        <w:t xml:space="preserve"> a number of </w:t>
      </w:r>
      <w:r w:rsidR="002E3DBC">
        <w:rPr>
          <w:lang w:eastAsia="en-AU"/>
        </w:rPr>
        <w:t xml:space="preserve">cross portfolio </w:t>
      </w:r>
      <w:r w:rsidR="003734A8">
        <w:rPr>
          <w:lang w:eastAsia="en-AU"/>
        </w:rPr>
        <w:t xml:space="preserve">reviews are already </w:t>
      </w:r>
      <w:r w:rsidR="003734A8" w:rsidRPr="00053797">
        <w:rPr>
          <w:lang w:eastAsia="en-AU"/>
        </w:rPr>
        <w:t xml:space="preserve">in progress </w:t>
      </w:r>
      <w:r w:rsidR="002E3DBC">
        <w:rPr>
          <w:lang w:eastAsia="en-AU"/>
        </w:rPr>
        <w:t>or will shortly commence, and will examine</w:t>
      </w:r>
      <w:r w:rsidR="003734A8" w:rsidRPr="00053797">
        <w:rPr>
          <w:lang w:eastAsia="en-AU"/>
        </w:rPr>
        <w:t xml:space="preserve"> some of these </w:t>
      </w:r>
      <w:r w:rsidR="00791201" w:rsidRPr="00290941">
        <w:rPr>
          <w:lang w:eastAsia="en-AU"/>
        </w:rPr>
        <w:t>issues</w:t>
      </w:r>
      <w:r w:rsidR="003734A8" w:rsidRPr="00290941">
        <w:rPr>
          <w:lang w:eastAsia="en-AU"/>
        </w:rPr>
        <w:t xml:space="preserve">. For example, </w:t>
      </w:r>
      <w:r w:rsidR="00174CC4" w:rsidRPr="00290941">
        <w:rPr>
          <w:lang w:eastAsia="en-AU"/>
        </w:rPr>
        <w:t>as noted above</w:t>
      </w:r>
      <w:r w:rsidR="002E3DBC">
        <w:rPr>
          <w:lang w:eastAsia="en-AU"/>
        </w:rPr>
        <w:t>,</w:t>
      </w:r>
      <w:r w:rsidR="003734A8" w:rsidRPr="00290941">
        <w:rPr>
          <w:lang w:eastAsia="en-AU"/>
        </w:rPr>
        <w:t xml:space="preserve"> </w:t>
      </w:r>
      <w:r w:rsidR="009D2CBC" w:rsidRPr="00CA6E3B">
        <w:rPr>
          <w:lang w:eastAsia="en-AU"/>
        </w:rPr>
        <w:t xml:space="preserve">BRV is undertaking a review of the imbalances in the accommodation sector, specifically differences in standards and regulations for traditional and short stay accommodation. </w:t>
      </w:r>
      <w:r w:rsidR="002E3DBC">
        <w:rPr>
          <w:lang w:eastAsia="en-AU"/>
        </w:rPr>
        <w:t xml:space="preserve">DJCS will undertake a review of the definition of rooming house. </w:t>
      </w:r>
      <w:r w:rsidR="00791201" w:rsidRPr="00CA6E3B">
        <w:rPr>
          <w:lang w:eastAsia="en-AU"/>
        </w:rPr>
        <w:t xml:space="preserve"> </w:t>
      </w:r>
    </w:p>
    <w:p w14:paraId="65CFEDEB" w14:textId="3957D057" w:rsidR="006D6053" w:rsidRPr="00253112" w:rsidRDefault="009D07F3" w:rsidP="00CA6E3B">
      <w:pPr>
        <w:rPr>
          <w:bCs/>
        </w:rPr>
      </w:pPr>
      <w:r w:rsidRPr="00253112">
        <w:rPr>
          <w:bCs/>
        </w:rPr>
        <w:t xml:space="preserve">It is </w:t>
      </w:r>
      <w:r w:rsidR="00143F90" w:rsidRPr="00253112">
        <w:rPr>
          <w:bCs/>
        </w:rPr>
        <w:t xml:space="preserve">therefore prudent to consider changes to the scope of the Regulations at a later date when the current reviews </w:t>
      </w:r>
      <w:r w:rsidR="00FF6F8D" w:rsidRPr="00253112">
        <w:rPr>
          <w:bCs/>
        </w:rPr>
        <w:t>are</w:t>
      </w:r>
      <w:r w:rsidR="00143F90" w:rsidRPr="00253112">
        <w:rPr>
          <w:bCs/>
        </w:rPr>
        <w:t xml:space="preserve"> completed and a holistic examination of the scope of the Regulations can occur. </w:t>
      </w:r>
    </w:p>
    <w:p w14:paraId="5EAB3E0D" w14:textId="69431A82" w:rsidR="0082750A" w:rsidRDefault="0082750A" w:rsidP="00CA6E3B">
      <w:pPr>
        <w:spacing w:after="0"/>
        <w:rPr>
          <w:lang w:eastAsia="en-AU"/>
        </w:rPr>
      </w:pPr>
      <w:r w:rsidRPr="00CA6E3B">
        <w:rPr>
          <w:rFonts w:asciiTheme="minorHAnsi" w:hAnsiTheme="minorHAnsi" w:cs="Segoe UI Light"/>
          <w:b/>
        </w:rPr>
        <w:t xml:space="preserve">Significant changes to the standards that apply to </w:t>
      </w:r>
      <w:r w:rsidR="003C0ACB" w:rsidRPr="00CA6E3B">
        <w:rPr>
          <w:rFonts w:asciiTheme="minorHAnsi" w:hAnsiTheme="minorHAnsi" w:cs="Segoe UI Light"/>
          <w:b/>
        </w:rPr>
        <w:t>prescribed accommodation</w:t>
      </w:r>
    </w:p>
    <w:p w14:paraId="4DF68E05" w14:textId="0EA323B7" w:rsidR="004672E0" w:rsidRDefault="00294F0E" w:rsidP="000250D8">
      <w:pPr>
        <w:rPr>
          <w:lang w:eastAsia="en-AU"/>
        </w:rPr>
      </w:pPr>
      <w:r>
        <w:rPr>
          <w:lang w:eastAsia="en-AU"/>
        </w:rPr>
        <w:t>Division 2 and division 3 of t</w:t>
      </w:r>
      <w:r w:rsidR="00B22618">
        <w:rPr>
          <w:lang w:eastAsia="en-AU"/>
        </w:rPr>
        <w:t xml:space="preserve">he Regulations set out </w:t>
      </w:r>
      <w:r>
        <w:rPr>
          <w:lang w:eastAsia="en-AU"/>
        </w:rPr>
        <w:t>the</w:t>
      </w:r>
      <w:r w:rsidR="00B22618">
        <w:rPr>
          <w:lang w:eastAsia="en-AU"/>
        </w:rPr>
        <w:t xml:space="preserve"> </w:t>
      </w:r>
      <w:r w:rsidR="00290A44">
        <w:rPr>
          <w:lang w:eastAsia="en-AU"/>
        </w:rPr>
        <w:t xml:space="preserve">minimum standards that prescribed </w:t>
      </w:r>
      <w:r>
        <w:rPr>
          <w:lang w:eastAsia="en-AU"/>
        </w:rPr>
        <w:t>accommodation must meet</w:t>
      </w:r>
      <w:r w:rsidR="005D0716">
        <w:rPr>
          <w:lang w:eastAsia="en-AU"/>
        </w:rPr>
        <w:t xml:space="preserve">. </w:t>
      </w:r>
      <w:r w:rsidR="00A15B07">
        <w:rPr>
          <w:lang w:eastAsia="en-AU"/>
        </w:rPr>
        <w:t xml:space="preserve">It would be possible to </w:t>
      </w:r>
      <w:r w:rsidR="00CD75C6">
        <w:rPr>
          <w:lang w:eastAsia="en-AU"/>
        </w:rPr>
        <w:t>re</w:t>
      </w:r>
      <w:r w:rsidR="0099778C">
        <w:rPr>
          <w:lang w:eastAsia="en-AU"/>
        </w:rPr>
        <w:t xml:space="preserve">make the Regulations with different </w:t>
      </w:r>
      <w:r w:rsidR="00CD75C6">
        <w:rPr>
          <w:lang w:eastAsia="en-AU"/>
        </w:rPr>
        <w:t>standard</w:t>
      </w:r>
      <w:r w:rsidR="0099778C">
        <w:rPr>
          <w:lang w:eastAsia="en-AU"/>
        </w:rPr>
        <w:t>s</w:t>
      </w:r>
      <w:r w:rsidR="00DD0486">
        <w:rPr>
          <w:lang w:eastAsia="en-AU"/>
        </w:rPr>
        <w:t xml:space="preserve"> (either higher or lower) or for exemptions </w:t>
      </w:r>
      <w:r w:rsidR="00A06434">
        <w:rPr>
          <w:lang w:eastAsia="en-AU"/>
        </w:rPr>
        <w:t xml:space="preserve">from certain standards to apply to certain accommodation types. </w:t>
      </w:r>
    </w:p>
    <w:p w14:paraId="1F5AD071" w14:textId="04DB7767" w:rsidR="00A57623" w:rsidRDefault="004672E0" w:rsidP="000250D8">
      <w:pPr>
        <w:rPr>
          <w:lang w:eastAsia="en-AU"/>
        </w:rPr>
      </w:pPr>
      <w:r>
        <w:rPr>
          <w:lang w:eastAsia="en-AU"/>
        </w:rPr>
        <w:lastRenderedPageBreak/>
        <w:t>For example, a</w:t>
      </w:r>
      <w:r w:rsidR="00736B17">
        <w:rPr>
          <w:lang w:eastAsia="en-AU"/>
        </w:rPr>
        <w:t xml:space="preserve"> </w:t>
      </w:r>
      <w:r w:rsidR="00E548A5">
        <w:rPr>
          <w:lang w:eastAsia="en-AU"/>
        </w:rPr>
        <w:t>comprehe</w:t>
      </w:r>
      <w:r w:rsidR="008743CE">
        <w:rPr>
          <w:lang w:eastAsia="en-AU"/>
        </w:rPr>
        <w:t xml:space="preserve">nsive </w:t>
      </w:r>
      <w:r w:rsidR="00736B17">
        <w:rPr>
          <w:lang w:eastAsia="en-AU"/>
        </w:rPr>
        <w:t>review of</w:t>
      </w:r>
      <w:r w:rsidR="00052AAA">
        <w:rPr>
          <w:lang w:eastAsia="en-AU"/>
        </w:rPr>
        <w:t xml:space="preserve"> the standards might </w:t>
      </w:r>
      <w:r w:rsidR="001E09CF">
        <w:rPr>
          <w:lang w:eastAsia="en-AU"/>
        </w:rPr>
        <w:t xml:space="preserve">identify areas where they need to be increased in order to </w:t>
      </w:r>
      <w:r>
        <w:rPr>
          <w:lang w:eastAsia="en-AU"/>
        </w:rPr>
        <w:t xml:space="preserve">better </w:t>
      </w:r>
      <w:r w:rsidR="001B05BE">
        <w:rPr>
          <w:lang w:eastAsia="en-AU"/>
        </w:rPr>
        <w:t xml:space="preserve">protect </w:t>
      </w:r>
      <w:r w:rsidR="00AA667B">
        <w:rPr>
          <w:lang w:eastAsia="en-AU"/>
        </w:rPr>
        <w:t xml:space="preserve">health and hygiene, or areas where </w:t>
      </w:r>
      <w:r w:rsidR="00884F69">
        <w:rPr>
          <w:lang w:eastAsia="en-AU"/>
        </w:rPr>
        <w:t xml:space="preserve">the regulatory burden could be relaxed without </w:t>
      </w:r>
      <w:r w:rsidR="00215EAA">
        <w:rPr>
          <w:lang w:eastAsia="en-AU"/>
        </w:rPr>
        <w:t>compromising outcomes.</w:t>
      </w:r>
      <w:r w:rsidR="00AA667B">
        <w:rPr>
          <w:lang w:eastAsia="en-AU"/>
        </w:rPr>
        <w:t xml:space="preserve"> </w:t>
      </w:r>
    </w:p>
    <w:p w14:paraId="44D5D1F4" w14:textId="19BAAE58" w:rsidR="00CD75C6" w:rsidRPr="000C77D9" w:rsidRDefault="00CD75C6" w:rsidP="00CD75C6">
      <w:pPr>
        <w:rPr>
          <w:lang w:eastAsia="en-AU"/>
        </w:rPr>
      </w:pPr>
      <w:r>
        <w:t xml:space="preserve">There has been stakeholder feedback, including in reviews such as the Small Business Visitor Economy Review, that there is a regulatory burden for small business in the accommodation sector in having to comply with purportedly duplicating standards across different regulatory regimes </w:t>
      </w:r>
      <w:r w:rsidR="00EC6855">
        <w:t>- for example under the RTA</w:t>
      </w:r>
      <w:r w:rsidR="002E3DBC">
        <w:t xml:space="preserve"> and the planning </w:t>
      </w:r>
      <w:r w:rsidR="004D7C84">
        <w:t>framework</w:t>
      </w:r>
      <w:r w:rsidR="002E3DBC">
        <w:t>.</w:t>
      </w:r>
      <w:r w:rsidR="00EC6855">
        <w:t xml:space="preserve"> </w:t>
      </w:r>
    </w:p>
    <w:p w14:paraId="765ECFCC" w14:textId="012A96AF" w:rsidR="00DA3297" w:rsidRDefault="00BC79FA" w:rsidP="00CA6E3B">
      <w:r>
        <w:t>It</w:t>
      </w:r>
      <w:r w:rsidR="00375571">
        <w:t xml:space="preserve"> is not proposed to make changes to </w:t>
      </w:r>
      <w:r w:rsidR="00A50CC8">
        <w:t>the standards in the Regulations at this time. It is more</w:t>
      </w:r>
      <w:r w:rsidR="00FD556B">
        <w:t xml:space="preserve"> appropriate to await the outcome of the cross-portfolio reviews </w:t>
      </w:r>
      <w:r w:rsidR="00447D7D">
        <w:t xml:space="preserve">and any potential changes to standards can </w:t>
      </w:r>
      <w:r w:rsidR="00580C36">
        <w:t xml:space="preserve">then </w:t>
      </w:r>
      <w:r w:rsidR="00447D7D">
        <w:t>be considered</w:t>
      </w:r>
      <w:r w:rsidR="00FD556B">
        <w:t xml:space="preserve"> </w:t>
      </w:r>
      <w:r w:rsidR="00447D7D">
        <w:t>alongside changes to</w:t>
      </w:r>
      <w:r w:rsidR="00FD556B">
        <w:t xml:space="preserve"> the </w:t>
      </w:r>
      <w:r w:rsidR="00447D7D">
        <w:t>coverage</w:t>
      </w:r>
      <w:r w:rsidR="00FD556B">
        <w:t xml:space="preserve"> of the </w:t>
      </w:r>
      <w:r w:rsidR="00447D7D">
        <w:t>Regulations.</w:t>
      </w:r>
      <w:r w:rsidR="0091110D">
        <w:t xml:space="preserve"> </w:t>
      </w:r>
      <w:r w:rsidR="00DA3297" w:rsidRPr="00DA3297">
        <w:rPr>
          <w:b/>
        </w:rPr>
        <w:br/>
      </w:r>
    </w:p>
    <w:p w14:paraId="2A922494" w14:textId="34534CFB" w:rsidR="00293EE0" w:rsidRDefault="00EF06D7" w:rsidP="0002529A">
      <w:pPr>
        <w:pStyle w:val="Heading1"/>
      </w:pPr>
      <w:bookmarkStart w:id="169" w:name="_Toc10111311"/>
      <w:bookmarkStart w:id="170" w:name="_Toc17892135"/>
      <w:r>
        <w:lastRenderedPageBreak/>
        <w:t xml:space="preserve"> </w:t>
      </w:r>
      <w:bookmarkStart w:id="171" w:name="_Toc49460298"/>
      <w:r w:rsidR="00E05B57">
        <w:t>O</w:t>
      </w:r>
      <w:r w:rsidR="00293EE0">
        <w:t xml:space="preserve">ptions </w:t>
      </w:r>
      <w:r w:rsidR="00293EE0" w:rsidRPr="00CD6F30">
        <w:t>analysis</w:t>
      </w:r>
      <w:bookmarkEnd w:id="169"/>
      <w:bookmarkEnd w:id="170"/>
      <w:bookmarkEnd w:id="171"/>
    </w:p>
    <w:p w14:paraId="7D45B8E7" w14:textId="77777777" w:rsidR="00FB48D2" w:rsidRPr="007A37DC" w:rsidRDefault="00FB48D2" w:rsidP="00FB48D2">
      <w:pPr>
        <w:pStyle w:val="Sectionintro"/>
        <w:spacing w:after="240"/>
      </w:pPr>
      <w:r w:rsidRPr="00C07963">
        <w:t xml:space="preserve">This chapter </w:t>
      </w:r>
      <w:r>
        <w:t>compares three key options for the Regulations using a multi-criteria approach</w:t>
      </w:r>
      <w:r w:rsidRPr="00C07963">
        <w:t xml:space="preserve">. </w:t>
      </w:r>
    </w:p>
    <w:p w14:paraId="76D37F1C" w14:textId="77777777" w:rsidR="00FB48D2" w:rsidRDefault="00FB48D2" w:rsidP="00FB48D2">
      <w:pPr>
        <w:pStyle w:val="Heading2"/>
      </w:pPr>
      <w:bookmarkStart w:id="172" w:name="_Toc49460299"/>
      <w:r>
        <w:t>Method of assessment</w:t>
      </w:r>
      <w:bookmarkEnd w:id="172"/>
    </w:p>
    <w:p w14:paraId="2AC0457E" w14:textId="0391AEC8" w:rsidR="00FB48D2" w:rsidRDefault="00FB48D2" w:rsidP="00FB48D2">
      <w:pPr>
        <w:pStyle w:val="BodyText"/>
        <w:spacing w:after="120"/>
        <w:rPr>
          <w:rFonts w:asciiTheme="minorHAnsi" w:hAnsiTheme="minorHAnsi" w:cstheme="minorHAnsi"/>
        </w:rPr>
      </w:pPr>
      <w:r w:rsidRPr="00AD1846">
        <w:rPr>
          <w:rFonts w:asciiTheme="minorHAnsi" w:hAnsiTheme="minorHAnsi" w:cstheme="minorHAnsi"/>
        </w:rPr>
        <w:t>The</w:t>
      </w:r>
      <w:r w:rsidRPr="003D1210">
        <w:rPr>
          <w:rFonts w:asciiTheme="minorHAnsi" w:hAnsiTheme="minorHAnsi" w:cstheme="minorHAnsi"/>
        </w:rPr>
        <w:t xml:space="preserve"> </w:t>
      </w:r>
      <w:r>
        <w:rPr>
          <w:rFonts w:asciiTheme="minorHAnsi" w:hAnsiTheme="minorHAnsi" w:cstheme="minorHAnsi"/>
        </w:rPr>
        <w:t>options in this RIS</w:t>
      </w:r>
      <w:r w:rsidRPr="00B36FE0">
        <w:rPr>
          <w:rFonts w:asciiTheme="minorHAnsi" w:hAnsiTheme="minorHAnsi" w:cstheme="minorHAnsi"/>
        </w:rPr>
        <w:t xml:space="preserve"> have been assessed using Multi-Criteria Analysis </w:t>
      </w:r>
      <w:r w:rsidRPr="006857BB">
        <w:rPr>
          <w:rFonts w:asciiTheme="minorHAnsi" w:hAnsiTheme="minorHAnsi" w:cstheme="minorHAnsi"/>
        </w:rPr>
        <w:t>(MCA)</w:t>
      </w:r>
      <w:r w:rsidRPr="006857BB">
        <w:t xml:space="preserve"> supported by quantitative information where </w:t>
      </w:r>
      <w:r>
        <w:t>available</w:t>
      </w:r>
      <w:r w:rsidRPr="006857BB">
        <w:t xml:space="preserve">. This approach </w:t>
      </w:r>
      <w:r>
        <w:t xml:space="preserve">provides a </w:t>
      </w:r>
      <w:r w:rsidR="00526FCA">
        <w:t xml:space="preserve">structured and transparent </w:t>
      </w:r>
      <w:r>
        <w:t>way of evaluating the options given the limited quantitative data that is available, particularly in respect to benefits</w:t>
      </w:r>
      <w:r w:rsidRPr="006857BB">
        <w:t>. The MCA provides a structured and transparent approach that can balance the different impacts</w:t>
      </w:r>
      <w:r>
        <w:t>.</w:t>
      </w:r>
    </w:p>
    <w:p w14:paraId="2D36B10A" w14:textId="77777777" w:rsidR="00FB48D2" w:rsidRPr="000B4040" w:rsidRDefault="00FB48D2" w:rsidP="00FB48D2">
      <w:pPr>
        <w:pStyle w:val="BodyText"/>
        <w:spacing w:after="0"/>
        <w:rPr>
          <w:rFonts w:cs="Segoe UI Light"/>
          <w:szCs w:val="20"/>
        </w:rPr>
      </w:pPr>
      <w:r w:rsidRPr="000B4040">
        <w:rPr>
          <w:rFonts w:cs="Segoe UI Light"/>
          <w:szCs w:val="20"/>
        </w:rPr>
        <w:t xml:space="preserve">MCA requires judgement of how the proposed options will contribute to a series of criteria that are chosen to reflect the benefits and costs associated with each option. Each criterion is assigned a weight reflecting its importance to the policy decision, and a weighted score </w:t>
      </w:r>
      <w:r>
        <w:rPr>
          <w:rFonts w:cs="Segoe UI Light"/>
          <w:szCs w:val="20"/>
        </w:rPr>
        <w:t xml:space="preserve">is </w:t>
      </w:r>
      <w:r w:rsidRPr="000B4040">
        <w:rPr>
          <w:rFonts w:cs="Segoe UI Light"/>
          <w:szCs w:val="20"/>
        </w:rPr>
        <w:t>then derived for each option. The option with the highest weighted score is the preferred option. The MCA technique is outlined in Box</w:t>
      </w:r>
      <w:r>
        <w:rPr>
          <w:rFonts w:cs="Segoe UI Light"/>
          <w:szCs w:val="20"/>
        </w:rPr>
        <w:t xml:space="preserve"> 4.1</w:t>
      </w:r>
      <w:r w:rsidRPr="000B4040">
        <w:rPr>
          <w:rFonts w:cs="Segoe UI Light"/>
          <w:szCs w:val="20"/>
        </w:rPr>
        <w:t>.</w:t>
      </w:r>
    </w:p>
    <w:p w14:paraId="2632A44D" w14:textId="4E18E2B8" w:rsidR="00FB48D2" w:rsidRDefault="00FB48D2" w:rsidP="00FB48D2">
      <w:pPr>
        <w:pStyle w:val="Caption"/>
        <w:spacing w:before="60" w:after="0"/>
      </w:pPr>
      <w:r>
        <w:t xml:space="preserve">Box </w:t>
      </w:r>
      <w:r>
        <w:rPr>
          <w:color w:val="2B579A"/>
          <w:shd w:val="clear" w:color="auto" w:fill="E6E6E6"/>
        </w:rPr>
        <w:fldChar w:fldCharType="begin"/>
      </w:r>
      <w:r>
        <w:instrText xml:space="preserve"> STYLEREF 1 \s </w:instrText>
      </w:r>
      <w:r>
        <w:rPr>
          <w:color w:val="2B579A"/>
          <w:shd w:val="clear" w:color="auto" w:fill="E6E6E6"/>
        </w:rPr>
        <w:fldChar w:fldCharType="separate"/>
      </w:r>
      <w:r w:rsidR="00795309">
        <w:rPr>
          <w:noProof/>
        </w:rPr>
        <w:t>4</w:t>
      </w:r>
      <w:r>
        <w:rPr>
          <w:color w:val="2B579A"/>
          <w:shd w:val="clear" w:color="auto" w:fill="E6E6E6"/>
        </w:rPr>
        <w:fldChar w:fldCharType="end"/>
      </w:r>
      <w:r>
        <w:t>.</w:t>
      </w:r>
      <w:r>
        <w:rPr>
          <w:color w:val="2B579A"/>
          <w:shd w:val="clear" w:color="auto" w:fill="E6E6E6"/>
        </w:rPr>
        <w:fldChar w:fldCharType="begin"/>
      </w:r>
      <w:r>
        <w:instrText xml:space="preserve"> SEQ Box \* ARABIC \s 1 </w:instrText>
      </w:r>
      <w:r>
        <w:rPr>
          <w:color w:val="2B579A"/>
          <w:shd w:val="clear" w:color="auto" w:fill="E6E6E6"/>
        </w:rPr>
        <w:fldChar w:fldCharType="separate"/>
      </w:r>
      <w:r w:rsidR="00795309">
        <w:rPr>
          <w:noProof/>
        </w:rPr>
        <w:t>1</w:t>
      </w:r>
      <w:r>
        <w:rPr>
          <w:color w:val="2B579A"/>
          <w:shd w:val="clear" w:color="auto" w:fill="E6E6E6"/>
        </w:rPr>
        <w:fldChar w:fldCharType="end"/>
      </w:r>
      <w:r>
        <w:t xml:space="preserve"> Multi Criteria Analysis</w:t>
      </w:r>
    </w:p>
    <w:tbl>
      <w:tblPr>
        <w:tblStyle w:val="TableGridLight"/>
        <w:tblW w:w="0" w:type="auto"/>
        <w:tblLook w:val="04A0" w:firstRow="1" w:lastRow="0" w:firstColumn="1" w:lastColumn="0" w:noHBand="0" w:noVBand="1"/>
      </w:tblPr>
      <w:tblGrid>
        <w:gridCol w:w="8996"/>
      </w:tblGrid>
      <w:tr w:rsidR="00835F53" w14:paraId="767FE1D2" w14:textId="77777777" w:rsidTr="00844999">
        <w:tc>
          <w:tcPr>
            <w:tcW w:w="9026" w:type="dxa"/>
            <w:tcBorders>
              <w:top w:val="single" w:sz="12" w:space="0" w:color="046A38" w:themeColor="accent2"/>
              <w:left w:val="single" w:sz="12" w:space="0" w:color="046A38" w:themeColor="accent2"/>
              <w:bottom w:val="single" w:sz="12" w:space="0" w:color="046A38" w:themeColor="accent2"/>
              <w:right w:val="single" w:sz="12" w:space="0" w:color="046A38" w:themeColor="accent2"/>
            </w:tcBorders>
          </w:tcPr>
          <w:p w14:paraId="4255F409" w14:textId="68C71DC7" w:rsidR="00835F53" w:rsidRPr="00844999" w:rsidRDefault="00DE4762" w:rsidP="00844999">
            <w:pPr>
              <w:spacing w:before="120" w:after="120"/>
              <w:ind w:left="57" w:right="57"/>
              <w:rPr>
                <w:rFonts w:cs="Segoe UI Light"/>
                <w:sz w:val="17"/>
                <w:szCs w:val="17"/>
              </w:rPr>
            </w:pPr>
            <w:bookmarkStart w:id="173" w:name="_Hlk49849603"/>
            <w:r w:rsidRPr="003E01A4">
              <w:rPr>
                <w:rFonts w:cs="Segoe UI Light"/>
                <w:sz w:val="17"/>
                <w:szCs w:val="17"/>
              </w:rPr>
              <w:t>MCA involves assessment of policy options against decision criteria. MCA enables options to be compared in a way that utilises quantitative and qualitative evidence fully. The approach enables the inclusion of a wider range of criteria than those used in a typical financial analysis. For example, it may include social and health considerations. In addition, the approach is transparent and explicit about any necessary subjective judgements and assumptions made to determine options and criteria, and to assign scores and weights. The preferences of the decision maker reflected in these judgements and assumptions can be readily changed in a sensitivity analysis or by incorporating alternative indicators of community preference.</w:t>
            </w:r>
          </w:p>
        </w:tc>
      </w:tr>
      <w:bookmarkEnd w:id="173"/>
    </w:tbl>
    <w:p w14:paraId="7FD5E560" w14:textId="48A7A12A" w:rsidR="00FB48D2" w:rsidRDefault="00FB48D2" w:rsidP="001419A0">
      <w:pPr>
        <w:keepNext/>
        <w:keepLines/>
        <w:spacing w:before="120" w:after="0"/>
      </w:pPr>
    </w:p>
    <w:p w14:paraId="4BCD980C" w14:textId="77777777" w:rsidR="00FB48D2" w:rsidRDefault="00FB48D2" w:rsidP="000A471E">
      <w:pPr>
        <w:pStyle w:val="Heading3"/>
      </w:pPr>
      <w:r w:rsidRPr="000A471E">
        <w:t>Criteria</w:t>
      </w:r>
    </w:p>
    <w:p w14:paraId="294EEE16" w14:textId="082AF2FD" w:rsidR="006936EA" w:rsidRDefault="00FB48D2" w:rsidP="00FB48D2">
      <w:pPr>
        <w:spacing w:after="0"/>
      </w:pPr>
      <w:r>
        <w:t>The o</w:t>
      </w:r>
      <w:r w:rsidRPr="00191BA6">
        <w:t xml:space="preserve">ptions have been assessed based on a framework </w:t>
      </w:r>
      <w:r>
        <w:t>that</w:t>
      </w:r>
      <w:r w:rsidRPr="00191BA6">
        <w:t xml:space="preserve"> considers the criteria</w:t>
      </w:r>
      <w:r>
        <w:t xml:space="preserve"> in </w:t>
      </w:r>
      <w:r w:rsidR="00717904">
        <w:t>the table below</w:t>
      </w:r>
      <w:r>
        <w:t xml:space="preserve">. </w:t>
      </w:r>
      <w:r w:rsidRPr="00461055">
        <w:rPr>
          <w:szCs w:val="17"/>
        </w:rPr>
        <w:t xml:space="preserve">For the purpose of this assessment, benefits and costs have been weighted equally at 50% each. The benefit criteria of </w:t>
      </w:r>
      <w:r w:rsidRPr="00AD3399">
        <w:rPr>
          <w:b/>
          <w:szCs w:val="17"/>
        </w:rPr>
        <w:t xml:space="preserve">Health and </w:t>
      </w:r>
      <w:r>
        <w:rPr>
          <w:b/>
          <w:szCs w:val="17"/>
        </w:rPr>
        <w:t xml:space="preserve">Wellbeing </w:t>
      </w:r>
      <w:r w:rsidRPr="003D5D1B">
        <w:rPr>
          <w:szCs w:val="17"/>
        </w:rPr>
        <w:t xml:space="preserve">is weighted (50%) reflecting the objectives of the </w:t>
      </w:r>
      <w:r w:rsidR="00BC79FA">
        <w:rPr>
          <w:szCs w:val="17"/>
        </w:rPr>
        <w:t>PHWA</w:t>
      </w:r>
      <w:r w:rsidR="00BC79FA" w:rsidRPr="003D5D1B">
        <w:rPr>
          <w:szCs w:val="17"/>
        </w:rPr>
        <w:t xml:space="preserve"> </w:t>
      </w:r>
      <w:r w:rsidRPr="003D5D1B">
        <w:rPr>
          <w:szCs w:val="17"/>
        </w:rPr>
        <w:t xml:space="preserve">and Regulations, which aim to </w:t>
      </w:r>
      <w:r w:rsidRPr="003D5D1B">
        <w:rPr>
          <w:lang w:val="en"/>
        </w:rPr>
        <w:t xml:space="preserve">achieve the highest attainable standard of public health and </w:t>
      </w:r>
      <w:r>
        <w:rPr>
          <w:lang w:val="en"/>
        </w:rPr>
        <w:t>wellbeing</w:t>
      </w:r>
      <w:r w:rsidRPr="003D5D1B">
        <w:rPr>
          <w:lang w:val="en"/>
        </w:rPr>
        <w:t xml:space="preserve">. There are </w:t>
      </w:r>
      <w:r w:rsidR="00A171B9">
        <w:rPr>
          <w:lang w:val="en"/>
        </w:rPr>
        <w:t>two</w:t>
      </w:r>
      <w:r w:rsidRPr="003D5D1B">
        <w:rPr>
          <w:lang w:val="en"/>
        </w:rPr>
        <w:t xml:space="preserve"> cost criteria namely </w:t>
      </w:r>
      <w:r w:rsidRPr="003D5D1B">
        <w:rPr>
          <w:b/>
          <w:lang w:val="en"/>
        </w:rPr>
        <w:t xml:space="preserve">Cost to businesses </w:t>
      </w:r>
      <w:r w:rsidRPr="003D5D1B">
        <w:rPr>
          <w:lang w:val="en"/>
        </w:rPr>
        <w:t xml:space="preserve">and </w:t>
      </w:r>
      <w:r w:rsidRPr="003D5D1B">
        <w:rPr>
          <w:b/>
          <w:lang w:val="en"/>
        </w:rPr>
        <w:t xml:space="preserve">Supply of accommodation. </w:t>
      </w:r>
      <w:r w:rsidRPr="003D5D1B">
        <w:rPr>
          <w:lang w:val="en"/>
        </w:rPr>
        <w:t xml:space="preserve">Cost to businesses reflect direct regulatory costs incurred by proprietors of prescribed accommodation </w:t>
      </w:r>
      <w:r w:rsidR="00527DA0">
        <w:rPr>
          <w:lang w:val="en"/>
        </w:rPr>
        <w:t xml:space="preserve">including that of Council fees </w:t>
      </w:r>
      <w:r w:rsidRPr="003D5D1B">
        <w:rPr>
          <w:lang w:val="en"/>
        </w:rPr>
        <w:t>(</w:t>
      </w:r>
      <w:r w:rsidR="00A171B9">
        <w:rPr>
          <w:lang w:val="en"/>
        </w:rPr>
        <w:t>4</w:t>
      </w:r>
      <w:r w:rsidRPr="003D5D1B">
        <w:rPr>
          <w:lang w:val="en"/>
        </w:rPr>
        <w:t>0%)</w:t>
      </w:r>
      <w:r w:rsidR="00A171B9">
        <w:rPr>
          <w:lang w:val="en"/>
        </w:rPr>
        <w:t xml:space="preserve">. </w:t>
      </w:r>
      <w:r w:rsidRPr="003D5D1B">
        <w:rPr>
          <w:lang w:val="en"/>
        </w:rPr>
        <w:t xml:space="preserve">The </w:t>
      </w:r>
      <w:r w:rsidRPr="003D5D1B">
        <w:rPr>
          <w:szCs w:val="17"/>
        </w:rPr>
        <w:t xml:space="preserve">remaining 10% for </w:t>
      </w:r>
      <w:r w:rsidRPr="003D5D1B">
        <w:rPr>
          <w:b/>
        </w:rPr>
        <w:t>Supply of accommodation</w:t>
      </w:r>
      <w:r w:rsidRPr="003D5D1B">
        <w:t xml:space="preserve"> reflects that Regulations may create onerous regulatory burdens potentially reducing the supply of prescribed accommodation for </w:t>
      </w:r>
      <w:r>
        <w:t xml:space="preserve">people seeking this accommodation. </w:t>
      </w:r>
      <w:bookmarkStart w:id="174" w:name="_Ref47474273"/>
      <w:bookmarkEnd w:id="174"/>
    </w:p>
    <w:p w14:paraId="72B889A2" w14:textId="77777777" w:rsidR="006936EA" w:rsidRDefault="006936EA">
      <w:pPr>
        <w:spacing w:after="0"/>
      </w:pPr>
      <w:r>
        <w:br w:type="page"/>
      </w:r>
    </w:p>
    <w:p w14:paraId="541080C8" w14:textId="1207BD8A" w:rsidR="00FB48D2" w:rsidRDefault="00FB48D2" w:rsidP="00FB48D2">
      <w:pPr>
        <w:pStyle w:val="Caption"/>
      </w:pPr>
      <w:r>
        <w:lastRenderedPageBreak/>
        <w:t xml:space="preserve">Table </w:t>
      </w:r>
      <w:r w:rsidR="004335F8">
        <w:fldChar w:fldCharType="begin"/>
      </w:r>
      <w:r w:rsidR="004335F8">
        <w:instrText xml:space="preserve"> STYLEREF 1 \s </w:instrText>
      </w:r>
      <w:r w:rsidR="004335F8">
        <w:fldChar w:fldCharType="separate"/>
      </w:r>
      <w:r w:rsidR="00795309">
        <w:rPr>
          <w:noProof/>
        </w:rPr>
        <w:t>4</w:t>
      </w:r>
      <w:r w:rsidR="004335F8">
        <w:fldChar w:fldCharType="end"/>
      </w:r>
      <w:r w:rsidR="004335F8">
        <w:noBreakHyphen/>
      </w:r>
      <w:r w:rsidR="004335F8">
        <w:fldChar w:fldCharType="begin"/>
      </w:r>
      <w:r w:rsidR="004335F8">
        <w:instrText xml:space="preserve"> SEQ Table \* ARABIC \s 1 </w:instrText>
      </w:r>
      <w:r w:rsidR="004335F8">
        <w:fldChar w:fldCharType="separate"/>
      </w:r>
      <w:r w:rsidR="00795309">
        <w:rPr>
          <w:noProof/>
        </w:rPr>
        <w:t>1</w:t>
      </w:r>
      <w:r w:rsidR="004335F8">
        <w:fldChar w:fldCharType="end"/>
      </w:r>
      <w:r>
        <w:t xml:space="preserve"> </w:t>
      </w:r>
      <w:r w:rsidRPr="00A74800">
        <w:t>MCA criteria and weightings</w:t>
      </w:r>
    </w:p>
    <w:tbl>
      <w:tblPr>
        <w:tblStyle w:val="Deloittetable"/>
        <w:tblW w:w="9072" w:type="dxa"/>
        <w:tblBorders>
          <w:top w:val="single" w:sz="24" w:space="0" w:color="62B5E5" w:themeColor="accent3"/>
        </w:tblBorders>
        <w:tblLayout w:type="fixed"/>
        <w:tblLook w:val="04A0" w:firstRow="1" w:lastRow="0" w:firstColumn="1" w:lastColumn="0" w:noHBand="0" w:noVBand="1"/>
      </w:tblPr>
      <w:tblGrid>
        <w:gridCol w:w="2268"/>
        <w:gridCol w:w="5529"/>
        <w:gridCol w:w="1275"/>
      </w:tblGrid>
      <w:tr w:rsidR="00FB48D2" w:rsidRPr="003D5D1B" w14:paraId="74E68662" w14:textId="77777777" w:rsidTr="0036703E">
        <w:trPr>
          <w:cnfStyle w:val="100000000000" w:firstRow="1" w:lastRow="0" w:firstColumn="0" w:lastColumn="0" w:oddVBand="0" w:evenVBand="0" w:oddHBand="0" w:evenHBand="0" w:firstRowFirstColumn="0" w:firstRowLastColumn="0" w:lastRowFirstColumn="0" w:lastRowLastColumn="0"/>
          <w:trHeight w:val="252"/>
        </w:trPr>
        <w:tc>
          <w:tcPr>
            <w:tcW w:w="2268" w:type="dxa"/>
            <w:hideMark/>
          </w:tcPr>
          <w:p w14:paraId="18295ABD" w14:textId="77777777" w:rsidR="00FB48D2" w:rsidRPr="003D5D1B" w:rsidRDefault="00FB48D2" w:rsidP="00246B9B">
            <w:pPr>
              <w:spacing w:after="0"/>
              <w:rPr>
                <w:rFonts w:ascii="Georgia" w:hAnsi="Georgia"/>
                <w:b/>
                <w:sz w:val="18"/>
              </w:rPr>
            </w:pPr>
            <w:r w:rsidRPr="003D5D1B">
              <w:rPr>
                <w:b/>
              </w:rPr>
              <w:t>Criteria</w:t>
            </w:r>
          </w:p>
        </w:tc>
        <w:tc>
          <w:tcPr>
            <w:tcW w:w="5529" w:type="dxa"/>
            <w:hideMark/>
          </w:tcPr>
          <w:p w14:paraId="058AD596" w14:textId="77777777" w:rsidR="00FB48D2" w:rsidRPr="003D5D1B" w:rsidRDefault="00FB48D2" w:rsidP="00246B9B">
            <w:pPr>
              <w:spacing w:after="0"/>
              <w:rPr>
                <w:rFonts w:ascii="Calibri" w:hAnsi="Calibri"/>
                <w:b/>
                <w:sz w:val="18"/>
              </w:rPr>
            </w:pPr>
            <w:r w:rsidRPr="003D5D1B">
              <w:rPr>
                <w:b/>
              </w:rPr>
              <w:t>Description</w:t>
            </w:r>
          </w:p>
        </w:tc>
        <w:tc>
          <w:tcPr>
            <w:tcW w:w="1275" w:type="dxa"/>
            <w:hideMark/>
          </w:tcPr>
          <w:p w14:paraId="3A309590" w14:textId="77777777" w:rsidR="00FB48D2" w:rsidRPr="003D5D1B" w:rsidRDefault="00FB48D2" w:rsidP="00246B9B">
            <w:pPr>
              <w:spacing w:after="0"/>
              <w:jc w:val="center"/>
              <w:rPr>
                <w:b/>
                <w:sz w:val="18"/>
              </w:rPr>
            </w:pPr>
            <w:r w:rsidRPr="003D5D1B">
              <w:rPr>
                <w:b/>
              </w:rPr>
              <w:t>Weighting</w:t>
            </w:r>
          </w:p>
        </w:tc>
      </w:tr>
      <w:tr w:rsidR="00FB48D2" w:rsidRPr="003D5D1B" w14:paraId="5B4BDA41" w14:textId="77777777" w:rsidTr="0036703E">
        <w:trPr>
          <w:trHeight w:val="294"/>
        </w:trPr>
        <w:tc>
          <w:tcPr>
            <w:tcW w:w="2268" w:type="dxa"/>
          </w:tcPr>
          <w:p w14:paraId="4ABE4BF8" w14:textId="009FEC00" w:rsidR="00FB48D2" w:rsidRPr="00A171B9" w:rsidRDefault="00FB48D2" w:rsidP="00246B9B">
            <w:pPr>
              <w:spacing w:after="0"/>
            </w:pPr>
            <w:r w:rsidRPr="00A171B9">
              <w:t>Cost to businesses</w:t>
            </w:r>
            <w:r w:rsidR="002C3EE0" w:rsidRPr="00A171B9">
              <w:rPr>
                <w:rStyle w:val="FootnoteReference"/>
              </w:rPr>
              <w:footnoteReference w:id="60"/>
            </w:r>
          </w:p>
        </w:tc>
        <w:tc>
          <w:tcPr>
            <w:tcW w:w="5529" w:type="dxa"/>
          </w:tcPr>
          <w:p w14:paraId="0175585E" w14:textId="77777777" w:rsidR="00FB48D2" w:rsidRPr="00851982" w:rsidRDefault="00FB48D2" w:rsidP="00246B9B">
            <w:pPr>
              <w:spacing w:after="0" w:line="240" w:lineRule="auto"/>
            </w:pPr>
            <w:r w:rsidRPr="00851982">
              <w:t xml:space="preserve">Direct regulatory cost to proprietors of prescribed accommodation </w:t>
            </w:r>
          </w:p>
        </w:tc>
        <w:tc>
          <w:tcPr>
            <w:tcW w:w="1275" w:type="dxa"/>
          </w:tcPr>
          <w:p w14:paraId="0DCBB783" w14:textId="46D7B433" w:rsidR="00FB48D2" w:rsidRPr="00736A2E" w:rsidRDefault="002C3EE0" w:rsidP="00246B9B">
            <w:pPr>
              <w:spacing w:after="0"/>
              <w:jc w:val="center"/>
            </w:pPr>
            <w:r w:rsidRPr="00736A2E">
              <w:t>40</w:t>
            </w:r>
            <w:r w:rsidR="00FB48D2" w:rsidRPr="00736A2E">
              <w:t>%</w:t>
            </w:r>
          </w:p>
        </w:tc>
      </w:tr>
      <w:tr w:rsidR="00FB48D2" w:rsidRPr="003D5D1B" w14:paraId="6959B78B" w14:textId="77777777" w:rsidTr="0036703E">
        <w:trPr>
          <w:trHeight w:val="224"/>
        </w:trPr>
        <w:tc>
          <w:tcPr>
            <w:tcW w:w="2268" w:type="dxa"/>
          </w:tcPr>
          <w:p w14:paraId="4AAA4182" w14:textId="77777777" w:rsidR="002C3EE0" w:rsidRDefault="00FB48D2" w:rsidP="00246B9B">
            <w:pPr>
              <w:spacing w:after="0"/>
            </w:pPr>
            <w:r w:rsidRPr="003D5D1B">
              <w:t xml:space="preserve">Supply of </w:t>
            </w:r>
          </w:p>
          <w:p w14:paraId="7A04970F" w14:textId="5B042FCA" w:rsidR="00FB48D2" w:rsidRPr="003D5D1B" w:rsidRDefault="00FB48D2" w:rsidP="00246B9B">
            <w:pPr>
              <w:spacing w:after="0"/>
            </w:pPr>
            <w:r w:rsidRPr="003D5D1B">
              <w:t xml:space="preserve">accommodation </w:t>
            </w:r>
          </w:p>
        </w:tc>
        <w:tc>
          <w:tcPr>
            <w:tcW w:w="5529" w:type="dxa"/>
          </w:tcPr>
          <w:p w14:paraId="1D24085F" w14:textId="77777777" w:rsidR="00FB48D2" w:rsidRPr="003D5D1B" w:rsidRDefault="00FB48D2" w:rsidP="00246B9B">
            <w:pPr>
              <w:spacing w:after="0" w:line="240" w:lineRule="auto"/>
            </w:pPr>
            <w:r w:rsidRPr="003D5D1B">
              <w:t>Impact on supply of prescribed accommodation</w:t>
            </w:r>
          </w:p>
        </w:tc>
        <w:tc>
          <w:tcPr>
            <w:tcW w:w="1275" w:type="dxa"/>
          </w:tcPr>
          <w:p w14:paraId="0A61E9F9" w14:textId="77777777" w:rsidR="00FB48D2" w:rsidRPr="003D5D1B" w:rsidRDefault="00FB48D2" w:rsidP="00246B9B">
            <w:pPr>
              <w:spacing w:after="0"/>
              <w:jc w:val="center"/>
            </w:pPr>
            <w:r w:rsidRPr="003D5D1B">
              <w:t>10%</w:t>
            </w:r>
          </w:p>
        </w:tc>
      </w:tr>
      <w:tr w:rsidR="00B36ABD" w:rsidRPr="003D5D1B" w14:paraId="650657CE" w14:textId="77777777" w:rsidTr="0036703E">
        <w:trPr>
          <w:trHeight w:val="273"/>
        </w:trPr>
        <w:tc>
          <w:tcPr>
            <w:tcW w:w="2268" w:type="dxa"/>
          </w:tcPr>
          <w:p w14:paraId="0826D25F" w14:textId="77777777" w:rsidR="00B36ABD" w:rsidRPr="003D5D1B" w:rsidRDefault="00B36ABD" w:rsidP="00246B9B">
            <w:pPr>
              <w:spacing w:after="0"/>
            </w:pPr>
            <w:r w:rsidRPr="003D5D1B">
              <w:rPr>
                <w:b/>
              </w:rPr>
              <w:t>Total costs weighting</w:t>
            </w:r>
          </w:p>
        </w:tc>
        <w:tc>
          <w:tcPr>
            <w:tcW w:w="5529" w:type="dxa"/>
          </w:tcPr>
          <w:p w14:paraId="31E33147" w14:textId="7119DC56" w:rsidR="00B36ABD" w:rsidRPr="003D5D1B" w:rsidRDefault="00B36ABD" w:rsidP="00246B9B">
            <w:pPr>
              <w:spacing w:after="0"/>
              <w:rPr>
                <w:sz w:val="18"/>
              </w:rPr>
            </w:pPr>
          </w:p>
        </w:tc>
        <w:tc>
          <w:tcPr>
            <w:tcW w:w="1275" w:type="dxa"/>
          </w:tcPr>
          <w:p w14:paraId="73E64C34" w14:textId="77777777" w:rsidR="00B36ABD" w:rsidRPr="003D5D1B" w:rsidRDefault="00B36ABD" w:rsidP="00246B9B">
            <w:pPr>
              <w:spacing w:after="0"/>
              <w:jc w:val="center"/>
              <w:rPr>
                <w:sz w:val="18"/>
              </w:rPr>
            </w:pPr>
            <w:r w:rsidRPr="003D5D1B">
              <w:rPr>
                <w:b/>
              </w:rPr>
              <w:t>50%</w:t>
            </w:r>
          </w:p>
        </w:tc>
      </w:tr>
      <w:tr w:rsidR="00FB48D2" w:rsidRPr="003D5D1B" w14:paraId="1829D239" w14:textId="77777777" w:rsidTr="0036703E">
        <w:trPr>
          <w:trHeight w:val="188"/>
        </w:trPr>
        <w:tc>
          <w:tcPr>
            <w:tcW w:w="2268" w:type="dxa"/>
          </w:tcPr>
          <w:p w14:paraId="3F636FD9" w14:textId="77777777" w:rsidR="00FB48D2" w:rsidRPr="003D5D1B" w:rsidRDefault="00FB48D2" w:rsidP="00246B9B">
            <w:pPr>
              <w:spacing w:after="0"/>
            </w:pPr>
            <w:r w:rsidRPr="003D5D1B">
              <w:t xml:space="preserve">Health and </w:t>
            </w:r>
            <w:r>
              <w:t>wellbeing</w:t>
            </w:r>
          </w:p>
        </w:tc>
        <w:tc>
          <w:tcPr>
            <w:tcW w:w="5529" w:type="dxa"/>
          </w:tcPr>
          <w:p w14:paraId="64C6B4E4" w14:textId="77777777" w:rsidR="00FB48D2" w:rsidRPr="00AD3399" w:rsidRDefault="00FB48D2" w:rsidP="00246B9B">
            <w:pPr>
              <w:spacing w:after="0"/>
            </w:pPr>
            <w:r w:rsidRPr="003D5D1B">
              <w:t xml:space="preserve">The benefits to prescribed accommodation occupants, the community, and healthcare system from reduced exposure to substandard </w:t>
            </w:r>
            <w:r>
              <w:t>accommodation</w:t>
            </w:r>
          </w:p>
        </w:tc>
        <w:tc>
          <w:tcPr>
            <w:tcW w:w="1275" w:type="dxa"/>
          </w:tcPr>
          <w:p w14:paraId="36167F99" w14:textId="77777777" w:rsidR="00FB48D2" w:rsidRPr="003D5D1B" w:rsidRDefault="00FB48D2" w:rsidP="00246B9B">
            <w:pPr>
              <w:spacing w:after="0"/>
              <w:jc w:val="center"/>
              <w:rPr>
                <w:sz w:val="18"/>
              </w:rPr>
            </w:pPr>
            <w:r w:rsidRPr="003D5D1B">
              <w:t>50%</w:t>
            </w:r>
          </w:p>
        </w:tc>
      </w:tr>
      <w:tr w:rsidR="0036703E" w:rsidRPr="003D5D1B" w14:paraId="2BDDFE38" w14:textId="77777777" w:rsidTr="0036703E">
        <w:trPr>
          <w:trHeight w:val="188"/>
        </w:trPr>
        <w:tc>
          <w:tcPr>
            <w:tcW w:w="2268" w:type="dxa"/>
          </w:tcPr>
          <w:p w14:paraId="76CD22B7" w14:textId="77777777" w:rsidR="0036703E" w:rsidRPr="003D5D1B" w:rsidRDefault="0036703E" w:rsidP="00246B9B">
            <w:pPr>
              <w:spacing w:after="0"/>
              <w:rPr>
                <w:b/>
              </w:rPr>
            </w:pPr>
            <w:r w:rsidRPr="003D5D1B">
              <w:rPr>
                <w:b/>
              </w:rPr>
              <w:t>Total benefits weighting</w:t>
            </w:r>
          </w:p>
        </w:tc>
        <w:tc>
          <w:tcPr>
            <w:tcW w:w="5529" w:type="dxa"/>
          </w:tcPr>
          <w:p w14:paraId="17728CAE" w14:textId="4602DC60" w:rsidR="0036703E" w:rsidRPr="003D5D1B" w:rsidRDefault="0036703E" w:rsidP="00246B9B">
            <w:pPr>
              <w:spacing w:after="0"/>
              <w:rPr>
                <w:b/>
                <w:sz w:val="18"/>
              </w:rPr>
            </w:pPr>
          </w:p>
        </w:tc>
        <w:tc>
          <w:tcPr>
            <w:tcW w:w="1275" w:type="dxa"/>
          </w:tcPr>
          <w:p w14:paraId="208BBCFD" w14:textId="77777777" w:rsidR="0036703E" w:rsidRPr="003D5D1B" w:rsidRDefault="0036703E" w:rsidP="00246B9B">
            <w:pPr>
              <w:spacing w:after="0"/>
              <w:jc w:val="center"/>
              <w:rPr>
                <w:b/>
                <w:sz w:val="18"/>
              </w:rPr>
            </w:pPr>
            <w:r w:rsidRPr="003D5D1B">
              <w:rPr>
                <w:b/>
              </w:rPr>
              <w:t>50%</w:t>
            </w:r>
          </w:p>
        </w:tc>
      </w:tr>
    </w:tbl>
    <w:p w14:paraId="7E6E68AE" w14:textId="77777777" w:rsidR="00FB48D2" w:rsidRPr="003D5D1B" w:rsidRDefault="00FB48D2" w:rsidP="00FB48D2"/>
    <w:p w14:paraId="6CB2E035" w14:textId="77777777" w:rsidR="00FB48D2" w:rsidRPr="003D5D1B" w:rsidRDefault="00FB48D2" w:rsidP="000A471E">
      <w:pPr>
        <w:pStyle w:val="Heading3"/>
      </w:pPr>
      <w:r w:rsidRPr="003D5D1B">
        <w:t>Scale</w:t>
      </w:r>
    </w:p>
    <w:p w14:paraId="25503AFB" w14:textId="77777777" w:rsidR="00FB48D2" w:rsidRPr="003D5D1B" w:rsidRDefault="00FB48D2" w:rsidP="00FB48D2">
      <w:pPr>
        <w:spacing w:after="240"/>
        <w:rPr>
          <w:rFonts w:asciiTheme="minorHAnsi" w:hAnsiTheme="minorHAnsi" w:cstheme="minorHAnsi"/>
        </w:rPr>
      </w:pPr>
      <w:r w:rsidRPr="003D5D1B">
        <w:rPr>
          <w:rFonts w:asciiTheme="minorHAnsi" w:hAnsiTheme="minorHAnsi" w:cstheme="minorHAnsi"/>
        </w:rPr>
        <w:t xml:space="preserve">The criterion rating scale has a range of –10 to +10, where a score of zero represents no change from the Base Case. </w:t>
      </w:r>
    </w:p>
    <w:p w14:paraId="11F36E0D" w14:textId="0635D9EE" w:rsidR="00FB48D2" w:rsidRPr="003D5D1B" w:rsidRDefault="00FB48D2" w:rsidP="00FB48D2">
      <w:pPr>
        <w:keepNext/>
        <w:keepLines/>
        <w:spacing w:before="240" w:after="240"/>
        <w:rPr>
          <w:iCs/>
          <w:color w:val="75787B" w:themeColor="accent6"/>
          <w:sz w:val="17"/>
        </w:rPr>
      </w:pPr>
      <w:r w:rsidRPr="0005328D">
        <w:rPr>
          <w:iCs/>
          <w:color w:val="000000" w:themeColor="text1"/>
          <w:sz w:val="17"/>
        </w:rPr>
        <w:t xml:space="preserve">Table </w:t>
      </w:r>
      <w:r w:rsidR="004335F8" w:rsidRPr="0005328D">
        <w:rPr>
          <w:iCs/>
          <w:color w:val="000000" w:themeColor="text1"/>
          <w:sz w:val="17"/>
        </w:rPr>
        <w:fldChar w:fldCharType="begin"/>
      </w:r>
      <w:r w:rsidR="004335F8" w:rsidRPr="0005328D">
        <w:rPr>
          <w:iCs/>
          <w:color w:val="000000" w:themeColor="text1"/>
          <w:sz w:val="17"/>
        </w:rPr>
        <w:instrText xml:space="preserve"> STYLEREF 1 \s </w:instrText>
      </w:r>
      <w:r w:rsidR="004335F8" w:rsidRPr="0005328D">
        <w:rPr>
          <w:iCs/>
          <w:color w:val="000000" w:themeColor="text1"/>
          <w:sz w:val="17"/>
        </w:rPr>
        <w:fldChar w:fldCharType="separate"/>
      </w:r>
      <w:r w:rsidR="00795309">
        <w:rPr>
          <w:iCs/>
          <w:noProof/>
          <w:color w:val="000000" w:themeColor="text1"/>
          <w:sz w:val="17"/>
        </w:rPr>
        <w:t>4</w:t>
      </w:r>
      <w:r w:rsidR="004335F8" w:rsidRPr="0005328D">
        <w:rPr>
          <w:iCs/>
          <w:color w:val="000000" w:themeColor="text1"/>
          <w:sz w:val="17"/>
        </w:rPr>
        <w:fldChar w:fldCharType="end"/>
      </w:r>
      <w:r w:rsidR="004335F8" w:rsidRPr="0005328D">
        <w:rPr>
          <w:iCs/>
          <w:color w:val="000000" w:themeColor="text1"/>
          <w:sz w:val="17"/>
        </w:rPr>
        <w:noBreakHyphen/>
      </w:r>
      <w:r w:rsidR="004335F8" w:rsidRPr="0005328D">
        <w:rPr>
          <w:iCs/>
          <w:color w:val="000000" w:themeColor="text1"/>
          <w:sz w:val="17"/>
        </w:rPr>
        <w:fldChar w:fldCharType="begin"/>
      </w:r>
      <w:r w:rsidR="004335F8" w:rsidRPr="0005328D">
        <w:rPr>
          <w:iCs/>
          <w:color w:val="000000" w:themeColor="text1"/>
          <w:sz w:val="17"/>
        </w:rPr>
        <w:instrText xml:space="preserve"> SEQ Table \* ARABIC \s 1 </w:instrText>
      </w:r>
      <w:r w:rsidR="004335F8" w:rsidRPr="0005328D">
        <w:rPr>
          <w:iCs/>
          <w:color w:val="000000" w:themeColor="text1"/>
          <w:sz w:val="17"/>
        </w:rPr>
        <w:fldChar w:fldCharType="separate"/>
      </w:r>
      <w:r w:rsidR="00795309">
        <w:rPr>
          <w:iCs/>
          <w:noProof/>
          <w:color w:val="000000" w:themeColor="text1"/>
          <w:sz w:val="17"/>
        </w:rPr>
        <w:t>2</w:t>
      </w:r>
      <w:r w:rsidR="004335F8" w:rsidRPr="0005328D">
        <w:rPr>
          <w:iCs/>
          <w:color w:val="000000" w:themeColor="text1"/>
          <w:sz w:val="17"/>
        </w:rPr>
        <w:fldChar w:fldCharType="end"/>
      </w:r>
      <w:r w:rsidRPr="0005328D">
        <w:rPr>
          <w:iCs/>
          <w:color w:val="000000" w:themeColor="text1"/>
          <w:sz w:val="17"/>
        </w:rPr>
        <w:t xml:space="preserve"> MCA Scale</w:t>
      </w:r>
    </w:p>
    <w:tbl>
      <w:tblPr>
        <w:tblStyle w:val="Deloittetable"/>
        <w:tblW w:w="0" w:type="auto"/>
        <w:tblLayout w:type="fixed"/>
        <w:tblLook w:val="04A0" w:firstRow="1" w:lastRow="0" w:firstColumn="1" w:lastColumn="0" w:noHBand="0" w:noVBand="1"/>
      </w:tblPr>
      <w:tblGrid>
        <w:gridCol w:w="851"/>
        <w:gridCol w:w="5103"/>
      </w:tblGrid>
      <w:tr w:rsidR="00FB48D2" w:rsidRPr="003D5D1B" w14:paraId="079CCFBA" w14:textId="77777777" w:rsidTr="00246B9B">
        <w:trPr>
          <w:cnfStyle w:val="100000000000" w:firstRow="1" w:lastRow="0" w:firstColumn="0" w:lastColumn="0" w:oddVBand="0" w:evenVBand="0" w:oddHBand="0" w:evenHBand="0" w:firstRowFirstColumn="0" w:firstRowLastColumn="0" w:lastRowFirstColumn="0" w:lastRowLastColumn="0"/>
        </w:trPr>
        <w:tc>
          <w:tcPr>
            <w:tcW w:w="851" w:type="dxa"/>
          </w:tcPr>
          <w:p w14:paraId="42D1AB69" w14:textId="77777777" w:rsidR="00FB48D2" w:rsidRPr="003D5D1B" w:rsidRDefault="00FB48D2" w:rsidP="00246B9B">
            <w:pPr>
              <w:spacing w:after="0" w:line="240" w:lineRule="auto"/>
              <w:rPr>
                <w:rFonts w:eastAsia="Times New Roman" w:cs="Arial"/>
                <w:b/>
                <w:lang w:val="en-US"/>
              </w:rPr>
            </w:pPr>
            <w:r w:rsidRPr="003D5D1B">
              <w:rPr>
                <w:rFonts w:eastAsia="Times New Roman" w:cs="Arial"/>
                <w:b/>
                <w:lang w:val="en-US"/>
              </w:rPr>
              <w:t>Score</w:t>
            </w:r>
          </w:p>
        </w:tc>
        <w:tc>
          <w:tcPr>
            <w:tcW w:w="5103" w:type="dxa"/>
          </w:tcPr>
          <w:p w14:paraId="00A9A7F3" w14:textId="77777777" w:rsidR="00FB48D2" w:rsidRPr="003D5D1B" w:rsidRDefault="00FB48D2" w:rsidP="00246B9B">
            <w:pPr>
              <w:keepNext/>
              <w:keepLines/>
              <w:spacing w:after="0" w:line="240" w:lineRule="auto"/>
              <w:rPr>
                <w:rFonts w:eastAsia="Times New Roman" w:cs="Arial"/>
                <w:b/>
                <w:lang w:val="en-US"/>
              </w:rPr>
            </w:pPr>
            <w:r w:rsidRPr="003D5D1B">
              <w:rPr>
                <w:rFonts w:eastAsia="Times New Roman" w:cs="Arial"/>
                <w:b/>
                <w:lang w:val="en-US"/>
              </w:rPr>
              <w:t>Description</w:t>
            </w:r>
          </w:p>
        </w:tc>
      </w:tr>
      <w:tr w:rsidR="00FB48D2" w:rsidRPr="003D5D1B" w14:paraId="30994E60" w14:textId="77777777" w:rsidTr="00246B9B">
        <w:tc>
          <w:tcPr>
            <w:tcW w:w="851" w:type="dxa"/>
          </w:tcPr>
          <w:p w14:paraId="25D9B9C3" w14:textId="77777777" w:rsidR="00FB48D2" w:rsidRPr="003D5D1B" w:rsidRDefault="00FB48D2" w:rsidP="00246B9B">
            <w:pPr>
              <w:tabs>
                <w:tab w:val="left" w:pos="3011"/>
              </w:tabs>
              <w:spacing w:after="0" w:line="240" w:lineRule="auto"/>
              <w:ind w:right="-249"/>
              <w:rPr>
                <w:rFonts w:asciiTheme="minorHAnsi" w:hAnsiTheme="minorHAnsi"/>
                <w:szCs w:val="17"/>
              </w:rPr>
            </w:pPr>
            <w:r w:rsidRPr="003D5D1B">
              <w:rPr>
                <w:rFonts w:asciiTheme="minorHAnsi" w:hAnsiTheme="minorHAnsi"/>
                <w:sz w:val="18"/>
                <w:szCs w:val="17"/>
              </w:rPr>
              <w:t>-10</w:t>
            </w:r>
          </w:p>
        </w:tc>
        <w:tc>
          <w:tcPr>
            <w:tcW w:w="5103" w:type="dxa"/>
          </w:tcPr>
          <w:p w14:paraId="2CB82CBE" w14:textId="77777777" w:rsidR="00FB48D2" w:rsidRPr="003D5D1B" w:rsidRDefault="00FB48D2" w:rsidP="00246B9B">
            <w:pPr>
              <w:spacing w:after="0" w:line="240" w:lineRule="auto"/>
              <w:rPr>
                <w:rFonts w:asciiTheme="minorHAnsi" w:hAnsiTheme="minorHAnsi"/>
                <w:szCs w:val="17"/>
              </w:rPr>
            </w:pPr>
            <w:r w:rsidRPr="003D5D1B">
              <w:rPr>
                <w:rFonts w:asciiTheme="minorHAnsi" w:hAnsiTheme="minorHAnsi"/>
                <w:sz w:val="18"/>
                <w:szCs w:val="17"/>
              </w:rPr>
              <w:t>Much worse than the Base Case</w:t>
            </w:r>
          </w:p>
        </w:tc>
      </w:tr>
      <w:tr w:rsidR="00FB48D2" w:rsidRPr="003D5D1B" w14:paraId="157F649A" w14:textId="77777777" w:rsidTr="00246B9B">
        <w:tc>
          <w:tcPr>
            <w:tcW w:w="851" w:type="dxa"/>
          </w:tcPr>
          <w:p w14:paraId="046096CD" w14:textId="77777777" w:rsidR="00FB48D2" w:rsidRPr="003D5D1B" w:rsidRDefault="00FB48D2" w:rsidP="00246B9B">
            <w:pPr>
              <w:tabs>
                <w:tab w:val="left" w:pos="3011"/>
              </w:tabs>
              <w:spacing w:after="0" w:line="240" w:lineRule="auto"/>
              <w:ind w:right="-249"/>
              <w:rPr>
                <w:rFonts w:asciiTheme="minorHAnsi" w:hAnsiTheme="minorHAnsi"/>
                <w:szCs w:val="17"/>
              </w:rPr>
            </w:pPr>
            <w:r w:rsidRPr="003D5D1B">
              <w:rPr>
                <w:rFonts w:asciiTheme="minorHAnsi" w:hAnsiTheme="minorHAnsi"/>
                <w:sz w:val="18"/>
                <w:szCs w:val="17"/>
              </w:rPr>
              <w:t xml:space="preserve"> -5</w:t>
            </w:r>
          </w:p>
        </w:tc>
        <w:tc>
          <w:tcPr>
            <w:tcW w:w="5103" w:type="dxa"/>
          </w:tcPr>
          <w:p w14:paraId="0885F11C" w14:textId="77777777" w:rsidR="00FB48D2" w:rsidRPr="003D5D1B" w:rsidRDefault="00FB48D2" w:rsidP="00246B9B">
            <w:pPr>
              <w:spacing w:after="0" w:line="240" w:lineRule="auto"/>
              <w:rPr>
                <w:rFonts w:asciiTheme="minorHAnsi" w:hAnsiTheme="minorHAnsi"/>
                <w:szCs w:val="17"/>
              </w:rPr>
            </w:pPr>
            <w:r w:rsidRPr="003D5D1B">
              <w:rPr>
                <w:rFonts w:asciiTheme="minorHAnsi" w:hAnsiTheme="minorHAnsi"/>
                <w:sz w:val="18"/>
                <w:szCs w:val="17"/>
              </w:rPr>
              <w:t>Somewhat worse than the Base Case</w:t>
            </w:r>
          </w:p>
        </w:tc>
      </w:tr>
      <w:tr w:rsidR="00FB48D2" w:rsidRPr="003D5D1B" w14:paraId="6FA96AC9" w14:textId="77777777" w:rsidTr="00246B9B">
        <w:tc>
          <w:tcPr>
            <w:tcW w:w="851" w:type="dxa"/>
          </w:tcPr>
          <w:p w14:paraId="53432439" w14:textId="77777777" w:rsidR="00FB48D2" w:rsidRPr="003D5D1B" w:rsidRDefault="00FB48D2" w:rsidP="00246B9B">
            <w:pPr>
              <w:tabs>
                <w:tab w:val="left" w:pos="3011"/>
              </w:tabs>
              <w:spacing w:after="0" w:line="240" w:lineRule="auto"/>
              <w:ind w:right="-249"/>
              <w:rPr>
                <w:rFonts w:asciiTheme="minorHAnsi" w:hAnsiTheme="minorHAnsi"/>
                <w:szCs w:val="17"/>
              </w:rPr>
            </w:pPr>
            <w:r w:rsidRPr="003D5D1B">
              <w:rPr>
                <w:rFonts w:asciiTheme="minorHAnsi" w:hAnsiTheme="minorHAnsi"/>
                <w:sz w:val="18"/>
                <w:szCs w:val="17"/>
              </w:rPr>
              <w:t xml:space="preserve">  0</w:t>
            </w:r>
          </w:p>
        </w:tc>
        <w:tc>
          <w:tcPr>
            <w:tcW w:w="5103" w:type="dxa"/>
          </w:tcPr>
          <w:p w14:paraId="51D190B6" w14:textId="77777777" w:rsidR="00FB48D2" w:rsidRPr="003D5D1B" w:rsidRDefault="00FB48D2" w:rsidP="00246B9B">
            <w:pPr>
              <w:spacing w:after="0" w:line="240" w:lineRule="auto"/>
              <w:rPr>
                <w:rFonts w:asciiTheme="minorHAnsi" w:hAnsiTheme="minorHAnsi"/>
                <w:szCs w:val="17"/>
              </w:rPr>
            </w:pPr>
            <w:r w:rsidRPr="003D5D1B">
              <w:rPr>
                <w:rFonts w:asciiTheme="minorHAnsi" w:hAnsiTheme="minorHAnsi"/>
                <w:sz w:val="18"/>
                <w:szCs w:val="17"/>
              </w:rPr>
              <w:t>No change from the Base Case</w:t>
            </w:r>
          </w:p>
        </w:tc>
      </w:tr>
      <w:tr w:rsidR="00FB48D2" w:rsidRPr="003D5D1B" w14:paraId="43541544" w14:textId="77777777" w:rsidTr="00246B9B">
        <w:tc>
          <w:tcPr>
            <w:tcW w:w="851" w:type="dxa"/>
          </w:tcPr>
          <w:p w14:paraId="51728499" w14:textId="77777777" w:rsidR="00FB48D2" w:rsidRPr="003D5D1B" w:rsidRDefault="00FB48D2" w:rsidP="00246B9B">
            <w:pPr>
              <w:tabs>
                <w:tab w:val="left" w:pos="3011"/>
              </w:tabs>
              <w:spacing w:after="0" w:line="240" w:lineRule="auto"/>
              <w:ind w:right="-249"/>
              <w:rPr>
                <w:rFonts w:asciiTheme="minorHAnsi" w:hAnsiTheme="minorHAnsi"/>
                <w:szCs w:val="17"/>
              </w:rPr>
            </w:pPr>
            <w:r w:rsidRPr="003D5D1B">
              <w:rPr>
                <w:rFonts w:asciiTheme="minorHAnsi" w:hAnsiTheme="minorHAnsi"/>
                <w:sz w:val="18"/>
                <w:szCs w:val="17"/>
              </w:rPr>
              <w:t xml:space="preserve"> +5</w:t>
            </w:r>
          </w:p>
        </w:tc>
        <w:tc>
          <w:tcPr>
            <w:tcW w:w="5103" w:type="dxa"/>
          </w:tcPr>
          <w:p w14:paraId="3155CADC" w14:textId="77777777" w:rsidR="00FB48D2" w:rsidRPr="003D5D1B" w:rsidRDefault="00FB48D2" w:rsidP="00246B9B">
            <w:pPr>
              <w:spacing w:after="0" w:line="240" w:lineRule="auto"/>
              <w:rPr>
                <w:rFonts w:asciiTheme="minorHAnsi" w:hAnsiTheme="minorHAnsi"/>
                <w:szCs w:val="17"/>
              </w:rPr>
            </w:pPr>
            <w:r w:rsidRPr="003D5D1B">
              <w:rPr>
                <w:rFonts w:asciiTheme="minorHAnsi" w:hAnsiTheme="minorHAnsi"/>
                <w:sz w:val="18"/>
                <w:szCs w:val="17"/>
              </w:rPr>
              <w:t>Somewhat better than the Base Case</w:t>
            </w:r>
          </w:p>
        </w:tc>
      </w:tr>
      <w:tr w:rsidR="00FB48D2" w:rsidRPr="003D5D1B" w14:paraId="7EA813E1" w14:textId="77777777" w:rsidTr="00246B9B">
        <w:tc>
          <w:tcPr>
            <w:tcW w:w="851" w:type="dxa"/>
          </w:tcPr>
          <w:p w14:paraId="0BC0A627" w14:textId="77777777" w:rsidR="00FB48D2" w:rsidRPr="003D5D1B" w:rsidRDefault="00FB48D2" w:rsidP="00246B9B">
            <w:pPr>
              <w:tabs>
                <w:tab w:val="left" w:pos="3011"/>
              </w:tabs>
              <w:spacing w:after="0" w:line="240" w:lineRule="auto"/>
              <w:ind w:right="-249"/>
              <w:rPr>
                <w:rFonts w:asciiTheme="minorHAnsi" w:hAnsiTheme="minorHAnsi"/>
                <w:szCs w:val="17"/>
              </w:rPr>
            </w:pPr>
            <w:r w:rsidRPr="003D5D1B">
              <w:rPr>
                <w:rFonts w:asciiTheme="minorHAnsi" w:hAnsiTheme="minorHAnsi"/>
                <w:sz w:val="18"/>
                <w:szCs w:val="17"/>
              </w:rPr>
              <w:t>+10</w:t>
            </w:r>
          </w:p>
        </w:tc>
        <w:tc>
          <w:tcPr>
            <w:tcW w:w="5103" w:type="dxa"/>
          </w:tcPr>
          <w:p w14:paraId="78B2CE7A" w14:textId="77777777" w:rsidR="00FB48D2" w:rsidRPr="003D5D1B" w:rsidRDefault="00FB48D2" w:rsidP="00246B9B">
            <w:pPr>
              <w:spacing w:after="0" w:line="240" w:lineRule="auto"/>
              <w:rPr>
                <w:rFonts w:asciiTheme="minorHAnsi" w:hAnsiTheme="minorHAnsi"/>
                <w:szCs w:val="17"/>
              </w:rPr>
            </w:pPr>
            <w:r w:rsidRPr="003D5D1B">
              <w:rPr>
                <w:rFonts w:asciiTheme="minorHAnsi" w:hAnsiTheme="minorHAnsi"/>
                <w:sz w:val="18"/>
                <w:szCs w:val="17"/>
              </w:rPr>
              <w:t>Much better than the Base Case</w:t>
            </w:r>
          </w:p>
        </w:tc>
      </w:tr>
    </w:tbl>
    <w:p w14:paraId="110F9ECB" w14:textId="77777777" w:rsidR="00FB48D2" w:rsidRPr="003D5D1B" w:rsidRDefault="00FB48D2" w:rsidP="00FB48D2">
      <w:pPr>
        <w:pStyle w:val="FootnoteText"/>
      </w:pPr>
    </w:p>
    <w:p w14:paraId="1F4B958F" w14:textId="77777777" w:rsidR="00FB48D2" w:rsidRPr="003D5D1B" w:rsidRDefault="00FB48D2" w:rsidP="00FB48D2">
      <w:r w:rsidRPr="003D5D1B">
        <w:t>Costs and benefits captured in this chapter include the items that are directly relevant and attributable to the Regulations.</w:t>
      </w:r>
    </w:p>
    <w:p w14:paraId="31B55130" w14:textId="77777777" w:rsidR="00FB48D2" w:rsidRPr="003D5D1B" w:rsidRDefault="00FB48D2" w:rsidP="00FB48D2">
      <w:r w:rsidRPr="003D5D1B">
        <w:t>There are some limitations on quantification that can be undertaken for this RIS given data availability. Where possible, costs and benefits have been quantified to inform the MCA. In some circumstances, the analysis has used previous survey data, data from the previous 2009 RIS, stakeholder consultations and relevant literature to inform the analysis.</w:t>
      </w:r>
    </w:p>
    <w:p w14:paraId="13F867CC" w14:textId="77777777" w:rsidR="00FB48D2" w:rsidRPr="003D5D1B" w:rsidRDefault="00FB48D2" w:rsidP="00FB48D2">
      <w:r w:rsidRPr="003D5D1B">
        <w:t>Given the level of uncertainty around data collected for this RIS, the general approach to estimating the costs and benefits in this RIS is to report conservative estimates. Where a range of plausible values is available, the average value was selected as representative of the sample.</w:t>
      </w:r>
    </w:p>
    <w:p w14:paraId="3BB2A9EB" w14:textId="77777777" w:rsidR="00FB48D2" w:rsidRPr="003D5D1B" w:rsidRDefault="00FB48D2" w:rsidP="000A471E">
      <w:pPr>
        <w:pStyle w:val="Heading3"/>
      </w:pPr>
      <w:r w:rsidRPr="003D5D1B">
        <w:t>Two-step options assessment process</w:t>
      </w:r>
    </w:p>
    <w:p w14:paraId="502D67AC" w14:textId="6E13A994" w:rsidR="001E56B2" w:rsidRDefault="00FB48D2" w:rsidP="00FB48D2">
      <w:r w:rsidRPr="003D5D1B">
        <w:t xml:space="preserve">With the similarities between Option 1 and Option 2, and limited quantification in the analysis, a two-step process has been used to assess regulatory options: </w:t>
      </w:r>
    </w:p>
    <w:p w14:paraId="035D759A" w14:textId="77777777" w:rsidR="001E56B2" w:rsidRDefault="001E56B2">
      <w:pPr>
        <w:spacing w:after="0"/>
      </w:pPr>
      <w:r>
        <w:br w:type="page"/>
      </w:r>
    </w:p>
    <w:p w14:paraId="78EF2060" w14:textId="05163794" w:rsidR="00FB48D2" w:rsidRPr="003D5D1B" w:rsidRDefault="00FB48D2" w:rsidP="00FB48D2">
      <w:pPr>
        <w:pStyle w:val="Caption"/>
      </w:pPr>
      <w:r w:rsidRPr="003D5D1B">
        <w:lastRenderedPageBreak/>
        <w:t xml:space="preserve">Table </w:t>
      </w:r>
      <w:r w:rsidR="004335F8">
        <w:fldChar w:fldCharType="begin"/>
      </w:r>
      <w:r w:rsidR="004335F8">
        <w:instrText xml:space="preserve"> STYLEREF 1 \s </w:instrText>
      </w:r>
      <w:r w:rsidR="004335F8">
        <w:fldChar w:fldCharType="separate"/>
      </w:r>
      <w:r w:rsidR="00795309">
        <w:rPr>
          <w:noProof/>
        </w:rPr>
        <w:t>4</w:t>
      </w:r>
      <w:r w:rsidR="004335F8">
        <w:fldChar w:fldCharType="end"/>
      </w:r>
      <w:r w:rsidR="004335F8">
        <w:noBreakHyphen/>
      </w:r>
      <w:r w:rsidR="004335F8">
        <w:fldChar w:fldCharType="begin"/>
      </w:r>
      <w:r w:rsidR="004335F8">
        <w:instrText xml:space="preserve"> SEQ Table \* ARABIC \s 1 </w:instrText>
      </w:r>
      <w:r w:rsidR="004335F8">
        <w:fldChar w:fldCharType="separate"/>
      </w:r>
      <w:r w:rsidR="00795309">
        <w:rPr>
          <w:noProof/>
        </w:rPr>
        <w:t>3</w:t>
      </w:r>
      <w:r w:rsidR="004335F8">
        <w:fldChar w:fldCharType="end"/>
      </w:r>
      <w:r w:rsidRPr="00AD3399">
        <w:t xml:space="preserve"> Two-step options analysis process</w:t>
      </w:r>
    </w:p>
    <w:tbl>
      <w:tblPr>
        <w:tblStyle w:val="Deloittetable"/>
        <w:tblW w:w="5000" w:type="pct"/>
        <w:tblLook w:val="04A0" w:firstRow="1" w:lastRow="0" w:firstColumn="1" w:lastColumn="0" w:noHBand="0" w:noVBand="1"/>
      </w:tblPr>
      <w:tblGrid>
        <w:gridCol w:w="1363"/>
        <w:gridCol w:w="6190"/>
        <w:gridCol w:w="1473"/>
      </w:tblGrid>
      <w:tr w:rsidR="00FB48D2" w:rsidRPr="003D5D1B" w14:paraId="19BDC30A" w14:textId="77777777" w:rsidTr="00246B9B">
        <w:trPr>
          <w:cnfStyle w:val="100000000000" w:firstRow="1" w:lastRow="0" w:firstColumn="0" w:lastColumn="0" w:oddVBand="0" w:evenVBand="0" w:oddHBand="0" w:evenHBand="0" w:firstRowFirstColumn="0" w:firstRowLastColumn="0" w:lastRowFirstColumn="0" w:lastRowLastColumn="0"/>
        </w:trPr>
        <w:tc>
          <w:tcPr>
            <w:tcW w:w="755" w:type="pct"/>
          </w:tcPr>
          <w:p w14:paraId="08B9FC7D" w14:textId="77777777" w:rsidR="00FB48D2" w:rsidRPr="003D5D1B" w:rsidRDefault="00FB48D2" w:rsidP="00246B9B">
            <w:pPr>
              <w:rPr>
                <w:b/>
              </w:rPr>
            </w:pPr>
            <w:r w:rsidRPr="003D5D1B">
              <w:rPr>
                <w:b/>
              </w:rPr>
              <w:t>Step</w:t>
            </w:r>
          </w:p>
        </w:tc>
        <w:tc>
          <w:tcPr>
            <w:tcW w:w="3429" w:type="pct"/>
          </w:tcPr>
          <w:p w14:paraId="6217F364" w14:textId="77777777" w:rsidR="00FB48D2" w:rsidRPr="003D5D1B" w:rsidRDefault="00FB48D2" w:rsidP="00246B9B">
            <w:pPr>
              <w:rPr>
                <w:b/>
              </w:rPr>
            </w:pPr>
            <w:r w:rsidRPr="003D5D1B">
              <w:rPr>
                <w:b/>
              </w:rPr>
              <w:t>Options compared</w:t>
            </w:r>
          </w:p>
        </w:tc>
        <w:tc>
          <w:tcPr>
            <w:tcW w:w="816" w:type="pct"/>
          </w:tcPr>
          <w:p w14:paraId="4BE13512" w14:textId="77777777" w:rsidR="00FB48D2" w:rsidRPr="003D5D1B" w:rsidRDefault="00FB48D2" w:rsidP="00246B9B">
            <w:pPr>
              <w:rPr>
                <w:b/>
              </w:rPr>
            </w:pPr>
            <w:r w:rsidRPr="003D5D1B">
              <w:rPr>
                <w:b/>
              </w:rPr>
              <w:t xml:space="preserve">Section </w:t>
            </w:r>
          </w:p>
        </w:tc>
      </w:tr>
      <w:tr w:rsidR="00FB48D2" w:rsidRPr="003D5D1B" w14:paraId="63D6E8F7" w14:textId="77777777" w:rsidTr="00246B9B">
        <w:tc>
          <w:tcPr>
            <w:tcW w:w="755" w:type="pct"/>
          </w:tcPr>
          <w:p w14:paraId="1FF025C2" w14:textId="42D5CCB0" w:rsidR="00FB48D2" w:rsidRPr="003D5D1B" w:rsidRDefault="00FB48D2" w:rsidP="001419A0">
            <w:pPr>
              <w:spacing w:after="0"/>
            </w:pPr>
            <w:r w:rsidRPr="003D5D1B">
              <w:t>Step 1</w:t>
            </w:r>
          </w:p>
        </w:tc>
        <w:tc>
          <w:tcPr>
            <w:tcW w:w="3429" w:type="pct"/>
          </w:tcPr>
          <w:p w14:paraId="5AE5561F" w14:textId="77777777" w:rsidR="00FB48D2" w:rsidRPr="003D5D1B" w:rsidRDefault="00FB48D2" w:rsidP="001419A0">
            <w:pPr>
              <w:spacing w:after="0"/>
            </w:pPr>
            <w:r w:rsidRPr="003D5D1B">
              <w:t>Base Case (absence of regulation) compared to Option 1 (current Regulations)</w:t>
            </w:r>
          </w:p>
        </w:tc>
        <w:tc>
          <w:tcPr>
            <w:tcW w:w="816" w:type="pct"/>
          </w:tcPr>
          <w:p w14:paraId="2B25CA84" w14:textId="1F1A5A46" w:rsidR="00FB48D2" w:rsidRPr="003D5D1B" w:rsidRDefault="00FB48D2" w:rsidP="001419A0">
            <w:pPr>
              <w:spacing w:after="0"/>
            </w:pPr>
            <w:r w:rsidRPr="003D5D1B">
              <w:t>4.</w:t>
            </w:r>
            <w:r w:rsidR="00A171B9">
              <w:t>3</w:t>
            </w:r>
          </w:p>
        </w:tc>
      </w:tr>
      <w:tr w:rsidR="00FB48D2" w:rsidRPr="003D5D1B" w14:paraId="4757E654" w14:textId="77777777" w:rsidTr="00246B9B">
        <w:tc>
          <w:tcPr>
            <w:tcW w:w="755" w:type="pct"/>
          </w:tcPr>
          <w:p w14:paraId="46B442B7" w14:textId="77777777" w:rsidR="00FB48D2" w:rsidRPr="003D5D1B" w:rsidRDefault="00FB48D2" w:rsidP="001419A0">
            <w:pPr>
              <w:spacing w:after="0"/>
            </w:pPr>
            <w:r w:rsidRPr="003D5D1B">
              <w:t>Step 2</w:t>
            </w:r>
          </w:p>
        </w:tc>
        <w:tc>
          <w:tcPr>
            <w:tcW w:w="3429" w:type="pct"/>
          </w:tcPr>
          <w:p w14:paraId="0C705168" w14:textId="77777777" w:rsidR="00FB48D2" w:rsidRPr="003D5D1B" w:rsidRDefault="00FB48D2" w:rsidP="001419A0">
            <w:pPr>
              <w:spacing w:after="0"/>
            </w:pPr>
            <w:r w:rsidRPr="003D5D1B">
              <w:t>Option 1 (current Regulations) compared to Option 2 (current Regulations with minor improvements)</w:t>
            </w:r>
          </w:p>
        </w:tc>
        <w:tc>
          <w:tcPr>
            <w:tcW w:w="816" w:type="pct"/>
          </w:tcPr>
          <w:p w14:paraId="4BEFBDF9" w14:textId="5105FD34" w:rsidR="00FB48D2" w:rsidRPr="003D5D1B" w:rsidRDefault="00FB48D2" w:rsidP="001419A0">
            <w:pPr>
              <w:spacing w:after="0"/>
            </w:pPr>
            <w:r w:rsidRPr="003D5D1B">
              <w:t>4.</w:t>
            </w:r>
            <w:r w:rsidR="00A171B9">
              <w:t>4</w:t>
            </w:r>
          </w:p>
        </w:tc>
      </w:tr>
    </w:tbl>
    <w:p w14:paraId="122BFB70" w14:textId="77777777" w:rsidR="00FB48D2" w:rsidRPr="003D5D1B" w:rsidRDefault="00FB48D2" w:rsidP="00FB48D2">
      <w:pPr>
        <w:pStyle w:val="Heading2"/>
      </w:pPr>
      <w:bookmarkStart w:id="175" w:name="_Toc49460300"/>
      <w:r w:rsidRPr="003D5D1B">
        <w:t>Data and assumptions</w:t>
      </w:r>
      <w:bookmarkEnd w:id="175"/>
    </w:p>
    <w:p w14:paraId="3C599FC6" w14:textId="5C28D2B4" w:rsidR="00FB48D2" w:rsidRPr="00413B84" w:rsidRDefault="00AE22C5" w:rsidP="000A471E">
      <w:pPr>
        <w:pStyle w:val="Heading3"/>
      </w:pPr>
      <w:r>
        <w:t>COVID-19</w:t>
      </w:r>
    </w:p>
    <w:p w14:paraId="55534F96" w14:textId="3CCFD462" w:rsidR="00FB48D2" w:rsidRPr="003D5D1B" w:rsidRDefault="00FB48D2" w:rsidP="00FB48D2">
      <w:r w:rsidRPr="00B06096">
        <w:t>The COVID-19 </w:t>
      </w:r>
      <w:r w:rsidR="008927F2">
        <w:t>health emergency</w:t>
      </w:r>
      <w:r w:rsidR="008927F2" w:rsidRPr="00B06096">
        <w:t xml:space="preserve"> </w:t>
      </w:r>
      <w:r w:rsidRPr="00B06096">
        <w:t>represents the largest shock to the global economy in many decades</w:t>
      </w:r>
      <w:r w:rsidRPr="00413B84">
        <w:t>.</w:t>
      </w:r>
      <w:r w:rsidRPr="00413B84">
        <w:rPr>
          <w:rStyle w:val="FootnoteReference"/>
        </w:rPr>
        <w:footnoteReference w:id="61"/>
      </w:r>
      <w:r w:rsidRPr="00413B84">
        <w:t xml:space="preserve"> There is a high level of uncertainty around the rate at which different parts of the economy will recover from this crisis, including such things as demand for various types of accommodation.</w:t>
      </w:r>
      <w:r w:rsidRPr="00413B84">
        <w:rPr>
          <w:rStyle w:val="FootnoteReference"/>
        </w:rPr>
        <w:footnoteReference w:id="62"/>
      </w:r>
      <w:r w:rsidRPr="00413B84">
        <w:t xml:space="preserve"> In the face of such</w:t>
      </w:r>
      <w:r w:rsidRPr="003D5D1B">
        <w:t xml:space="preserve"> uncertainty, the approach adopted in this RIS is to use data and forecasts that reflect the pre-</w:t>
      </w:r>
      <w:r w:rsidR="009B1AF6">
        <w:t>COVID</w:t>
      </w:r>
      <w:r w:rsidR="009B1AF6" w:rsidRPr="003D5D1B">
        <w:t xml:space="preserve"> </w:t>
      </w:r>
      <w:r w:rsidRPr="003D5D1B">
        <w:t xml:space="preserve">situation, but note where appropriate any implications of this approach for findings. </w:t>
      </w:r>
    </w:p>
    <w:p w14:paraId="78211377" w14:textId="77777777" w:rsidR="00FB48D2" w:rsidRPr="003D5D1B" w:rsidRDefault="00FB48D2" w:rsidP="000A471E">
      <w:pPr>
        <w:pStyle w:val="Heading3"/>
      </w:pPr>
      <w:r w:rsidRPr="003D5D1B">
        <w:t>Number of prescribed accommodation facilities</w:t>
      </w:r>
    </w:p>
    <w:p w14:paraId="27F4C49A" w14:textId="32391B52" w:rsidR="00FB48D2" w:rsidRPr="003D5D1B" w:rsidRDefault="00FB48D2" w:rsidP="00FB48D2">
      <w:r w:rsidRPr="003D5D1B">
        <w:t xml:space="preserve">The number of prescribed accommodation facilities is a key determinant of the costs of the </w:t>
      </w:r>
      <w:r w:rsidR="00A171B9">
        <w:t>R</w:t>
      </w:r>
      <w:r w:rsidRPr="003D5D1B">
        <w:t>egulations.</w:t>
      </w:r>
    </w:p>
    <w:p w14:paraId="2B6314E7" w14:textId="77777777" w:rsidR="00BD44E0" w:rsidRPr="00BD44E0" w:rsidRDefault="00BD44E0" w:rsidP="00BD44E0">
      <w:r w:rsidRPr="00BD44E0">
        <w:t>The number of existing and new facilities for the purpose of estimating renewal and new registrations requires a forecast of growth in the number of facilities across the 10 year life of the Regulations. It is noted that these Regulations are made for 10 years, but will be subject to a review in 5 years (see section 5.1 Implementation), at which point further stakeholder consultation will occur if significant changes are proposed.</w:t>
      </w:r>
    </w:p>
    <w:p w14:paraId="19E6891C" w14:textId="7DDD9AB8" w:rsidR="001E56B2" w:rsidRDefault="00FB48D2" w:rsidP="00FB48D2">
      <w:r w:rsidRPr="003D5D1B">
        <w:t>In 2018, there were 4,823 registered prescribed accommodation facilities in Victoria.</w:t>
      </w:r>
      <w:r w:rsidRPr="00497C2C">
        <w:rPr>
          <w:vertAlign w:val="superscript"/>
        </w:rPr>
        <w:footnoteReference w:id="63"/>
      </w:r>
      <w:r w:rsidRPr="00AD3399">
        <w:t xml:space="preserve"> This is the </w:t>
      </w:r>
      <w:r w:rsidRPr="003D5D1B">
        <w:t xml:space="preserve">most recent data available. A separate dataset on prescribed accommodation in </w:t>
      </w:r>
      <w:r w:rsidR="00B94AF5">
        <w:t xml:space="preserve">metropolitan </w:t>
      </w:r>
      <w:r w:rsidRPr="003D5D1B">
        <w:t>Melbourne forecasts the growth of each type of accommodation in Melbourne to 2024.</w:t>
      </w:r>
      <w:r w:rsidRPr="00497C2C">
        <w:rPr>
          <w:vertAlign w:val="superscript"/>
        </w:rPr>
        <w:footnoteReference w:id="64"/>
      </w:r>
      <w:r w:rsidRPr="00AD3399">
        <w:t xml:space="preserve"> Given the</w:t>
      </w:r>
      <w:r w:rsidRPr="00BC3000">
        <w:t xml:space="preserve"> absence of </w:t>
      </w:r>
      <w:r w:rsidRPr="003D5D1B">
        <w:t xml:space="preserve">growth forecasts for prescribed accommodation in Victoria more broadly, these </w:t>
      </w:r>
      <w:r w:rsidR="00B5164A">
        <w:t xml:space="preserve">metropolitan </w:t>
      </w:r>
      <w:r w:rsidRPr="003D5D1B">
        <w:t>Melbourne forecasts have been extrapolated to calculate annual growth rates</w:t>
      </w:r>
      <w:r w:rsidRPr="00497C2C">
        <w:rPr>
          <w:vertAlign w:val="superscript"/>
        </w:rPr>
        <w:footnoteReference w:id="65"/>
      </w:r>
      <w:r w:rsidRPr="00AD3399">
        <w:t xml:space="preserve"> for Victoria. </w:t>
      </w:r>
      <w:r w:rsidRPr="00BC3000">
        <w:t xml:space="preserve">Residential accommodation and rooming houses </w:t>
      </w:r>
      <w:r w:rsidRPr="003D5D1B">
        <w:t>were expected to grow by 3% p.a., student dormitories, hotels and motels by 2% p.a., hostels by 1% p.a. and holiday camps by 0% p.a.</w:t>
      </w:r>
      <w:r w:rsidR="008466EE">
        <w:t xml:space="preserve"> Sensitivity analysis on the growth of the number of prescribed accommodation facilities and the occupancy of prescribed accommodation facilities is outlined in Appendix </w:t>
      </w:r>
      <w:r w:rsidR="00CF5E1A">
        <w:t>F.</w:t>
      </w:r>
    </w:p>
    <w:p w14:paraId="398588A5" w14:textId="77777777" w:rsidR="001E56B2" w:rsidRDefault="001E56B2">
      <w:pPr>
        <w:spacing w:after="0"/>
      </w:pPr>
      <w:r>
        <w:br w:type="page"/>
      </w:r>
    </w:p>
    <w:p w14:paraId="3C26C805" w14:textId="3A2884D1" w:rsidR="00FB48D2" w:rsidRPr="00AD3399" w:rsidRDefault="00FB48D2" w:rsidP="00FB48D2">
      <w:pPr>
        <w:pStyle w:val="Caption"/>
      </w:pPr>
      <w:r w:rsidRPr="003D5D1B">
        <w:lastRenderedPageBreak/>
        <w:t xml:space="preserve">Table </w:t>
      </w:r>
      <w:r w:rsidR="004335F8">
        <w:fldChar w:fldCharType="begin"/>
      </w:r>
      <w:r w:rsidR="004335F8">
        <w:instrText xml:space="preserve"> STYLEREF 1 \s </w:instrText>
      </w:r>
      <w:r w:rsidR="004335F8">
        <w:fldChar w:fldCharType="separate"/>
      </w:r>
      <w:r w:rsidR="00795309">
        <w:rPr>
          <w:noProof/>
        </w:rPr>
        <w:t>4</w:t>
      </w:r>
      <w:r w:rsidR="004335F8">
        <w:fldChar w:fldCharType="end"/>
      </w:r>
      <w:r w:rsidR="004335F8">
        <w:noBreakHyphen/>
      </w:r>
      <w:r w:rsidR="004335F8">
        <w:fldChar w:fldCharType="begin"/>
      </w:r>
      <w:r w:rsidR="004335F8">
        <w:instrText xml:space="preserve"> SEQ Table \* ARABIC \s 1 </w:instrText>
      </w:r>
      <w:r w:rsidR="004335F8">
        <w:fldChar w:fldCharType="separate"/>
      </w:r>
      <w:r w:rsidR="00795309">
        <w:rPr>
          <w:noProof/>
        </w:rPr>
        <w:t>4</w:t>
      </w:r>
      <w:r w:rsidR="004335F8">
        <w:fldChar w:fldCharType="end"/>
      </w:r>
      <w:r w:rsidRPr="00AD3399">
        <w:t xml:space="preserve"> Number prescribed accommodation facilities</w:t>
      </w:r>
    </w:p>
    <w:tbl>
      <w:tblPr>
        <w:tblStyle w:val="Deloittetable"/>
        <w:tblW w:w="5000" w:type="pct"/>
        <w:tblLook w:val="04A0" w:firstRow="1" w:lastRow="0" w:firstColumn="1" w:lastColumn="0" w:noHBand="0" w:noVBand="1"/>
      </w:tblPr>
      <w:tblGrid>
        <w:gridCol w:w="4461"/>
        <w:gridCol w:w="1527"/>
        <w:gridCol w:w="1518"/>
        <w:gridCol w:w="1520"/>
      </w:tblGrid>
      <w:tr w:rsidR="00503D68" w:rsidRPr="003D5D1B" w14:paraId="5E44CF01" w14:textId="77777777" w:rsidTr="00CC3499">
        <w:trPr>
          <w:cnfStyle w:val="100000000000" w:firstRow="1" w:lastRow="0" w:firstColumn="0" w:lastColumn="0" w:oddVBand="0" w:evenVBand="0" w:oddHBand="0" w:evenHBand="0" w:firstRowFirstColumn="0" w:firstRowLastColumn="0" w:lastRowFirstColumn="0" w:lastRowLastColumn="0"/>
          <w:trHeight w:val="227"/>
        </w:trPr>
        <w:tc>
          <w:tcPr>
            <w:tcW w:w="2471" w:type="pct"/>
            <w:noWrap/>
            <w:vAlign w:val="center"/>
            <w:hideMark/>
          </w:tcPr>
          <w:p w14:paraId="36D44148" w14:textId="24940E99" w:rsidR="00503D68" w:rsidRPr="003D5D1B" w:rsidRDefault="00855643" w:rsidP="00246B9B">
            <w:pPr>
              <w:spacing w:after="0" w:line="240" w:lineRule="auto"/>
              <w:rPr>
                <w:rFonts w:asciiTheme="majorHAnsi" w:eastAsia="Times New Roman" w:hAnsiTheme="majorHAnsi" w:cs="Times New Roman"/>
                <w:b/>
                <w:bCs/>
                <w:color w:val="000000"/>
                <w:sz w:val="16"/>
                <w:szCs w:val="16"/>
                <w:lang w:eastAsia="en-AU"/>
              </w:rPr>
            </w:pPr>
            <w:r>
              <w:rPr>
                <w:rFonts w:asciiTheme="majorHAnsi" w:eastAsia="Times New Roman" w:hAnsiTheme="majorHAnsi" w:cs="Times New Roman"/>
                <w:b/>
                <w:bCs/>
                <w:color w:val="000000"/>
                <w:sz w:val="16"/>
                <w:szCs w:val="16"/>
                <w:lang w:eastAsia="en-AU"/>
              </w:rPr>
              <w:t xml:space="preserve">Type of prescribed accommodation </w:t>
            </w:r>
          </w:p>
        </w:tc>
        <w:tc>
          <w:tcPr>
            <w:tcW w:w="846" w:type="pct"/>
            <w:noWrap/>
            <w:vAlign w:val="center"/>
            <w:hideMark/>
          </w:tcPr>
          <w:p w14:paraId="07D93C5A" w14:textId="77777777" w:rsidR="00503D68" w:rsidRPr="003D5D1B" w:rsidRDefault="00503D68" w:rsidP="00246B9B">
            <w:pPr>
              <w:spacing w:after="0" w:line="240" w:lineRule="auto"/>
              <w:rPr>
                <w:rFonts w:asciiTheme="majorHAnsi" w:eastAsia="Times New Roman" w:hAnsiTheme="majorHAnsi" w:cs="Times New Roman"/>
                <w:b/>
                <w:bCs/>
                <w:color w:val="000000"/>
                <w:sz w:val="16"/>
                <w:szCs w:val="16"/>
                <w:lang w:eastAsia="en-AU"/>
              </w:rPr>
            </w:pPr>
            <w:r w:rsidRPr="003D5D1B">
              <w:rPr>
                <w:rFonts w:asciiTheme="majorHAnsi" w:eastAsia="Times New Roman" w:hAnsiTheme="majorHAnsi" w:cs="Times New Roman"/>
                <w:b/>
                <w:bCs/>
                <w:color w:val="000000"/>
                <w:sz w:val="16"/>
                <w:szCs w:val="16"/>
                <w:lang w:eastAsia="en-AU"/>
              </w:rPr>
              <w:t>2018 (a)</w:t>
            </w:r>
          </w:p>
        </w:tc>
        <w:tc>
          <w:tcPr>
            <w:tcW w:w="841" w:type="pct"/>
            <w:noWrap/>
            <w:vAlign w:val="center"/>
            <w:hideMark/>
          </w:tcPr>
          <w:p w14:paraId="33ED1054" w14:textId="77777777" w:rsidR="00503D68" w:rsidRPr="003D5D1B" w:rsidRDefault="00503D68" w:rsidP="00246B9B">
            <w:pPr>
              <w:spacing w:after="0" w:line="240" w:lineRule="auto"/>
              <w:rPr>
                <w:rFonts w:asciiTheme="majorHAnsi" w:eastAsia="Times New Roman" w:hAnsiTheme="majorHAnsi" w:cs="Times New Roman"/>
                <w:b/>
                <w:bCs/>
                <w:color w:val="000000"/>
                <w:sz w:val="16"/>
                <w:szCs w:val="16"/>
                <w:lang w:eastAsia="en-AU"/>
              </w:rPr>
            </w:pPr>
            <w:r w:rsidRPr="003D5D1B">
              <w:rPr>
                <w:rFonts w:asciiTheme="majorHAnsi" w:eastAsia="Times New Roman" w:hAnsiTheme="majorHAnsi" w:cs="Times New Roman"/>
                <w:b/>
                <w:bCs/>
                <w:color w:val="000000"/>
                <w:sz w:val="16"/>
                <w:szCs w:val="16"/>
                <w:lang w:eastAsia="en-AU"/>
              </w:rPr>
              <w:t>2021 (f)</w:t>
            </w:r>
          </w:p>
        </w:tc>
        <w:tc>
          <w:tcPr>
            <w:tcW w:w="842" w:type="pct"/>
            <w:noWrap/>
            <w:vAlign w:val="center"/>
            <w:hideMark/>
          </w:tcPr>
          <w:p w14:paraId="289832DF" w14:textId="77777777" w:rsidR="00503D68" w:rsidRPr="003D5D1B" w:rsidRDefault="00503D68" w:rsidP="00246B9B">
            <w:pPr>
              <w:spacing w:after="0" w:line="240" w:lineRule="auto"/>
              <w:rPr>
                <w:rFonts w:asciiTheme="majorHAnsi" w:eastAsia="Times New Roman" w:hAnsiTheme="majorHAnsi" w:cs="Times New Roman"/>
                <w:b/>
                <w:bCs/>
                <w:color w:val="000000"/>
                <w:sz w:val="16"/>
                <w:szCs w:val="16"/>
                <w:lang w:eastAsia="en-AU"/>
              </w:rPr>
            </w:pPr>
            <w:r w:rsidRPr="003D5D1B">
              <w:rPr>
                <w:rFonts w:asciiTheme="majorHAnsi" w:eastAsia="Times New Roman" w:hAnsiTheme="majorHAnsi" w:cs="Times New Roman"/>
                <w:b/>
                <w:bCs/>
                <w:color w:val="000000"/>
                <w:sz w:val="16"/>
                <w:szCs w:val="16"/>
                <w:lang w:eastAsia="en-AU"/>
              </w:rPr>
              <w:t>2030 (f)</w:t>
            </w:r>
          </w:p>
        </w:tc>
      </w:tr>
      <w:tr w:rsidR="00503D68" w:rsidRPr="003D5D1B" w14:paraId="77CFB4F3" w14:textId="77777777" w:rsidTr="00CC3499">
        <w:trPr>
          <w:trHeight w:val="227"/>
        </w:trPr>
        <w:tc>
          <w:tcPr>
            <w:tcW w:w="2471" w:type="pct"/>
            <w:noWrap/>
            <w:vAlign w:val="center"/>
            <w:hideMark/>
          </w:tcPr>
          <w:p w14:paraId="10C630F5" w14:textId="77777777" w:rsidR="00503D68" w:rsidRPr="003D5D1B" w:rsidRDefault="00503D68" w:rsidP="00246B9B">
            <w:pPr>
              <w:spacing w:after="0" w:line="240" w:lineRule="auto"/>
              <w:rPr>
                <w:rFonts w:asciiTheme="majorHAnsi" w:eastAsia="Times New Roman" w:hAnsiTheme="majorHAnsi" w:cs="Times New Roman"/>
                <w:color w:val="000000"/>
                <w:sz w:val="16"/>
                <w:szCs w:val="16"/>
                <w:lang w:eastAsia="en-AU"/>
              </w:rPr>
            </w:pPr>
            <w:r w:rsidRPr="003D5D1B">
              <w:rPr>
                <w:rFonts w:asciiTheme="majorHAnsi" w:eastAsia="Times New Roman" w:hAnsiTheme="majorHAnsi" w:cs="Times New Roman"/>
                <w:color w:val="000000"/>
                <w:sz w:val="16"/>
                <w:szCs w:val="16"/>
                <w:lang w:eastAsia="en-AU"/>
              </w:rPr>
              <w:t>Total prescribed accommodation facilities</w:t>
            </w:r>
          </w:p>
        </w:tc>
        <w:tc>
          <w:tcPr>
            <w:tcW w:w="846" w:type="pct"/>
            <w:noWrap/>
            <w:vAlign w:val="center"/>
            <w:hideMark/>
          </w:tcPr>
          <w:p w14:paraId="1E50E772" w14:textId="34B97CB7" w:rsidR="00503D68" w:rsidRPr="003D5D1B" w:rsidRDefault="00503D68" w:rsidP="00246B9B">
            <w:pPr>
              <w:spacing w:after="0" w:line="240" w:lineRule="auto"/>
              <w:rPr>
                <w:rFonts w:asciiTheme="majorHAnsi" w:eastAsia="Times New Roman" w:hAnsiTheme="majorHAnsi" w:cs="Times New Roman"/>
                <w:b/>
                <w:color w:val="000000"/>
                <w:sz w:val="16"/>
                <w:szCs w:val="16"/>
                <w:lang w:eastAsia="en-AU"/>
              </w:rPr>
            </w:pPr>
            <w:r w:rsidRPr="003D5D1B">
              <w:rPr>
                <w:rFonts w:asciiTheme="majorHAnsi" w:eastAsia="Times New Roman" w:hAnsiTheme="majorHAnsi" w:cs="Times New Roman"/>
                <w:b/>
                <w:color w:val="000000"/>
                <w:sz w:val="16"/>
                <w:szCs w:val="16"/>
                <w:lang w:eastAsia="en-AU"/>
              </w:rPr>
              <w:t>4</w:t>
            </w:r>
            <w:r>
              <w:rPr>
                <w:rFonts w:asciiTheme="majorHAnsi" w:eastAsia="Times New Roman" w:hAnsiTheme="majorHAnsi" w:cs="Times New Roman"/>
                <w:b/>
                <w:color w:val="000000"/>
                <w:sz w:val="16"/>
                <w:szCs w:val="16"/>
                <w:lang w:eastAsia="en-AU"/>
              </w:rPr>
              <w:t>,</w:t>
            </w:r>
            <w:r w:rsidRPr="003D5D1B">
              <w:rPr>
                <w:rFonts w:asciiTheme="majorHAnsi" w:eastAsia="Times New Roman" w:hAnsiTheme="majorHAnsi" w:cs="Times New Roman"/>
                <w:b/>
                <w:color w:val="000000"/>
                <w:sz w:val="16"/>
                <w:szCs w:val="16"/>
                <w:lang w:eastAsia="en-AU"/>
              </w:rPr>
              <w:t>823</w:t>
            </w:r>
          </w:p>
        </w:tc>
        <w:tc>
          <w:tcPr>
            <w:tcW w:w="841" w:type="pct"/>
            <w:noWrap/>
            <w:vAlign w:val="center"/>
            <w:hideMark/>
          </w:tcPr>
          <w:p w14:paraId="20CBBBFC" w14:textId="75AD6066" w:rsidR="00503D68" w:rsidRPr="003D5D1B" w:rsidRDefault="00503D68" w:rsidP="00246B9B">
            <w:pPr>
              <w:spacing w:after="0" w:line="240" w:lineRule="auto"/>
              <w:rPr>
                <w:rFonts w:asciiTheme="majorHAnsi" w:eastAsia="Times New Roman" w:hAnsiTheme="majorHAnsi" w:cs="Times New Roman"/>
                <w:b/>
                <w:bCs/>
                <w:color w:val="000000"/>
                <w:sz w:val="16"/>
                <w:szCs w:val="16"/>
                <w:lang w:eastAsia="en-AU"/>
              </w:rPr>
            </w:pPr>
            <w:r w:rsidRPr="003D5D1B">
              <w:rPr>
                <w:rFonts w:asciiTheme="majorHAnsi" w:eastAsia="Times New Roman" w:hAnsiTheme="majorHAnsi" w:cs="Times New Roman"/>
                <w:b/>
                <w:bCs/>
                <w:color w:val="000000"/>
                <w:sz w:val="16"/>
                <w:szCs w:val="16"/>
                <w:lang w:eastAsia="en-AU"/>
              </w:rPr>
              <w:t>5</w:t>
            </w:r>
            <w:r>
              <w:rPr>
                <w:rFonts w:asciiTheme="majorHAnsi" w:eastAsia="Times New Roman" w:hAnsiTheme="majorHAnsi" w:cs="Times New Roman"/>
                <w:b/>
                <w:bCs/>
                <w:color w:val="000000"/>
                <w:sz w:val="16"/>
                <w:szCs w:val="16"/>
                <w:lang w:eastAsia="en-AU"/>
              </w:rPr>
              <w:t>,</w:t>
            </w:r>
            <w:r w:rsidRPr="003D5D1B">
              <w:rPr>
                <w:rFonts w:asciiTheme="majorHAnsi" w:eastAsia="Times New Roman" w:hAnsiTheme="majorHAnsi" w:cs="Times New Roman"/>
                <w:b/>
                <w:bCs/>
                <w:color w:val="000000"/>
                <w:sz w:val="16"/>
                <w:szCs w:val="16"/>
                <w:lang w:eastAsia="en-AU"/>
              </w:rPr>
              <w:t>148</w:t>
            </w:r>
          </w:p>
        </w:tc>
        <w:tc>
          <w:tcPr>
            <w:tcW w:w="842" w:type="pct"/>
            <w:noWrap/>
            <w:vAlign w:val="center"/>
            <w:hideMark/>
          </w:tcPr>
          <w:p w14:paraId="42F77588" w14:textId="71C9EF78" w:rsidR="00503D68" w:rsidRPr="003D5D1B" w:rsidRDefault="00503D68" w:rsidP="00246B9B">
            <w:pPr>
              <w:spacing w:after="0" w:line="240" w:lineRule="auto"/>
              <w:rPr>
                <w:rFonts w:asciiTheme="majorHAnsi" w:eastAsia="Times New Roman" w:hAnsiTheme="majorHAnsi" w:cs="Times New Roman"/>
                <w:b/>
                <w:bCs/>
                <w:color w:val="000000"/>
                <w:sz w:val="16"/>
                <w:szCs w:val="16"/>
                <w:lang w:eastAsia="en-AU"/>
              </w:rPr>
            </w:pPr>
            <w:r w:rsidRPr="003D5D1B">
              <w:rPr>
                <w:rFonts w:asciiTheme="majorHAnsi" w:eastAsia="Times New Roman" w:hAnsiTheme="majorHAnsi" w:cs="Times New Roman"/>
                <w:b/>
                <w:bCs/>
                <w:color w:val="000000"/>
                <w:sz w:val="16"/>
                <w:szCs w:val="16"/>
                <w:lang w:eastAsia="en-AU"/>
              </w:rPr>
              <w:t>6</w:t>
            </w:r>
            <w:r>
              <w:rPr>
                <w:rFonts w:asciiTheme="majorHAnsi" w:eastAsia="Times New Roman" w:hAnsiTheme="majorHAnsi" w:cs="Times New Roman"/>
                <w:b/>
                <w:bCs/>
                <w:color w:val="000000"/>
                <w:sz w:val="16"/>
                <w:szCs w:val="16"/>
                <w:lang w:eastAsia="en-AU"/>
              </w:rPr>
              <w:t>,</w:t>
            </w:r>
            <w:r w:rsidRPr="003D5D1B">
              <w:rPr>
                <w:rFonts w:asciiTheme="majorHAnsi" w:eastAsia="Times New Roman" w:hAnsiTheme="majorHAnsi" w:cs="Times New Roman"/>
                <w:b/>
                <w:bCs/>
                <w:color w:val="000000"/>
                <w:sz w:val="16"/>
                <w:szCs w:val="16"/>
                <w:lang w:eastAsia="en-AU"/>
              </w:rPr>
              <w:t>282</w:t>
            </w:r>
          </w:p>
        </w:tc>
      </w:tr>
      <w:tr w:rsidR="00503D68" w:rsidRPr="003D5D1B" w14:paraId="38DDB5BD" w14:textId="77777777" w:rsidTr="00CC3499">
        <w:trPr>
          <w:trHeight w:val="227"/>
        </w:trPr>
        <w:tc>
          <w:tcPr>
            <w:tcW w:w="2471" w:type="pct"/>
            <w:noWrap/>
            <w:vAlign w:val="center"/>
            <w:hideMark/>
          </w:tcPr>
          <w:p w14:paraId="765DC3B0" w14:textId="77777777" w:rsidR="00503D68" w:rsidRPr="003D5D1B" w:rsidRDefault="00503D68" w:rsidP="00246B9B">
            <w:pPr>
              <w:spacing w:after="0" w:line="240" w:lineRule="auto"/>
              <w:ind w:left="284"/>
              <w:rPr>
                <w:rFonts w:asciiTheme="majorHAnsi" w:eastAsia="Times New Roman" w:hAnsiTheme="majorHAnsi" w:cs="Times New Roman"/>
                <w:color w:val="000000"/>
                <w:sz w:val="16"/>
                <w:szCs w:val="16"/>
                <w:lang w:eastAsia="en-AU"/>
              </w:rPr>
            </w:pPr>
            <w:r w:rsidRPr="003D5D1B">
              <w:rPr>
                <w:rFonts w:asciiTheme="majorHAnsi" w:eastAsia="Times New Roman" w:hAnsiTheme="majorHAnsi" w:cs="Times New Roman"/>
                <w:color w:val="000000"/>
                <w:sz w:val="16"/>
                <w:szCs w:val="16"/>
                <w:lang w:eastAsia="en-AU"/>
              </w:rPr>
              <w:t>Residential Accommodation</w:t>
            </w:r>
          </w:p>
        </w:tc>
        <w:tc>
          <w:tcPr>
            <w:tcW w:w="846" w:type="pct"/>
            <w:noWrap/>
            <w:vAlign w:val="center"/>
            <w:hideMark/>
          </w:tcPr>
          <w:p w14:paraId="0629290F" w14:textId="7A6EBA8B" w:rsidR="00503D68" w:rsidRPr="003D5D1B" w:rsidRDefault="00503D68" w:rsidP="00246B9B">
            <w:pPr>
              <w:spacing w:after="0" w:line="240" w:lineRule="auto"/>
              <w:rPr>
                <w:rFonts w:asciiTheme="majorHAnsi" w:eastAsia="Times New Roman" w:hAnsiTheme="majorHAnsi" w:cs="Times New Roman"/>
                <w:color w:val="000000" w:themeColor="text1"/>
                <w:sz w:val="16"/>
                <w:szCs w:val="16"/>
                <w:lang w:eastAsia="en-AU"/>
              </w:rPr>
            </w:pPr>
            <w:r w:rsidRPr="003D5D1B">
              <w:rPr>
                <w:rFonts w:asciiTheme="majorHAnsi" w:eastAsia="Times New Roman" w:hAnsiTheme="majorHAnsi" w:cs="Times New Roman"/>
                <w:color w:val="000000" w:themeColor="text1"/>
                <w:sz w:val="16"/>
                <w:szCs w:val="16"/>
                <w:lang w:eastAsia="en-AU"/>
              </w:rPr>
              <w:t>1</w:t>
            </w:r>
            <w:r>
              <w:rPr>
                <w:rFonts w:asciiTheme="majorHAnsi" w:eastAsia="Times New Roman" w:hAnsiTheme="majorHAnsi" w:cs="Times New Roman"/>
                <w:color w:val="000000" w:themeColor="text1"/>
                <w:sz w:val="16"/>
                <w:szCs w:val="16"/>
                <w:lang w:eastAsia="en-AU"/>
              </w:rPr>
              <w:t>,</w:t>
            </w:r>
            <w:r w:rsidRPr="003D5D1B">
              <w:rPr>
                <w:rFonts w:asciiTheme="majorHAnsi" w:eastAsia="Times New Roman" w:hAnsiTheme="majorHAnsi" w:cs="Times New Roman"/>
                <w:color w:val="000000" w:themeColor="text1"/>
                <w:sz w:val="16"/>
                <w:szCs w:val="16"/>
                <w:lang w:eastAsia="en-AU"/>
              </w:rPr>
              <w:t>517</w:t>
            </w:r>
          </w:p>
        </w:tc>
        <w:tc>
          <w:tcPr>
            <w:tcW w:w="841" w:type="pct"/>
            <w:noWrap/>
            <w:vAlign w:val="center"/>
            <w:hideMark/>
          </w:tcPr>
          <w:p w14:paraId="7418CA23" w14:textId="77777777" w:rsidR="00503D68" w:rsidRPr="003D5D1B" w:rsidRDefault="00503D68" w:rsidP="00246B9B">
            <w:pPr>
              <w:spacing w:after="0" w:line="240" w:lineRule="auto"/>
              <w:rPr>
                <w:rFonts w:asciiTheme="majorHAnsi" w:eastAsia="Times New Roman" w:hAnsiTheme="majorHAnsi" w:cs="Times New Roman"/>
                <w:color w:val="000000"/>
                <w:sz w:val="16"/>
                <w:szCs w:val="16"/>
                <w:lang w:eastAsia="en-AU"/>
              </w:rPr>
            </w:pPr>
            <w:r w:rsidRPr="003D5D1B">
              <w:rPr>
                <w:rFonts w:asciiTheme="majorHAnsi" w:eastAsia="Times New Roman" w:hAnsiTheme="majorHAnsi" w:cs="Times New Roman"/>
                <w:color w:val="000000"/>
                <w:sz w:val="16"/>
                <w:szCs w:val="16"/>
                <w:lang w:eastAsia="en-AU"/>
              </w:rPr>
              <w:t>1,634</w:t>
            </w:r>
          </w:p>
        </w:tc>
        <w:tc>
          <w:tcPr>
            <w:tcW w:w="842" w:type="pct"/>
            <w:noWrap/>
            <w:vAlign w:val="center"/>
            <w:hideMark/>
          </w:tcPr>
          <w:p w14:paraId="760F8890" w14:textId="77777777" w:rsidR="00503D68" w:rsidRPr="003D5D1B" w:rsidRDefault="00503D68" w:rsidP="00246B9B">
            <w:pPr>
              <w:spacing w:after="0" w:line="240" w:lineRule="auto"/>
              <w:rPr>
                <w:rFonts w:asciiTheme="majorHAnsi" w:eastAsia="Times New Roman" w:hAnsiTheme="majorHAnsi" w:cs="Times New Roman"/>
                <w:color w:val="000000"/>
                <w:sz w:val="16"/>
                <w:szCs w:val="16"/>
                <w:lang w:eastAsia="en-AU"/>
              </w:rPr>
            </w:pPr>
            <w:r w:rsidRPr="003D5D1B">
              <w:rPr>
                <w:rFonts w:asciiTheme="majorHAnsi" w:eastAsia="Times New Roman" w:hAnsiTheme="majorHAnsi" w:cs="Times New Roman"/>
                <w:color w:val="000000"/>
                <w:sz w:val="16"/>
                <w:szCs w:val="16"/>
                <w:lang w:eastAsia="en-AU"/>
              </w:rPr>
              <w:t>2,043</w:t>
            </w:r>
          </w:p>
        </w:tc>
      </w:tr>
      <w:tr w:rsidR="00503D68" w:rsidRPr="003D5D1B" w14:paraId="679C9DEC" w14:textId="77777777" w:rsidTr="00CC3499">
        <w:trPr>
          <w:trHeight w:val="227"/>
        </w:trPr>
        <w:tc>
          <w:tcPr>
            <w:tcW w:w="2471" w:type="pct"/>
            <w:noWrap/>
            <w:vAlign w:val="center"/>
            <w:hideMark/>
          </w:tcPr>
          <w:p w14:paraId="2C91D9F2" w14:textId="77777777" w:rsidR="00503D68" w:rsidRPr="003D5D1B" w:rsidRDefault="00503D68" w:rsidP="00246B9B">
            <w:pPr>
              <w:spacing w:after="0" w:line="240" w:lineRule="auto"/>
              <w:ind w:firstLineChars="200" w:firstLine="320"/>
              <w:rPr>
                <w:rFonts w:asciiTheme="majorHAnsi" w:eastAsia="Times New Roman" w:hAnsiTheme="majorHAnsi" w:cs="Times New Roman"/>
                <w:color w:val="000000"/>
                <w:sz w:val="16"/>
                <w:szCs w:val="16"/>
                <w:lang w:eastAsia="en-AU"/>
              </w:rPr>
            </w:pPr>
            <w:r w:rsidRPr="003D5D1B">
              <w:rPr>
                <w:rFonts w:asciiTheme="majorHAnsi" w:eastAsia="Times New Roman" w:hAnsiTheme="majorHAnsi" w:cs="Times New Roman"/>
                <w:color w:val="000000"/>
                <w:sz w:val="16"/>
                <w:szCs w:val="16"/>
                <w:lang w:eastAsia="en-AU"/>
              </w:rPr>
              <w:t xml:space="preserve">Hotels &amp; Motels </w:t>
            </w:r>
          </w:p>
        </w:tc>
        <w:tc>
          <w:tcPr>
            <w:tcW w:w="846" w:type="pct"/>
            <w:noWrap/>
            <w:vAlign w:val="center"/>
            <w:hideMark/>
          </w:tcPr>
          <w:p w14:paraId="7262DAEC" w14:textId="1E97D98E" w:rsidR="00503D68" w:rsidRPr="003D5D1B" w:rsidRDefault="00503D68" w:rsidP="00246B9B">
            <w:pPr>
              <w:spacing w:after="0" w:line="240" w:lineRule="auto"/>
              <w:rPr>
                <w:rFonts w:asciiTheme="majorHAnsi" w:eastAsia="Times New Roman" w:hAnsiTheme="majorHAnsi" w:cs="Times New Roman"/>
                <w:color w:val="000000" w:themeColor="text1"/>
                <w:sz w:val="16"/>
                <w:szCs w:val="16"/>
                <w:lang w:eastAsia="en-AU"/>
              </w:rPr>
            </w:pPr>
            <w:r w:rsidRPr="003D5D1B">
              <w:rPr>
                <w:rFonts w:asciiTheme="majorHAnsi" w:eastAsia="Times New Roman" w:hAnsiTheme="majorHAnsi" w:cs="Times New Roman"/>
                <w:color w:val="000000" w:themeColor="text1"/>
                <w:sz w:val="16"/>
                <w:szCs w:val="16"/>
                <w:lang w:eastAsia="en-AU"/>
              </w:rPr>
              <w:t>1</w:t>
            </w:r>
            <w:r>
              <w:rPr>
                <w:rFonts w:asciiTheme="majorHAnsi" w:eastAsia="Times New Roman" w:hAnsiTheme="majorHAnsi" w:cs="Times New Roman"/>
                <w:color w:val="000000" w:themeColor="text1"/>
                <w:sz w:val="16"/>
                <w:szCs w:val="16"/>
                <w:lang w:eastAsia="en-AU"/>
              </w:rPr>
              <w:t>,</w:t>
            </w:r>
            <w:r w:rsidRPr="003D5D1B">
              <w:rPr>
                <w:rFonts w:asciiTheme="majorHAnsi" w:eastAsia="Times New Roman" w:hAnsiTheme="majorHAnsi" w:cs="Times New Roman"/>
                <w:color w:val="000000" w:themeColor="text1"/>
                <w:sz w:val="16"/>
                <w:szCs w:val="16"/>
                <w:lang w:eastAsia="en-AU"/>
              </w:rPr>
              <w:t>309</w:t>
            </w:r>
          </w:p>
        </w:tc>
        <w:tc>
          <w:tcPr>
            <w:tcW w:w="841" w:type="pct"/>
            <w:noWrap/>
            <w:vAlign w:val="center"/>
            <w:hideMark/>
          </w:tcPr>
          <w:p w14:paraId="557590E9" w14:textId="77777777" w:rsidR="00503D68" w:rsidRPr="003D5D1B" w:rsidRDefault="00503D68" w:rsidP="00246B9B">
            <w:pPr>
              <w:spacing w:after="0" w:line="240" w:lineRule="auto"/>
              <w:rPr>
                <w:rFonts w:asciiTheme="majorHAnsi" w:eastAsia="Times New Roman" w:hAnsiTheme="majorHAnsi" w:cs="Times New Roman"/>
                <w:color w:val="000000"/>
                <w:sz w:val="16"/>
                <w:szCs w:val="16"/>
                <w:lang w:eastAsia="en-AU"/>
              </w:rPr>
            </w:pPr>
            <w:r w:rsidRPr="003D5D1B">
              <w:rPr>
                <w:rFonts w:asciiTheme="majorHAnsi" w:eastAsia="Times New Roman" w:hAnsiTheme="majorHAnsi" w:cs="Times New Roman"/>
                <w:color w:val="000000"/>
                <w:sz w:val="16"/>
                <w:szCs w:val="16"/>
                <w:lang w:eastAsia="en-AU"/>
              </w:rPr>
              <w:t>1,379</w:t>
            </w:r>
          </w:p>
        </w:tc>
        <w:tc>
          <w:tcPr>
            <w:tcW w:w="842" w:type="pct"/>
            <w:noWrap/>
            <w:vAlign w:val="center"/>
            <w:hideMark/>
          </w:tcPr>
          <w:p w14:paraId="1A451A2E" w14:textId="77777777" w:rsidR="00503D68" w:rsidRPr="003D5D1B" w:rsidRDefault="00503D68" w:rsidP="00246B9B">
            <w:pPr>
              <w:spacing w:after="0" w:line="240" w:lineRule="auto"/>
              <w:rPr>
                <w:rFonts w:asciiTheme="majorHAnsi" w:eastAsia="Times New Roman" w:hAnsiTheme="majorHAnsi" w:cs="Times New Roman"/>
                <w:color w:val="000000"/>
                <w:sz w:val="16"/>
                <w:szCs w:val="16"/>
                <w:lang w:eastAsia="en-AU"/>
              </w:rPr>
            </w:pPr>
            <w:r w:rsidRPr="003D5D1B">
              <w:rPr>
                <w:rFonts w:asciiTheme="majorHAnsi" w:eastAsia="Times New Roman" w:hAnsiTheme="majorHAnsi" w:cs="Times New Roman"/>
                <w:color w:val="000000"/>
                <w:sz w:val="16"/>
                <w:szCs w:val="16"/>
                <w:lang w:eastAsia="en-AU"/>
              </w:rPr>
              <w:t>1,613</w:t>
            </w:r>
          </w:p>
        </w:tc>
      </w:tr>
      <w:tr w:rsidR="00503D68" w:rsidRPr="003D5D1B" w14:paraId="1EC1CF40" w14:textId="77777777" w:rsidTr="00CC3499">
        <w:trPr>
          <w:trHeight w:val="227"/>
        </w:trPr>
        <w:tc>
          <w:tcPr>
            <w:tcW w:w="2471" w:type="pct"/>
            <w:noWrap/>
            <w:vAlign w:val="center"/>
            <w:hideMark/>
          </w:tcPr>
          <w:p w14:paraId="7E63516E" w14:textId="77777777" w:rsidR="00503D68" w:rsidRPr="003D5D1B" w:rsidRDefault="00503D68" w:rsidP="00246B9B">
            <w:pPr>
              <w:spacing w:after="0" w:line="240" w:lineRule="auto"/>
              <w:ind w:firstLineChars="200" w:firstLine="320"/>
              <w:rPr>
                <w:rFonts w:asciiTheme="majorHAnsi" w:eastAsia="Times New Roman" w:hAnsiTheme="majorHAnsi" w:cs="Times New Roman"/>
                <w:color w:val="000000"/>
                <w:sz w:val="16"/>
                <w:szCs w:val="16"/>
                <w:lang w:eastAsia="en-AU"/>
              </w:rPr>
            </w:pPr>
            <w:r w:rsidRPr="003D5D1B">
              <w:rPr>
                <w:rFonts w:asciiTheme="majorHAnsi" w:eastAsia="Times New Roman" w:hAnsiTheme="majorHAnsi" w:cs="Times New Roman"/>
                <w:color w:val="000000"/>
                <w:sz w:val="16"/>
                <w:szCs w:val="16"/>
                <w:lang w:eastAsia="en-AU"/>
              </w:rPr>
              <w:t>Hostels</w:t>
            </w:r>
          </w:p>
        </w:tc>
        <w:tc>
          <w:tcPr>
            <w:tcW w:w="846" w:type="pct"/>
            <w:noWrap/>
            <w:vAlign w:val="center"/>
            <w:hideMark/>
          </w:tcPr>
          <w:p w14:paraId="4337DBFA" w14:textId="77777777" w:rsidR="00503D68" w:rsidRPr="003D5D1B" w:rsidRDefault="00503D68" w:rsidP="00246B9B">
            <w:pPr>
              <w:spacing w:after="0" w:line="240" w:lineRule="auto"/>
              <w:rPr>
                <w:rFonts w:asciiTheme="majorHAnsi" w:eastAsia="Times New Roman" w:hAnsiTheme="majorHAnsi" w:cs="Times New Roman"/>
                <w:color w:val="000000" w:themeColor="text1"/>
                <w:sz w:val="16"/>
                <w:szCs w:val="16"/>
                <w:lang w:eastAsia="en-AU"/>
              </w:rPr>
            </w:pPr>
            <w:r w:rsidRPr="003D5D1B">
              <w:rPr>
                <w:rFonts w:asciiTheme="majorHAnsi" w:eastAsia="Times New Roman" w:hAnsiTheme="majorHAnsi" w:cs="Times New Roman"/>
                <w:color w:val="000000" w:themeColor="text1"/>
                <w:sz w:val="16"/>
                <w:szCs w:val="16"/>
                <w:lang w:eastAsia="en-AU"/>
              </w:rPr>
              <w:t>207</w:t>
            </w:r>
          </w:p>
        </w:tc>
        <w:tc>
          <w:tcPr>
            <w:tcW w:w="841" w:type="pct"/>
            <w:noWrap/>
            <w:vAlign w:val="center"/>
            <w:hideMark/>
          </w:tcPr>
          <w:p w14:paraId="50FED8C4" w14:textId="77777777" w:rsidR="00503D68" w:rsidRPr="003D5D1B" w:rsidRDefault="00503D68" w:rsidP="00246B9B">
            <w:pPr>
              <w:spacing w:after="0" w:line="240" w:lineRule="auto"/>
              <w:rPr>
                <w:rFonts w:asciiTheme="majorHAnsi" w:eastAsia="Times New Roman" w:hAnsiTheme="majorHAnsi" w:cs="Times New Roman"/>
                <w:color w:val="000000"/>
                <w:sz w:val="16"/>
                <w:szCs w:val="16"/>
                <w:lang w:eastAsia="en-AU"/>
              </w:rPr>
            </w:pPr>
            <w:r w:rsidRPr="003D5D1B">
              <w:rPr>
                <w:rFonts w:asciiTheme="majorHAnsi" w:eastAsia="Times New Roman" w:hAnsiTheme="majorHAnsi" w:cs="Times New Roman"/>
                <w:color w:val="000000"/>
                <w:sz w:val="16"/>
                <w:szCs w:val="16"/>
                <w:lang w:eastAsia="en-AU"/>
              </w:rPr>
              <w:t>213</w:t>
            </w:r>
          </w:p>
        </w:tc>
        <w:tc>
          <w:tcPr>
            <w:tcW w:w="842" w:type="pct"/>
            <w:noWrap/>
            <w:vAlign w:val="center"/>
            <w:hideMark/>
          </w:tcPr>
          <w:p w14:paraId="5BCEB3F7" w14:textId="77777777" w:rsidR="00503D68" w:rsidRPr="003D5D1B" w:rsidRDefault="00503D68" w:rsidP="00246B9B">
            <w:pPr>
              <w:spacing w:after="0" w:line="240" w:lineRule="auto"/>
              <w:rPr>
                <w:rFonts w:asciiTheme="majorHAnsi" w:eastAsia="Times New Roman" w:hAnsiTheme="majorHAnsi" w:cs="Times New Roman"/>
                <w:color w:val="000000"/>
                <w:sz w:val="16"/>
                <w:szCs w:val="16"/>
                <w:lang w:eastAsia="en-AU"/>
              </w:rPr>
            </w:pPr>
            <w:r w:rsidRPr="003D5D1B">
              <w:rPr>
                <w:rFonts w:asciiTheme="majorHAnsi" w:eastAsia="Times New Roman" w:hAnsiTheme="majorHAnsi" w:cs="Times New Roman"/>
                <w:color w:val="000000"/>
                <w:sz w:val="16"/>
                <w:szCs w:val="16"/>
                <w:lang w:eastAsia="en-AU"/>
              </w:rPr>
              <w:t>233</w:t>
            </w:r>
          </w:p>
        </w:tc>
      </w:tr>
      <w:tr w:rsidR="00503D68" w:rsidRPr="003D5D1B" w14:paraId="16A9D05A" w14:textId="77777777" w:rsidTr="00CC3499">
        <w:trPr>
          <w:trHeight w:val="227"/>
        </w:trPr>
        <w:tc>
          <w:tcPr>
            <w:tcW w:w="2471" w:type="pct"/>
            <w:noWrap/>
            <w:vAlign w:val="center"/>
            <w:hideMark/>
          </w:tcPr>
          <w:p w14:paraId="0C3880BA" w14:textId="77777777" w:rsidR="00503D68" w:rsidRPr="003D5D1B" w:rsidRDefault="00503D68" w:rsidP="00246B9B">
            <w:pPr>
              <w:spacing w:after="0" w:line="240" w:lineRule="auto"/>
              <w:ind w:left="284"/>
              <w:rPr>
                <w:rFonts w:asciiTheme="majorHAnsi" w:eastAsia="Times New Roman" w:hAnsiTheme="majorHAnsi" w:cs="Times New Roman"/>
                <w:color w:val="000000"/>
                <w:sz w:val="16"/>
                <w:szCs w:val="16"/>
                <w:lang w:eastAsia="en-AU"/>
              </w:rPr>
            </w:pPr>
            <w:r w:rsidRPr="003D5D1B">
              <w:rPr>
                <w:rFonts w:asciiTheme="majorHAnsi" w:eastAsia="Times New Roman" w:hAnsiTheme="majorHAnsi" w:cs="Times New Roman"/>
                <w:color w:val="000000"/>
                <w:sz w:val="16"/>
                <w:szCs w:val="16"/>
                <w:lang w:eastAsia="en-AU"/>
              </w:rPr>
              <w:t>Student Dormitories</w:t>
            </w:r>
          </w:p>
        </w:tc>
        <w:tc>
          <w:tcPr>
            <w:tcW w:w="846" w:type="pct"/>
            <w:noWrap/>
            <w:vAlign w:val="center"/>
            <w:hideMark/>
          </w:tcPr>
          <w:p w14:paraId="6EAF1511" w14:textId="77777777" w:rsidR="00503D68" w:rsidRPr="003D5D1B" w:rsidRDefault="00503D68" w:rsidP="00246B9B">
            <w:pPr>
              <w:spacing w:after="0" w:line="240" w:lineRule="auto"/>
              <w:rPr>
                <w:rFonts w:asciiTheme="majorHAnsi" w:eastAsia="Times New Roman" w:hAnsiTheme="majorHAnsi" w:cs="Times New Roman"/>
                <w:color w:val="000000" w:themeColor="text1"/>
                <w:sz w:val="16"/>
                <w:szCs w:val="16"/>
                <w:lang w:eastAsia="en-AU"/>
              </w:rPr>
            </w:pPr>
            <w:r w:rsidRPr="003D5D1B">
              <w:rPr>
                <w:rFonts w:asciiTheme="majorHAnsi" w:eastAsia="Times New Roman" w:hAnsiTheme="majorHAnsi" w:cs="Times New Roman"/>
                <w:color w:val="000000" w:themeColor="text1"/>
                <w:sz w:val="16"/>
                <w:szCs w:val="16"/>
                <w:lang w:eastAsia="en-AU"/>
              </w:rPr>
              <w:t>170</w:t>
            </w:r>
          </w:p>
        </w:tc>
        <w:tc>
          <w:tcPr>
            <w:tcW w:w="841" w:type="pct"/>
            <w:noWrap/>
            <w:vAlign w:val="center"/>
            <w:hideMark/>
          </w:tcPr>
          <w:p w14:paraId="4DC8218A" w14:textId="77777777" w:rsidR="00503D68" w:rsidRPr="003D5D1B" w:rsidRDefault="00503D68" w:rsidP="00246B9B">
            <w:pPr>
              <w:spacing w:after="0" w:line="240" w:lineRule="auto"/>
              <w:rPr>
                <w:rFonts w:asciiTheme="majorHAnsi" w:eastAsia="Times New Roman" w:hAnsiTheme="majorHAnsi" w:cs="Times New Roman"/>
                <w:color w:val="000000"/>
                <w:sz w:val="16"/>
                <w:szCs w:val="16"/>
                <w:lang w:eastAsia="en-AU"/>
              </w:rPr>
            </w:pPr>
            <w:r w:rsidRPr="003D5D1B">
              <w:rPr>
                <w:rFonts w:asciiTheme="majorHAnsi" w:eastAsia="Times New Roman" w:hAnsiTheme="majorHAnsi" w:cs="Times New Roman"/>
                <w:color w:val="000000"/>
                <w:sz w:val="16"/>
                <w:szCs w:val="16"/>
                <w:lang w:eastAsia="en-AU"/>
              </w:rPr>
              <w:t>182</w:t>
            </w:r>
          </w:p>
        </w:tc>
        <w:tc>
          <w:tcPr>
            <w:tcW w:w="842" w:type="pct"/>
            <w:noWrap/>
            <w:vAlign w:val="center"/>
            <w:hideMark/>
          </w:tcPr>
          <w:p w14:paraId="11BB886C" w14:textId="77777777" w:rsidR="00503D68" w:rsidRPr="003D5D1B" w:rsidRDefault="00503D68" w:rsidP="00246B9B">
            <w:pPr>
              <w:spacing w:after="0" w:line="240" w:lineRule="auto"/>
              <w:rPr>
                <w:rFonts w:asciiTheme="majorHAnsi" w:eastAsia="Times New Roman" w:hAnsiTheme="majorHAnsi" w:cs="Times New Roman"/>
                <w:color w:val="000000"/>
                <w:sz w:val="16"/>
                <w:szCs w:val="16"/>
                <w:lang w:eastAsia="en-AU"/>
              </w:rPr>
            </w:pPr>
            <w:r w:rsidRPr="003D5D1B">
              <w:rPr>
                <w:rFonts w:asciiTheme="majorHAnsi" w:eastAsia="Times New Roman" w:hAnsiTheme="majorHAnsi" w:cs="Times New Roman"/>
                <w:color w:val="000000"/>
                <w:sz w:val="16"/>
                <w:szCs w:val="16"/>
                <w:lang w:eastAsia="en-AU"/>
              </w:rPr>
              <w:t>221</w:t>
            </w:r>
          </w:p>
        </w:tc>
      </w:tr>
      <w:tr w:rsidR="00503D68" w:rsidRPr="003D5D1B" w14:paraId="0F6DC7BA" w14:textId="77777777" w:rsidTr="00CC3499">
        <w:trPr>
          <w:trHeight w:val="227"/>
        </w:trPr>
        <w:tc>
          <w:tcPr>
            <w:tcW w:w="2471" w:type="pct"/>
            <w:noWrap/>
            <w:vAlign w:val="center"/>
            <w:hideMark/>
          </w:tcPr>
          <w:p w14:paraId="0BAAC5CB" w14:textId="77777777" w:rsidR="00503D68" w:rsidRPr="003D5D1B" w:rsidRDefault="00503D68" w:rsidP="00246B9B">
            <w:pPr>
              <w:spacing w:after="0" w:line="240" w:lineRule="auto"/>
              <w:ind w:firstLineChars="200" w:firstLine="320"/>
              <w:rPr>
                <w:rFonts w:asciiTheme="majorHAnsi" w:eastAsia="Times New Roman" w:hAnsiTheme="majorHAnsi" w:cs="Times New Roman"/>
                <w:color w:val="000000"/>
                <w:sz w:val="16"/>
                <w:szCs w:val="16"/>
                <w:lang w:eastAsia="en-AU"/>
              </w:rPr>
            </w:pPr>
            <w:r w:rsidRPr="003D5D1B">
              <w:rPr>
                <w:rFonts w:asciiTheme="majorHAnsi" w:eastAsia="Times New Roman" w:hAnsiTheme="majorHAnsi" w:cs="Times New Roman"/>
                <w:color w:val="000000"/>
                <w:sz w:val="16"/>
                <w:szCs w:val="16"/>
                <w:lang w:eastAsia="en-AU"/>
              </w:rPr>
              <w:t>Holiday Camps</w:t>
            </w:r>
          </w:p>
        </w:tc>
        <w:tc>
          <w:tcPr>
            <w:tcW w:w="846" w:type="pct"/>
            <w:noWrap/>
            <w:vAlign w:val="center"/>
            <w:hideMark/>
          </w:tcPr>
          <w:p w14:paraId="3172BFF5" w14:textId="77777777" w:rsidR="00503D68" w:rsidRPr="003D5D1B" w:rsidRDefault="00503D68" w:rsidP="00246B9B">
            <w:pPr>
              <w:spacing w:after="0" w:line="240" w:lineRule="auto"/>
              <w:rPr>
                <w:rFonts w:asciiTheme="majorHAnsi" w:eastAsia="Times New Roman" w:hAnsiTheme="majorHAnsi" w:cs="Times New Roman"/>
                <w:color w:val="000000" w:themeColor="text1"/>
                <w:sz w:val="16"/>
                <w:szCs w:val="16"/>
                <w:lang w:eastAsia="en-AU"/>
              </w:rPr>
            </w:pPr>
            <w:r w:rsidRPr="003D5D1B">
              <w:rPr>
                <w:rFonts w:asciiTheme="majorHAnsi" w:eastAsia="Times New Roman" w:hAnsiTheme="majorHAnsi" w:cs="Times New Roman"/>
                <w:color w:val="000000" w:themeColor="text1"/>
                <w:sz w:val="16"/>
                <w:szCs w:val="16"/>
                <w:lang w:eastAsia="en-AU"/>
              </w:rPr>
              <w:t>315</w:t>
            </w:r>
          </w:p>
        </w:tc>
        <w:tc>
          <w:tcPr>
            <w:tcW w:w="841" w:type="pct"/>
            <w:noWrap/>
            <w:vAlign w:val="center"/>
            <w:hideMark/>
          </w:tcPr>
          <w:p w14:paraId="1A3AF139" w14:textId="77777777" w:rsidR="00503D68" w:rsidRPr="003D5D1B" w:rsidRDefault="00503D68" w:rsidP="00246B9B">
            <w:pPr>
              <w:spacing w:after="0" w:line="240" w:lineRule="auto"/>
              <w:rPr>
                <w:rFonts w:asciiTheme="majorHAnsi" w:eastAsia="Times New Roman" w:hAnsiTheme="majorHAnsi" w:cs="Times New Roman"/>
                <w:color w:val="000000"/>
                <w:sz w:val="16"/>
                <w:szCs w:val="16"/>
                <w:lang w:eastAsia="en-AU"/>
              </w:rPr>
            </w:pPr>
            <w:r w:rsidRPr="003D5D1B">
              <w:rPr>
                <w:rFonts w:asciiTheme="majorHAnsi" w:eastAsia="Times New Roman" w:hAnsiTheme="majorHAnsi" w:cs="Times New Roman"/>
                <w:color w:val="000000"/>
                <w:sz w:val="16"/>
                <w:szCs w:val="16"/>
                <w:lang w:eastAsia="en-AU"/>
              </w:rPr>
              <w:t>315</w:t>
            </w:r>
          </w:p>
        </w:tc>
        <w:tc>
          <w:tcPr>
            <w:tcW w:w="842" w:type="pct"/>
            <w:noWrap/>
            <w:vAlign w:val="center"/>
            <w:hideMark/>
          </w:tcPr>
          <w:p w14:paraId="6244DBAA" w14:textId="77777777" w:rsidR="00503D68" w:rsidRPr="003D5D1B" w:rsidRDefault="00503D68" w:rsidP="00246B9B">
            <w:pPr>
              <w:spacing w:after="0" w:line="240" w:lineRule="auto"/>
              <w:rPr>
                <w:rFonts w:asciiTheme="majorHAnsi" w:eastAsia="Times New Roman" w:hAnsiTheme="majorHAnsi" w:cs="Times New Roman"/>
                <w:color w:val="000000"/>
                <w:sz w:val="16"/>
                <w:szCs w:val="16"/>
                <w:lang w:eastAsia="en-AU"/>
              </w:rPr>
            </w:pPr>
            <w:r w:rsidRPr="003D5D1B">
              <w:rPr>
                <w:rFonts w:asciiTheme="majorHAnsi" w:eastAsia="Times New Roman" w:hAnsiTheme="majorHAnsi" w:cs="Times New Roman"/>
                <w:color w:val="000000"/>
                <w:sz w:val="16"/>
                <w:szCs w:val="16"/>
                <w:lang w:eastAsia="en-AU"/>
              </w:rPr>
              <w:t>315</w:t>
            </w:r>
          </w:p>
        </w:tc>
      </w:tr>
      <w:tr w:rsidR="00503D68" w:rsidRPr="003D5D1B" w14:paraId="2A232EC3" w14:textId="77777777" w:rsidTr="00CC3499">
        <w:trPr>
          <w:trHeight w:val="227"/>
        </w:trPr>
        <w:tc>
          <w:tcPr>
            <w:tcW w:w="2471" w:type="pct"/>
            <w:noWrap/>
            <w:vAlign w:val="center"/>
            <w:hideMark/>
          </w:tcPr>
          <w:p w14:paraId="0193D821" w14:textId="77777777" w:rsidR="00503D68" w:rsidRPr="003D5D1B" w:rsidRDefault="00503D68" w:rsidP="00246B9B">
            <w:pPr>
              <w:spacing w:after="0" w:line="240" w:lineRule="auto"/>
              <w:ind w:firstLineChars="200" w:firstLine="320"/>
              <w:rPr>
                <w:rFonts w:asciiTheme="majorHAnsi" w:eastAsia="Times New Roman" w:hAnsiTheme="majorHAnsi" w:cs="Times New Roman"/>
                <w:color w:val="000000"/>
                <w:sz w:val="16"/>
                <w:szCs w:val="16"/>
                <w:lang w:eastAsia="en-AU"/>
              </w:rPr>
            </w:pPr>
            <w:r w:rsidRPr="003D5D1B">
              <w:rPr>
                <w:rFonts w:asciiTheme="majorHAnsi" w:eastAsia="Times New Roman" w:hAnsiTheme="majorHAnsi" w:cs="Times New Roman"/>
                <w:color w:val="000000"/>
                <w:sz w:val="16"/>
                <w:szCs w:val="16"/>
                <w:lang w:eastAsia="en-AU"/>
              </w:rPr>
              <w:t>Rooming Houses</w:t>
            </w:r>
          </w:p>
        </w:tc>
        <w:tc>
          <w:tcPr>
            <w:tcW w:w="846" w:type="pct"/>
            <w:noWrap/>
            <w:vAlign w:val="center"/>
            <w:hideMark/>
          </w:tcPr>
          <w:p w14:paraId="1FD72E40" w14:textId="2B18F4DB" w:rsidR="00503D68" w:rsidRPr="003D5D1B" w:rsidRDefault="00503D68" w:rsidP="00246B9B">
            <w:pPr>
              <w:spacing w:after="0" w:line="240" w:lineRule="auto"/>
              <w:rPr>
                <w:rFonts w:asciiTheme="majorHAnsi" w:eastAsia="Times New Roman" w:hAnsiTheme="majorHAnsi" w:cs="Times New Roman"/>
                <w:color w:val="000000" w:themeColor="text1"/>
                <w:sz w:val="16"/>
                <w:szCs w:val="16"/>
                <w:lang w:eastAsia="en-AU"/>
              </w:rPr>
            </w:pPr>
            <w:r w:rsidRPr="003D5D1B">
              <w:rPr>
                <w:rFonts w:asciiTheme="majorHAnsi" w:eastAsia="Times New Roman" w:hAnsiTheme="majorHAnsi" w:cs="Times New Roman"/>
                <w:color w:val="000000" w:themeColor="text1"/>
                <w:sz w:val="16"/>
                <w:szCs w:val="16"/>
                <w:lang w:eastAsia="en-AU"/>
              </w:rPr>
              <w:t>1</w:t>
            </w:r>
            <w:r>
              <w:rPr>
                <w:rFonts w:asciiTheme="majorHAnsi" w:eastAsia="Times New Roman" w:hAnsiTheme="majorHAnsi" w:cs="Times New Roman"/>
                <w:color w:val="000000" w:themeColor="text1"/>
                <w:sz w:val="16"/>
                <w:szCs w:val="16"/>
                <w:lang w:eastAsia="en-AU"/>
              </w:rPr>
              <w:t>,</w:t>
            </w:r>
            <w:r w:rsidRPr="003D5D1B">
              <w:rPr>
                <w:rFonts w:asciiTheme="majorHAnsi" w:eastAsia="Times New Roman" w:hAnsiTheme="majorHAnsi" w:cs="Times New Roman"/>
                <w:color w:val="000000" w:themeColor="text1"/>
                <w:sz w:val="16"/>
                <w:szCs w:val="16"/>
                <w:lang w:eastAsia="en-AU"/>
              </w:rPr>
              <w:t>305</w:t>
            </w:r>
          </w:p>
        </w:tc>
        <w:tc>
          <w:tcPr>
            <w:tcW w:w="841" w:type="pct"/>
            <w:noWrap/>
            <w:vAlign w:val="center"/>
            <w:hideMark/>
          </w:tcPr>
          <w:p w14:paraId="1D1612F0" w14:textId="77777777" w:rsidR="00503D68" w:rsidRPr="003D5D1B" w:rsidRDefault="00503D68" w:rsidP="00246B9B">
            <w:pPr>
              <w:spacing w:after="0" w:line="240" w:lineRule="auto"/>
              <w:rPr>
                <w:rFonts w:asciiTheme="majorHAnsi" w:eastAsia="Times New Roman" w:hAnsiTheme="majorHAnsi" w:cs="Times New Roman"/>
                <w:color w:val="000000"/>
                <w:sz w:val="16"/>
                <w:szCs w:val="16"/>
                <w:lang w:eastAsia="en-AU"/>
              </w:rPr>
            </w:pPr>
            <w:r w:rsidRPr="003D5D1B">
              <w:rPr>
                <w:rFonts w:asciiTheme="majorHAnsi" w:eastAsia="Times New Roman" w:hAnsiTheme="majorHAnsi" w:cs="Times New Roman"/>
                <w:color w:val="000000"/>
                <w:sz w:val="16"/>
                <w:szCs w:val="16"/>
                <w:lang w:eastAsia="en-AU"/>
              </w:rPr>
              <w:t>1,425</w:t>
            </w:r>
          </w:p>
        </w:tc>
        <w:tc>
          <w:tcPr>
            <w:tcW w:w="842" w:type="pct"/>
            <w:noWrap/>
            <w:vAlign w:val="center"/>
            <w:hideMark/>
          </w:tcPr>
          <w:p w14:paraId="72E13D51" w14:textId="77777777" w:rsidR="00503D68" w:rsidRPr="003D5D1B" w:rsidRDefault="00503D68" w:rsidP="00246B9B">
            <w:pPr>
              <w:spacing w:after="0" w:line="240" w:lineRule="auto"/>
              <w:rPr>
                <w:rFonts w:asciiTheme="majorHAnsi" w:eastAsia="Times New Roman" w:hAnsiTheme="majorHAnsi" w:cs="Times New Roman"/>
                <w:color w:val="000000"/>
                <w:sz w:val="16"/>
                <w:szCs w:val="16"/>
                <w:lang w:eastAsia="en-AU"/>
              </w:rPr>
            </w:pPr>
            <w:r w:rsidRPr="003D5D1B">
              <w:rPr>
                <w:rFonts w:asciiTheme="majorHAnsi" w:eastAsia="Times New Roman" w:hAnsiTheme="majorHAnsi" w:cs="Times New Roman"/>
                <w:color w:val="000000"/>
                <w:sz w:val="16"/>
                <w:szCs w:val="16"/>
                <w:lang w:eastAsia="en-AU"/>
              </w:rPr>
              <w:t>1,858</w:t>
            </w:r>
          </w:p>
        </w:tc>
      </w:tr>
    </w:tbl>
    <w:p w14:paraId="22C5B247" w14:textId="77777777" w:rsidR="00FB48D2" w:rsidRPr="003D5D1B" w:rsidRDefault="00FB48D2" w:rsidP="00FB48D2"/>
    <w:p w14:paraId="1555138E" w14:textId="77777777" w:rsidR="00FB48D2" w:rsidRPr="003D5D1B" w:rsidRDefault="00FB48D2" w:rsidP="000A471E">
      <w:pPr>
        <w:pStyle w:val="Heading3"/>
      </w:pPr>
      <w:r w:rsidRPr="003D5D1B">
        <w:t>Occupancy of prescribed accommodation</w:t>
      </w:r>
    </w:p>
    <w:p w14:paraId="7BDBE62E" w14:textId="77777777" w:rsidR="00FB48D2" w:rsidRPr="003D5D1B" w:rsidRDefault="00FB48D2" w:rsidP="00FB48D2">
      <w:r w:rsidRPr="003D5D1B">
        <w:t>The following assumptions underpin estimates on the number of unique guests in each type of prescribed accommodation. Where external data is available this has been used to inform estimates. Where data is not available, assumptions have been made by Deloitte and DH</w:t>
      </w:r>
      <w:r>
        <w:t>H</w:t>
      </w:r>
      <w:r w:rsidRPr="003D5D1B">
        <w:t>S.</w:t>
      </w:r>
    </w:p>
    <w:p w14:paraId="3E1A6A5F" w14:textId="1AD25A80" w:rsidR="00FB48D2" w:rsidRPr="00BC3000" w:rsidRDefault="00FB48D2" w:rsidP="00FB48D2">
      <w:pPr>
        <w:pStyle w:val="ListParagraph"/>
        <w:numPr>
          <w:ilvl w:val="0"/>
          <w:numId w:val="23"/>
        </w:numPr>
      </w:pPr>
      <w:r w:rsidRPr="003D5D1B">
        <w:t xml:space="preserve">Residential accommodation </w:t>
      </w:r>
      <w:r w:rsidR="005E6516">
        <w:t>premises</w:t>
      </w:r>
      <w:r w:rsidRPr="003D5D1B">
        <w:t xml:space="preserve"> are</w:t>
      </w:r>
      <w:r w:rsidR="00B5164A" w:rsidRPr="003D5D1B">
        <w:t xml:space="preserve"> </w:t>
      </w:r>
      <w:r w:rsidRPr="003D5D1B">
        <w:t>occupied 65%</w:t>
      </w:r>
      <w:r w:rsidRPr="00AD3399">
        <w:t xml:space="preserve"> of the year,</w:t>
      </w:r>
      <w:r w:rsidRPr="00AD3399">
        <w:rPr>
          <w:rStyle w:val="FootnoteReference"/>
        </w:rPr>
        <w:footnoteReference w:id="66"/>
      </w:r>
      <w:r w:rsidRPr="00AD3399">
        <w:t xml:space="preserve"> occupants stay for an average of </w:t>
      </w:r>
      <w:r w:rsidRPr="003D5D1B">
        <w:t>1 week</w:t>
      </w:r>
      <w:r w:rsidRPr="00AD3399">
        <w:t xml:space="preserve"> and </w:t>
      </w:r>
      <w:r>
        <w:t>6</w:t>
      </w:r>
      <w:r w:rsidRPr="003D5D1B">
        <w:t xml:space="preserve"> guests</w:t>
      </w:r>
      <w:r w:rsidRPr="00AD3399">
        <w:t xml:space="preserve"> occupy each</w:t>
      </w:r>
      <w:r w:rsidRPr="00BC3000">
        <w:t xml:space="preserve"> facility</w:t>
      </w:r>
    </w:p>
    <w:p w14:paraId="166F9B80" w14:textId="77777777" w:rsidR="00FB48D2" w:rsidRPr="00BC3000" w:rsidRDefault="00FB48D2" w:rsidP="00FB48D2">
      <w:pPr>
        <w:pStyle w:val="ListParagraph"/>
        <w:numPr>
          <w:ilvl w:val="0"/>
          <w:numId w:val="23"/>
        </w:numPr>
      </w:pPr>
      <w:r w:rsidRPr="003D5D1B">
        <w:t>Hotels and motels are occupied 73%</w:t>
      </w:r>
      <w:r w:rsidRPr="00AD3399">
        <w:t xml:space="preserve"> of the year,</w:t>
      </w:r>
      <w:r w:rsidRPr="00AD3399">
        <w:rPr>
          <w:rStyle w:val="FootnoteReference"/>
        </w:rPr>
        <w:footnoteReference w:id="67"/>
      </w:r>
      <w:r w:rsidRPr="00AD3399">
        <w:t xml:space="preserve"> occupants stay for an average of </w:t>
      </w:r>
      <w:r w:rsidRPr="003D5D1B">
        <w:t>3 days</w:t>
      </w:r>
      <w:r w:rsidRPr="00AD3399">
        <w:t xml:space="preserve">, there are an average of </w:t>
      </w:r>
      <w:r w:rsidRPr="003D5D1B">
        <w:t>51 rooms</w:t>
      </w:r>
      <w:r w:rsidRPr="00AD3399">
        <w:t xml:space="preserve"> per facility</w:t>
      </w:r>
      <w:r w:rsidRPr="00AD3399">
        <w:rPr>
          <w:rStyle w:val="FootnoteReference"/>
        </w:rPr>
        <w:footnoteReference w:id="68"/>
      </w:r>
      <w:r w:rsidRPr="00AD3399">
        <w:t xml:space="preserve"> and </w:t>
      </w:r>
      <w:r w:rsidRPr="003D5D1B">
        <w:t>2 guests</w:t>
      </w:r>
      <w:r w:rsidRPr="00AD3399">
        <w:t xml:space="preserve"> occupy each room.</w:t>
      </w:r>
    </w:p>
    <w:p w14:paraId="52AD40EF" w14:textId="77777777" w:rsidR="00FB48D2" w:rsidRPr="00AD3399" w:rsidRDefault="00FB48D2" w:rsidP="00FB48D2">
      <w:pPr>
        <w:pStyle w:val="ListParagraph"/>
        <w:numPr>
          <w:ilvl w:val="0"/>
          <w:numId w:val="23"/>
        </w:numPr>
      </w:pPr>
      <w:r w:rsidRPr="00BC3000">
        <w:t xml:space="preserve">Hostels are occupied </w:t>
      </w:r>
      <w:r w:rsidRPr="003D5D1B">
        <w:t>92%</w:t>
      </w:r>
      <w:r w:rsidRPr="00AD3399">
        <w:t xml:space="preserve"> of the year, occupants stay for an average of </w:t>
      </w:r>
      <w:r w:rsidRPr="003D5D1B">
        <w:t>1 month</w:t>
      </w:r>
      <w:r w:rsidRPr="00AD3399">
        <w:t xml:space="preserve"> and </w:t>
      </w:r>
      <w:r w:rsidRPr="003D5D1B">
        <w:t xml:space="preserve">20 </w:t>
      </w:r>
      <w:r w:rsidRPr="00AD3399">
        <w:t>guests occupy each facility</w:t>
      </w:r>
    </w:p>
    <w:p w14:paraId="5BA0FCF2" w14:textId="113172DA" w:rsidR="00FB48D2" w:rsidRPr="00AD3399" w:rsidRDefault="00FB48D2" w:rsidP="00FB48D2">
      <w:pPr>
        <w:pStyle w:val="ListParagraph"/>
        <w:numPr>
          <w:ilvl w:val="0"/>
          <w:numId w:val="23"/>
        </w:numPr>
      </w:pPr>
      <w:r w:rsidRPr="00BC3000">
        <w:t xml:space="preserve">Student dormitories and rooming houses are occupied </w:t>
      </w:r>
      <w:r w:rsidRPr="003D5D1B">
        <w:t>all year round</w:t>
      </w:r>
      <w:r w:rsidRPr="00AD3399">
        <w:t xml:space="preserve"> and there are </w:t>
      </w:r>
      <w:r w:rsidRPr="003D5D1B">
        <w:t xml:space="preserve">20 </w:t>
      </w:r>
      <w:r w:rsidR="007E5C95">
        <w:t>students</w:t>
      </w:r>
      <w:r w:rsidR="007E5C95" w:rsidRPr="00AD3399">
        <w:t xml:space="preserve"> </w:t>
      </w:r>
      <w:r w:rsidRPr="00AD3399">
        <w:t xml:space="preserve">in every dormitory and </w:t>
      </w:r>
      <w:r w:rsidRPr="003D5D1B">
        <w:t>8.6 guests</w:t>
      </w:r>
      <w:r w:rsidRPr="00AD3399">
        <w:rPr>
          <w:rStyle w:val="FootnoteReference"/>
        </w:rPr>
        <w:footnoteReference w:id="69"/>
      </w:r>
      <w:r w:rsidRPr="00AD3399">
        <w:t xml:space="preserve"> in every rooming house.</w:t>
      </w:r>
    </w:p>
    <w:p w14:paraId="4A14ADE0" w14:textId="77777777" w:rsidR="00FB48D2" w:rsidRPr="00AD3399" w:rsidRDefault="00FB48D2" w:rsidP="00FB48D2">
      <w:pPr>
        <w:pStyle w:val="ListParagraph"/>
        <w:numPr>
          <w:ilvl w:val="0"/>
          <w:numId w:val="23"/>
        </w:numPr>
      </w:pPr>
      <w:r w:rsidRPr="00AD3399">
        <w:t xml:space="preserve">Holiday camps are occupied </w:t>
      </w:r>
      <w:r w:rsidRPr="003D5D1B">
        <w:t>23%</w:t>
      </w:r>
      <w:r w:rsidRPr="00AD3399">
        <w:t xml:space="preserve"> of the year, occupants stay for an average of </w:t>
      </w:r>
      <w:r w:rsidRPr="003D5D1B">
        <w:t>7 days</w:t>
      </w:r>
      <w:r w:rsidRPr="00AD3399">
        <w:t xml:space="preserve">, there are an average of </w:t>
      </w:r>
      <w:r w:rsidRPr="003D5D1B">
        <w:t>10 rooms</w:t>
      </w:r>
      <w:r w:rsidRPr="00AD3399">
        <w:t xml:space="preserve"> per facility and </w:t>
      </w:r>
      <w:r>
        <w:t>6</w:t>
      </w:r>
      <w:r w:rsidRPr="003D5D1B">
        <w:t xml:space="preserve"> guests</w:t>
      </w:r>
      <w:r w:rsidRPr="00AD3399">
        <w:t xml:space="preserve"> occupy each room.</w:t>
      </w:r>
    </w:p>
    <w:p w14:paraId="165F3BAD" w14:textId="739DD9B2" w:rsidR="00FB48D2" w:rsidRDefault="00FB48D2" w:rsidP="00FB48D2">
      <w:pPr>
        <w:pStyle w:val="Caption"/>
      </w:pPr>
      <w:r>
        <w:t xml:space="preserve">Table </w:t>
      </w:r>
      <w:r w:rsidR="004335F8">
        <w:fldChar w:fldCharType="begin"/>
      </w:r>
      <w:r w:rsidR="004335F8">
        <w:instrText xml:space="preserve"> STYLEREF 1 \s </w:instrText>
      </w:r>
      <w:r w:rsidR="004335F8">
        <w:fldChar w:fldCharType="separate"/>
      </w:r>
      <w:r w:rsidR="00795309">
        <w:rPr>
          <w:noProof/>
        </w:rPr>
        <w:t>4</w:t>
      </w:r>
      <w:r w:rsidR="004335F8">
        <w:fldChar w:fldCharType="end"/>
      </w:r>
      <w:r w:rsidR="004335F8">
        <w:noBreakHyphen/>
      </w:r>
      <w:r w:rsidR="004335F8">
        <w:fldChar w:fldCharType="begin"/>
      </w:r>
      <w:r w:rsidR="004335F8">
        <w:instrText xml:space="preserve"> SEQ Table \* ARABIC \s 1 </w:instrText>
      </w:r>
      <w:r w:rsidR="004335F8">
        <w:fldChar w:fldCharType="separate"/>
      </w:r>
      <w:r w:rsidR="00795309">
        <w:rPr>
          <w:noProof/>
        </w:rPr>
        <w:t>5</w:t>
      </w:r>
      <w:r w:rsidR="004335F8">
        <w:fldChar w:fldCharType="end"/>
      </w:r>
      <w:r>
        <w:t xml:space="preserve"> Number of unique guests p.a., by type of prescribed accommodation</w:t>
      </w:r>
    </w:p>
    <w:tbl>
      <w:tblPr>
        <w:tblStyle w:val="Deloittetable"/>
        <w:tblpPr w:leftFromText="180" w:rightFromText="180" w:vertAnchor="text" w:horzAnchor="margin" w:tblpY="-47"/>
        <w:tblW w:w="5000" w:type="pct"/>
        <w:tblLook w:val="04A0" w:firstRow="1" w:lastRow="0" w:firstColumn="1" w:lastColumn="0" w:noHBand="0" w:noVBand="1"/>
      </w:tblPr>
      <w:tblGrid>
        <w:gridCol w:w="3834"/>
        <w:gridCol w:w="2596"/>
        <w:gridCol w:w="2596"/>
      </w:tblGrid>
      <w:tr w:rsidR="00E24EAD" w:rsidRPr="007A29CA" w14:paraId="207EB497" w14:textId="77777777" w:rsidTr="00CC3499">
        <w:trPr>
          <w:cnfStyle w:val="100000000000" w:firstRow="1" w:lastRow="0" w:firstColumn="0" w:lastColumn="0" w:oddVBand="0" w:evenVBand="0" w:oddHBand="0" w:evenHBand="0" w:firstRowFirstColumn="0" w:firstRowLastColumn="0" w:lastRowFirstColumn="0" w:lastRowLastColumn="0"/>
          <w:trHeight w:val="227"/>
        </w:trPr>
        <w:tc>
          <w:tcPr>
            <w:tcW w:w="2124" w:type="pct"/>
          </w:tcPr>
          <w:p w14:paraId="5E811265" w14:textId="70B0A20A" w:rsidR="00E24EAD" w:rsidRPr="007A29CA" w:rsidRDefault="00855643" w:rsidP="00246B9B">
            <w:pPr>
              <w:spacing w:after="0" w:line="240" w:lineRule="auto"/>
              <w:rPr>
                <w:rFonts w:asciiTheme="majorHAnsi" w:hAnsiTheme="majorHAnsi"/>
                <w:sz w:val="16"/>
                <w:szCs w:val="16"/>
              </w:rPr>
            </w:pPr>
            <w:r>
              <w:rPr>
                <w:rFonts w:asciiTheme="majorHAnsi" w:eastAsia="Times New Roman" w:hAnsiTheme="majorHAnsi" w:cs="Times New Roman"/>
                <w:b/>
                <w:bCs/>
                <w:color w:val="000000"/>
                <w:sz w:val="16"/>
                <w:szCs w:val="16"/>
                <w:lang w:eastAsia="en-AU"/>
              </w:rPr>
              <w:t>Type of prescribed accommodation</w:t>
            </w:r>
          </w:p>
        </w:tc>
        <w:tc>
          <w:tcPr>
            <w:tcW w:w="1438" w:type="pct"/>
            <w:vAlign w:val="center"/>
          </w:tcPr>
          <w:p w14:paraId="18AB8F86" w14:textId="77777777" w:rsidR="00E24EAD" w:rsidRPr="007A29CA" w:rsidRDefault="00E24EAD" w:rsidP="00246B9B">
            <w:pPr>
              <w:spacing w:after="0" w:line="240" w:lineRule="auto"/>
              <w:rPr>
                <w:rFonts w:asciiTheme="majorHAnsi" w:hAnsiTheme="majorHAnsi"/>
                <w:sz w:val="16"/>
                <w:szCs w:val="16"/>
              </w:rPr>
            </w:pPr>
            <w:r w:rsidRPr="007A29CA">
              <w:rPr>
                <w:rFonts w:asciiTheme="majorHAnsi" w:hAnsiTheme="majorHAnsi"/>
                <w:b/>
                <w:bCs/>
                <w:color w:val="000000"/>
                <w:sz w:val="16"/>
                <w:szCs w:val="16"/>
              </w:rPr>
              <w:t>2021 (f)</w:t>
            </w:r>
          </w:p>
        </w:tc>
        <w:tc>
          <w:tcPr>
            <w:tcW w:w="1438" w:type="pct"/>
            <w:vAlign w:val="center"/>
          </w:tcPr>
          <w:p w14:paraId="08ADD190" w14:textId="77777777" w:rsidR="00E24EAD" w:rsidRPr="007A29CA" w:rsidRDefault="00E24EAD" w:rsidP="00246B9B">
            <w:pPr>
              <w:spacing w:after="0" w:line="240" w:lineRule="auto"/>
              <w:rPr>
                <w:rFonts w:asciiTheme="majorHAnsi" w:hAnsiTheme="majorHAnsi"/>
                <w:b/>
                <w:bCs/>
                <w:color w:val="000000"/>
                <w:sz w:val="16"/>
                <w:szCs w:val="16"/>
              </w:rPr>
            </w:pPr>
            <w:r w:rsidRPr="007A29CA">
              <w:rPr>
                <w:rFonts w:asciiTheme="majorHAnsi" w:hAnsiTheme="majorHAnsi"/>
                <w:b/>
                <w:bCs/>
                <w:color w:val="000000"/>
                <w:sz w:val="16"/>
                <w:szCs w:val="16"/>
              </w:rPr>
              <w:t>2030 (f)</w:t>
            </w:r>
          </w:p>
        </w:tc>
      </w:tr>
      <w:tr w:rsidR="00E24EAD" w:rsidRPr="007A29CA" w14:paraId="5440D7B2" w14:textId="77777777" w:rsidTr="00CC3499">
        <w:trPr>
          <w:trHeight w:val="227"/>
        </w:trPr>
        <w:tc>
          <w:tcPr>
            <w:tcW w:w="2124" w:type="pct"/>
          </w:tcPr>
          <w:p w14:paraId="37E2D002" w14:textId="77777777" w:rsidR="00E24EAD" w:rsidRPr="007A29CA" w:rsidRDefault="00E24EAD" w:rsidP="00246B9B">
            <w:pPr>
              <w:spacing w:after="0" w:line="240" w:lineRule="auto"/>
              <w:rPr>
                <w:rFonts w:asciiTheme="majorHAnsi" w:hAnsiTheme="majorHAnsi"/>
                <w:sz w:val="16"/>
                <w:szCs w:val="16"/>
              </w:rPr>
            </w:pPr>
            <w:r w:rsidRPr="007A29CA">
              <w:rPr>
                <w:rFonts w:asciiTheme="majorHAnsi" w:eastAsia="Times New Roman" w:hAnsiTheme="majorHAnsi" w:cs="Times New Roman"/>
                <w:color w:val="000000"/>
                <w:sz w:val="16"/>
                <w:szCs w:val="16"/>
                <w:lang w:eastAsia="en-AU"/>
              </w:rPr>
              <w:t>Residential Accommodation</w:t>
            </w:r>
          </w:p>
        </w:tc>
        <w:tc>
          <w:tcPr>
            <w:tcW w:w="1438" w:type="pct"/>
            <w:vAlign w:val="center"/>
          </w:tcPr>
          <w:p w14:paraId="1352BDB0" w14:textId="77777777" w:rsidR="00E24EAD" w:rsidRPr="007A29CA" w:rsidRDefault="00E24EAD" w:rsidP="00246B9B">
            <w:pPr>
              <w:spacing w:after="0" w:line="240" w:lineRule="auto"/>
              <w:rPr>
                <w:rFonts w:asciiTheme="majorHAnsi" w:hAnsiTheme="majorHAnsi"/>
                <w:sz w:val="16"/>
                <w:szCs w:val="16"/>
              </w:rPr>
            </w:pPr>
            <w:r>
              <w:rPr>
                <w:rFonts w:asciiTheme="majorHAnsi" w:hAnsiTheme="majorHAnsi"/>
                <w:color w:val="000000"/>
                <w:sz w:val="16"/>
                <w:szCs w:val="16"/>
              </w:rPr>
              <w:t>332,565</w:t>
            </w:r>
            <w:r w:rsidRPr="007A29CA">
              <w:rPr>
                <w:rFonts w:asciiTheme="majorHAnsi" w:hAnsiTheme="majorHAnsi"/>
                <w:color w:val="000000"/>
                <w:sz w:val="16"/>
                <w:szCs w:val="16"/>
              </w:rPr>
              <w:t xml:space="preserve"> </w:t>
            </w:r>
          </w:p>
        </w:tc>
        <w:tc>
          <w:tcPr>
            <w:tcW w:w="1438" w:type="pct"/>
            <w:vAlign w:val="center"/>
          </w:tcPr>
          <w:p w14:paraId="6843BE0F" w14:textId="310FD569" w:rsidR="00E24EAD" w:rsidRPr="007A29CA" w:rsidRDefault="00E24EAD" w:rsidP="00246B9B">
            <w:pPr>
              <w:spacing w:after="0" w:line="240" w:lineRule="auto"/>
              <w:rPr>
                <w:rFonts w:asciiTheme="majorHAnsi" w:hAnsiTheme="majorHAnsi"/>
                <w:sz w:val="16"/>
                <w:szCs w:val="16"/>
              </w:rPr>
            </w:pPr>
            <w:r>
              <w:rPr>
                <w:rFonts w:asciiTheme="majorHAnsi" w:hAnsiTheme="majorHAnsi"/>
                <w:color w:val="000000"/>
                <w:sz w:val="16"/>
                <w:szCs w:val="16"/>
              </w:rPr>
              <w:t>415,688</w:t>
            </w:r>
            <w:r w:rsidRPr="007A29CA">
              <w:rPr>
                <w:rFonts w:asciiTheme="majorHAnsi" w:hAnsiTheme="majorHAnsi"/>
                <w:color w:val="000000"/>
                <w:sz w:val="16"/>
                <w:szCs w:val="16"/>
              </w:rPr>
              <w:t xml:space="preserve"> </w:t>
            </w:r>
          </w:p>
        </w:tc>
      </w:tr>
      <w:tr w:rsidR="00E24EAD" w:rsidRPr="003D5D1B" w14:paraId="70FC3468" w14:textId="77777777" w:rsidTr="00CC3499">
        <w:trPr>
          <w:trHeight w:val="227"/>
        </w:trPr>
        <w:tc>
          <w:tcPr>
            <w:tcW w:w="2124" w:type="pct"/>
          </w:tcPr>
          <w:p w14:paraId="569F9E21" w14:textId="77777777" w:rsidR="00E24EAD" w:rsidRPr="003D5D1B" w:rsidRDefault="00E24EAD" w:rsidP="00246B9B">
            <w:pPr>
              <w:spacing w:after="0" w:line="240" w:lineRule="auto"/>
              <w:rPr>
                <w:rFonts w:asciiTheme="majorHAnsi" w:hAnsiTheme="majorHAnsi"/>
                <w:sz w:val="16"/>
                <w:szCs w:val="16"/>
              </w:rPr>
            </w:pPr>
            <w:r w:rsidRPr="00BC3000">
              <w:rPr>
                <w:rFonts w:asciiTheme="majorHAnsi" w:eastAsia="Times New Roman" w:hAnsiTheme="majorHAnsi" w:cs="Times New Roman"/>
                <w:color w:val="000000"/>
                <w:sz w:val="16"/>
                <w:szCs w:val="16"/>
                <w:lang w:eastAsia="en-AU"/>
              </w:rPr>
              <w:t xml:space="preserve">Hotels &amp; Motels </w:t>
            </w:r>
          </w:p>
        </w:tc>
        <w:tc>
          <w:tcPr>
            <w:tcW w:w="1438" w:type="pct"/>
            <w:vAlign w:val="center"/>
          </w:tcPr>
          <w:p w14:paraId="4482495B" w14:textId="77777777" w:rsidR="00E24EAD" w:rsidRPr="003D5D1B" w:rsidRDefault="00E24EAD" w:rsidP="00246B9B">
            <w:pPr>
              <w:spacing w:after="0" w:line="240" w:lineRule="auto"/>
              <w:rPr>
                <w:rFonts w:asciiTheme="majorHAnsi" w:hAnsiTheme="majorHAnsi"/>
                <w:sz w:val="16"/>
                <w:szCs w:val="16"/>
              </w:rPr>
            </w:pPr>
            <w:r w:rsidRPr="003D5D1B">
              <w:rPr>
                <w:rFonts w:asciiTheme="majorHAnsi" w:hAnsiTheme="majorHAnsi"/>
                <w:color w:val="000000"/>
                <w:sz w:val="16"/>
                <w:szCs w:val="16"/>
              </w:rPr>
              <w:t xml:space="preserve">12,471,198 </w:t>
            </w:r>
          </w:p>
        </w:tc>
        <w:tc>
          <w:tcPr>
            <w:tcW w:w="1438" w:type="pct"/>
            <w:vAlign w:val="center"/>
          </w:tcPr>
          <w:p w14:paraId="5544FB14" w14:textId="77777777" w:rsidR="00E24EAD" w:rsidRPr="003D5D1B" w:rsidRDefault="00E24EAD" w:rsidP="00246B9B">
            <w:pPr>
              <w:spacing w:after="0" w:line="240" w:lineRule="auto"/>
              <w:rPr>
                <w:rFonts w:asciiTheme="majorHAnsi" w:hAnsiTheme="majorHAnsi"/>
                <w:sz w:val="16"/>
                <w:szCs w:val="16"/>
              </w:rPr>
            </w:pPr>
            <w:r w:rsidRPr="003D5D1B">
              <w:rPr>
                <w:rFonts w:asciiTheme="majorHAnsi" w:hAnsiTheme="majorHAnsi"/>
                <w:color w:val="000000"/>
                <w:sz w:val="16"/>
                <w:szCs w:val="16"/>
              </w:rPr>
              <w:t xml:space="preserve">14,584,789 </w:t>
            </w:r>
          </w:p>
        </w:tc>
      </w:tr>
      <w:tr w:rsidR="00E24EAD" w:rsidRPr="003D5D1B" w14:paraId="41E9278C" w14:textId="77777777" w:rsidTr="00CC3499">
        <w:trPr>
          <w:trHeight w:val="227"/>
        </w:trPr>
        <w:tc>
          <w:tcPr>
            <w:tcW w:w="2124" w:type="pct"/>
          </w:tcPr>
          <w:p w14:paraId="167372A5" w14:textId="77777777" w:rsidR="00E24EAD" w:rsidRPr="003D5D1B" w:rsidRDefault="00E24EAD" w:rsidP="00246B9B">
            <w:pPr>
              <w:spacing w:after="0" w:line="240" w:lineRule="auto"/>
              <w:rPr>
                <w:rFonts w:asciiTheme="majorHAnsi" w:hAnsiTheme="majorHAnsi"/>
                <w:sz w:val="16"/>
                <w:szCs w:val="16"/>
              </w:rPr>
            </w:pPr>
            <w:r w:rsidRPr="003D5D1B">
              <w:rPr>
                <w:rFonts w:asciiTheme="majorHAnsi" w:eastAsia="Times New Roman" w:hAnsiTheme="majorHAnsi" w:cs="Times New Roman"/>
                <w:color w:val="000000"/>
                <w:sz w:val="16"/>
                <w:szCs w:val="16"/>
                <w:lang w:eastAsia="en-AU"/>
              </w:rPr>
              <w:t>Hostels</w:t>
            </w:r>
          </w:p>
        </w:tc>
        <w:tc>
          <w:tcPr>
            <w:tcW w:w="1438" w:type="pct"/>
            <w:vAlign w:val="center"/>
          </w:tcPr>
          <w:p w14:paraId="6601D6F7" w14:textId="77777777" w:rsidR="00E24EAD" w:rsidRPr="003D5D1B" w:rsidRDefault="00E24EAD" w:rsidP="00246B9B">
            <w:pPr>
              <w:spacing w:after="0" w:line="240" w:lineRule="auto"/>
              <w:rPr>
                <w:rFonts w:asciiTheme="majorHAnsi" w:hAnsiTheme="majorHAnsi"/>
                <w:sz w:val="16"/>
                <w:szCs w:val="16"/>
              </w:rPr>
            </w:pPr>
            <w:r w:rsidRPr="003D5D1B">
              <w:rPr>
                <w:rFonts w:asciiTheme="majorHAnsi" w:hAnsiTheme="majorHAnsi"/>
                <w:color w:val="000000"/>
                <w:sz w:val="16"/>
                <w:szCs w:val="16"/>
              </w:rPr>
              <w:t xml:space="preserve">47,559 </w:t>
            </w:r>
          </w:p>
        </w:tc>
        <w:tc>
          <w:tcPr>
            <w:tcW w:w="1438" w:type="pct"/>
            <w:vAlign w:val="center"/>
          </w:tcPr>
          <w:p w14:paraId="6FA0B651" w14:textId="77777777" w:rsidR="00E24EAD" w:rsidRPr="003D5D1B" w:rsidRDefault="00E24EAD" w:rsidP="00246B9B">
            <w:pPr>
              <w:spacing w:after="0" w:line="240" w:lineRule="auto"/>
              <w:rPr>
                <w:rFonts w:asciiTheme="majorHAnsi" w:hAnsiTheme="majorHAnsi"/>
                <w:sz w:val="16"/>
                <w:szCs w:val="16"/>
              </w:rPr>
            </w:pPr>
            <w:r w:rsidRPr="003D5D1B">
              <w:rPr>
                <w:rFonts w:asciiTheme="majorHAnsi" w:hAnsiTheme="majorHAnsi"/>
                <w:color w:val="000000"/>
                <w:sz w:val="16"/>
                <w:szCs w:val="16"/>
              </w:rPr>
              <w:t xml:space="preserve">51,973 </w:t>
            </w:r>
          </w:p>
        </w:tc>
      </w:tr>
      <w:tr w:rsidR="00E24EAD" w:rsidRPr="003D5D1B" w14:paraId="326166EA" w14:textId="77777777" w:rsidTr="00CC3499">
        <w:trPr>
          <w:trHeight w:val="227"/>
        </w:trPr>
        <w:tc>
          <w:tcPr>
            <w:tcW w:w="2124" w:type="pct"/>
          </w:tcPr>
          <w:p w14:paraId="289F0DB6" w14:textId="77777777" w:rsidR="00E24EAD" w:rsidRPr="003D5D1B" w:rsidRDefault="00E24EAD" w:rsidP="00246B9B">
            <w:pPr>
              <w:spacing w:after="0" w:line="240" w:lineRule="auto"/>
              <w:rPr>
                <w:rFonts w:asciiTheme="majorHAnsi" w:hAnsiTheme="majorHAnsi"/>
                <w:sz w:val="16"/>
                <w:szCs w:val="16"/>
              </w:rPr>
            </w:pPr>
            <w:r w:rsidRPr="003D5D1B">
              <w:rPr>
                <w:rFonts w:asciiTheme="majorHAnsi" w:eastAsia="Times New Roman" w:hAnsiTheme="majorHAnsi" w:cs="Times New Roman"/>
                <w:color w:val="000000"/>
                <w:sz w:val="16"/>
                <w:szCs w:val="16"/>
                <w:lang w:eastAsia="en-AU"/>
              </w:rPr>
              <w:t>Student Dormitories</w:t>
            </w:r>
          </w:p>
        </w:tc>
        <w:tc>
          <w:tcPr>
            <w:tcW w:w="1438" w:type="pct"/>
            <w:vAlign w:val="center"/>
          </w:tcPr>
          <w:p w14:paraId="78DDCF83" w14:textId="77777777" w:rsidR="00E24EAD" w:rsidRPr="003D5D1B" w:rsidRDefault="00E24EAD" w:rsidP="00246B9B">
            <w:pPr>
              <w:spacing w:after="0" w:line="240" w:lineRule="auto"/>
              <w:rPr>
                <w:rFonts w:asciiTheme="majorHAnsi" w:hAnsiTheme="majorHAnsi"/>
                <w:sz w:val="16"/>
                <w:szCs w:val="16"/>
              </w:rPr>
            </w:pPr>
            <w:r w:rsidRPr="003D5D1B">
              <w:rPr>
                <w:rFonts w:asciiTheme="majorHAnsi" w:hAnsiTheme="majorHAnsi"/>
                <w:sz w:val="16"/>
                <w:szCs w:val="16"/>
              </w:rPr>
              <w:t xml:space="preserve"> 3,632 </w:t>
            </w:r>
          </w:p>
        </w:tc>
        <w:tc>
          <w:tcPr>
            <w:tcW w:w="1438" w:type="pct"/>
            <w:vAlign w:val="center"/>
          </w:tcPr>
          <w:p w14:paraId="706ED0F8" w14:textId="77777777" w:rsidR="00E24EAD" w:rsidRPr="003D5D1B" w:rsidRDefault="00E24EAD" w:rsidP="00246B9B">
            <w:pPr>
              <w:spacing w:after="0" w:line="240" w:lineRule="auto"/>
              <w:rPr>
                <w:rFonts w:asciiTheme="majorHAnsi" w:hAnsiTheme="majorHAnsi"/>
                <w:sz w:val="16"/>
                <w:szCs w:val="16"/>
              </w:rPr>
            </w:pPr>
            <w:r w:rsidRPr="003D5D1B">
              <w:rPr>
                <w:rFonts w:asciiTheme="majorHAnsi" w:hAnsiTheme="majorHAnsi"/>
                <w:sz w:val="16"/>
                <w:szCs w:val="16"/>
              </w:rPr>
              <w:t xml:space="preserve"> 4,429 </w:t>
            </w:r>
          </w:p>
        </w:tc>
      </w:tr>
      <w:tr w:rsidR="00E24EAD" w:rsidRPr="003D5D1B" w14:paraId="037916E4" w14:textId="77777777" w:rsidTr="00CC3499">
        <w:trPr>
          <w:trHeight w:val="227"/>
        </w:trPr>
        <w:tc>
          <w:tcPr>
            <w:tcW w:w="2124" w:type="pct"/>
          </w:tcPr>
          <w:p w14:paraId="5DB5E118" w14:textId="77777777" w:rsidR="00E24EAD" w:rsidRPr="003D5D1B" w:rsidRDefault="00E24EAD" w:rsidP="00246B9B">
            <w:pPr>
              <w:spacing w:after="0" w:line="240" w:lineRule="auto"/>
              <w:rPr>
                <w:rFonts w:asciiTheme="majorHAnsi" w:hAnsiTheme="majorHAnsi"/>
                <w:sz w:val="16"/>
                <w:szCs w:val="16"/>
              </w:rPr>
            </w:pPr>
            <w:r w:rsidRPr="003D5D1B">
              <w:rPr>
                <w:rFonts w:asciiTheme="majorHAnsi" w:eastAsia="Times New Roman" w:hAnsiTheme="majorHAnsi" w:cs="Times New Roman"/>
                <w:color w:val="000000"/>
                <w:sz w:val="16"/>
                <w:szCs w:val="16"/>
                <w:lang w:eastAsia="en-AU"/>
              </w:rPr>
              <w:t>Holiday Camps</w:t>
            </w:r>
          </w:p>
        </w:tc>
        <w:tc>
          <w:tcPr>
            <w:tcW w:w="1438" w:type="pct"/>
            <w:vAlign w:val="center"/>
          </w:tcPr>
          <w:p w14:paraId="25893781" w14:textId="77777777" w:rsidR="00E24EAD" w:rsidRPr="003D5D1B" w:rsidRDefault="00E24EAD" w:rsidP="00246B9B">
            <w:pPr>
              <w:spacing w:after="0" w:line="240" w:lineRule="auto"/>
              <w:rPr>
                <w:rFonts w:asciiTheme="majorHAnsi" w:hAnsiTheme="majorHAnsi"/>
                <w:sz w:val="16"/>
                <w:szCs w:val="16"/>
              </w:rPr>
            </w:pPr>
            <w:r>
              <w:rPr>
                <w:rFonts w:asciiTheme="majorHAnsi" w:hAnsiTheme="majorHAnsi"/>
                <w:color w:val="000000"/>
                <w:sz w:val="16"/>
                <w:szCs w:val="16"/>
              </w:rPr>
              <w:t>227,423</w:t>
            </w:r>
          </w:p>
        </w:tc>
        <w:tc>
          <w:tcPr>
            <w:tcW w:w="1438" w:type="pct"/>
            <w:vAlign w:val="center"/>
          </w:tcPr>
          <w:p w14:paraId="1C2304EA" w14:textId="77777777" w:rsidR="00E24EAD" w:rsidRPr="003D5D1B" w:rsidRDefault="00E24EAD" w:rsidP="00246B9B">
            <w:pPr>
              <w:spacing w:after="0" w:line="240" w:lineRule="auto"/>
              <w:rPr>
                <w:rFonts w:asciiTheme="majorHAnsi" w:hAnsiTheme="majorHAnsi"/>
                <w:sz w:val="16"/>
                <w:szCs w:val="16"/>
              </w:rPr>
            </w:pPr>
            <w:r>
              <w:rPr>
                <w:rFonts w:asciiTheme="majorHAnsi" w:hAnsiTheme="majorHAnsi"/>
                <w:color w:val="000000"/>
                <w:sz w:val="16"/>
                <w:szCs w:val="16"/>
              </w:rPr>
              <w:t>227,423</w:t>
            </w:r>
          </w:p>
        </w:tc>
      </w:tr>
      <w:tr w:rsidR="00E24EAD" w:rsidRPr="003D5D1B" w14:paraId="39A35BE0" w14:textId="77777777" w:rsidTr="00CC3499">
        <w:trPr>
          <w:trHeight w:val="227"/>
        </w:trPr>
        <w:tc>
          <w:tcPr>
            <w:tcW w:w="2124" w:type="pct"/>
          </w:tcPr>
          <w:p w14:paraId="576FD88E" w14:textId="77777777" w:rsidR="00E24EAD" w:rsidRPr="003D5D1B" w:rsidRDefault="00E24EAD" w:rsidP="00246B9B">
            <w:pPr>
              <w:spacing w:after="0" w:line="240" w:lineRule="auto"/>
              <w:rPr>
                <w:rFonts w:asciiTheme="majorHAnsi" w:hAnsiTheme="majorHAnsi"/>
                <w:sz w:val="16"/>
                <w:szCs w:val="16"/>
              </w:rPr>
            </w:pPr>
            <w:r w:rsidRPr="003D5D1B">
              <w:rPr>
                <w:rFonts w:asciiTheme="majorHAnsi" w:eastAsia="Times New Roman" w:hAnsiTheme="majorHAnsi" w:cs="Times New Roman"/>
                <w:color w:val="000000"/>
                <w:sz w:val="16"/>
                <w:szCs w:val="16"/>
                <w:lang w:eastAsia="en-AU"/>
              </w:rPr>
              <w:t>Rooming Houses</w:t>
            </w:r>
          </w:p>
        </w:tc>
        <w:tc>
          <w:tcPr>
            <w:tcW w:w="1438" w:type="pct"/>
            <w:vAlign w:val="center"/>
          </w:tcPr>
          <w:p w14:paraId="78D3B479" w14:textId="77777777" w:rsidR="00E24EAD" w:rsidRPr="003D5D1B" w:rsidRDefault="00E24EAD" w:rsidP="00246B9B">
            <w:pPr>
              <w:spacing w:after="0" w:line="240" w:lineRule="auto"/>
              <w:rPr>
                <w:rFonts w:asciiTheme="majorHAnsi" w:hAnsiTheme="majorHAnsi"/>
                <w:sz w:val="16"/>
                <w:szCs w:val="16"/>
              </w:rPr>
            </w:pPr>
            <w:r w:rsidRPr="003D5D1B">
              <w:rPr>
                <w:rFonts w:asciiTheme="majorHAnsi" w:hAnsiTheme="majorHAnsi"/>
                <w:color w:val="000000"/>
                <w:sz w:val="16"/>
                <w:szCs w:val="16"/>
              </w:rPr>
              <w:t xml:space="preserve">12,346 </w:t>
            </w:r>
          </w:p>
        </w:tc>
        <w:tc>
          <w:tcPr>
            <w:tcW w:w="1438" w:type="pct"/>
            <w:vAlign w:val="center"/>
          </w:tcPr>
          <w:p w14:paraId="6CBF6D95" w14:textId="77777777" w:rsidR="00E24EAD" w:rsidRPr="003D5D1B" w:rsidRDefault="00E24EAD" w:rsidP="00246B9B">
            <w:pPr>
              <w:spacing w:after="0" w:line="240" w:lineRule="auto"/>
              <w:rPr>
                <w:rFonts w:asciiTheme="majorHAnsi" w:hAnsiTheme="majorHAnsi"/>
                <w:sz w:val="16"/>
                <w:szCs w:val="16"/>
              </w:rPr>
            </w:pPr>
            <w:r w:rsidRPr="003D5D1B">
              <w:rPr>
                <w:rFonts w:asciiTheme="majorHAnsi" w:hAnsiTheme="majorHAnsi"/>
                <w:color w:val="000000"/>
                <w:sz w:val="16"/>
                <w:szCs w:val="16"/>
              </w:rPr>
              <w:t xml:space="preserve">16,090 </w:t>
            </w:r>
          </w:p>
        </w:tc>
      </w:tr>
    </w:tbl>
    <w:p w14:paraId="634659DC" w14:textId="2523D782" w:rsidR="00FB48D2" w:rsidRPr="003D5D1B" w:rsidRDefault="00FB48D2" w:rsidP="000A471E">
      <w:pPr>
        <w:pStyle w:val="Heading3"/>
      </w:pPr>
      <w:r w:rsidRPr="003D5D1B">
        <w:lastRenderedPageBreak/>
        <w:t>Cost of time - Councils</w:t>
      </w:r>
    </w:p>
    <w:p w14:paraId="1CF24A0E" w14:textId="020B2597" w:rsidR="00FB48D2" w:rsidRDefault="00FB48D2" w:rsidP="00FB48D2">
      <w:r w:rsidRPr="003D5D1B">
        <w:t>The cost of time is estimated using enterprise bargaining agreements from three of the five Victorian Councils with the highest number of prescribed accommodation facilities.</w:t>
      </w:r>
      <w:r w:rsidRPr="00BC3000">
        <w:rPr>
          <w:rStyle w:val="FootnoteReference"/>
        </w:rPr>
        <w:footnoteReference w:id="70"/>
      </w:r>
      <w:r w:rsidRPr="00BC3000">
        <w:t xml:space="preserve"> Average hourly Council wages are </w:t>
      </w:r>
      <w:r w:rsidRPr="003D5D1B">
        <w:t>$48.87</w:t>
      </w:r>
      <w:r w:rsidRPr="00BC3000">
        <w:t xml:space="preserve"> and a </w:t>
      </w:r>
      <w:r w:rsidRPr="003D5D1B">
        <w:t>75%</w:t>
      </w:r>
      <w:r w:rsidRPr="00BC3000">
        <w:t xml:space="preserve"> loading</w:t>
      </w:r>
      <w:r w:rsidRPr="00BC3000">
        <w:rPr>
          <w:rStyle w:val="FootnoteReference"/>
        </w:rPr>
        <w:footnoteReference w:id="71"/>
      </w:r>
      <w:r w:rsidRPr="00BC3000">
        <w:t xml:space="preserve"> is used </w:t>
      </w:r>
      <w:r w:rsidRPr="003D5D1B">
        <w:t>to calculate the total wage rate of $85.53</w:t>
      </w:r>
      <w:r w:rsidRPr="00BC3000">
        <w:t xml:space="preserve"> per hour.</w:t>
      </w:r>
      <w:r w:rsidR="00C17D7A">
        <w:t xml:space="preserve"> </w:t>
      </w:r>
    </w:p>
    <w:p w14:paraId="2455CC9E" w14:textId="77777777" w:rsidR="00C95E1C" w:rsidRPr="003D5D1B" w:rsidRDefault="00C95E1C" w:rsidP="00C95E1C">
      <w:pPr>
        <w:pStyle w:val="Heading3"/>
      </w:pPr>
      <w:r w:rsidRPr="003D5D1B">
        <w:t>Cost of time – proprietors</w:t>
      </w:r>
    </w:p>
    <w:p w14:paraId="0A978DA8" w14:textId="1490906A" w:rsidR="00C95E1C" w:rsidRPr="00BC3000" w:rsidRDefault="00C95E1C" w:rsidP="00C95E1C">
      <w:r w:rsidRPr="003D5D1B">
        <w:t>The cost of the proprietor’s time is estimated using the average wage of a Victorian which in 2018$ was $33.66 per hour.</w:t>
      </w:r>
      <w:r w:rsidRPr="00BC3000">
        <w:rPr>
          <w:rStyle w:val="FootnoteReference"/>
        </w:rPr>
        <w:footnoteReference w:id="72"/>
      </w:r>
      <w:r w:rsidRPr="00BC3000">
        <w:t xml:space="preserve"> </w:t>
      </w:r>
      <w:r w:rsidRPr="003D5D1B">
        <w:t>This is inflated to 20</w:t>
      </w:r>
      <w:r>
        <w:t>20-</w:t>
      </w:r>
      <w:r w:rsidRPr="003D5D1B">
        <w:t>21 dollars using the Victorian Wage Price Index ($3</w:t>
      </w:r>
      <w:r>
        <w:t>5</w:t>
      </w:r>
      <w:r w:rsidRPr="003D5D1B">
        <w:t>.</w:t>
      </w:r>
      <w:r>
        <w:t>79</w:t>
      </w:r>
      <w:r w:rsidRPr="003D5D1B">
        <w:t xml:space="preserve"> per hour)</w:t>
      </w:r>
      <w:r w:rsidRPr="00BC3000">
        <w:rPr>
          <w:rStyle w:val="FootnoteReference"/>
        </w:rPr>
        <w:footnoteReference w:id="73"/>
      </w:r>
      <w:r>
        <w:t xml:space="preserve"> and a 75% loading is used to determine a total wage of $62.64. In the absence of information about </w:t>
      </w:r>
      <w:r w:rsidR="00844999">
        <w:t xml:space="preserve">on-costs for </w:t>
      </w:r>
      <w:r>
        <w:t>proprietors</w:t>
      </w:r>
      <w:r w:rsidR="00844999">
        <w:t>,</w:t>
      </w:r>
      <w:r>
        <w:t xml:space="preserve"> </w:t>
      </w:r>
      <w:r w:rsidR="00844999">
        <w:t>it is assumed that these are the same as for Councils</w:t>
      </w:r>
      <w:r>
        <w:t>, however this is considered likely to be a high estimate.</w:t>
      </w:r>
    </w:p>
    <w:p w14:paraId="160FBB9A" w14:textId="77777777" w:rsidR="00FB48D2" w:rsidRPr="003D5D1B" w:rsidRDefault="00FB48D2" w:rsidP="000A471E">
      <w:pPr>
        <w:pStyle w:val="Heading3"/>
      </w:pPr>
      <w:r w:rsidRPr="003D5D1B">
        <w:t xml:space="preserve">Enforcement activity </w:t>
      </w:r>
    </w:p>
    <w:p w14:paraId="749CC57B" w14:textId="28F9C204" w:rsidR="00FB48D2" w:rsidRPr="003D5D1B" w:rsidRDefault="00BC6DC7" w:rsidP="00FB48D2">
      <w:r>
        <w:t>37 Councils responded to a</w:t>
      </w:r>
      <w:r w:rsidR="00FB48D2" w:rsidRPr="003D5D1B">
        <w:t xml:space="preserve"> 2018 survey </w:t>
      </w:r>
      <w:r w:rsidR="00AD3F83">
        <w:t>by DHHS</w:t>
      </w:r>
      <w:r w:rsidR="00FD5603">
        <w:t>; these Councils reported that they had issued</w:t>
      </w:r>
      <w:r w:rsidR="00FB48D2" w:rsidRPr="003D5D1B">
        <w:t xml:space="preserve"> </w:t>
      </w:r>
      <w:r w:rsidR="00DD2449">
        <w:t xml:space="preserve">a total of </w:t>
      </w:r>
      <w:r w:rsidR="00FB48D2" w:rsidRPr="003D5D1B">
        <w:t xml:space="preserve">72 prohibition notices in 2018. </w:t>
      </w:r>
      <w:r w:rsidR="0014302B">
        <w:t>T</w:t>
      </w:r>
      <w:r w:rsidR="001F12B1">
        <w:t>he Councils also reported that</w:t>
      </w:r>
      <w:r w:rsidR="00FB48D2" w:rsidRPr="003D5D1B">
        <w:t xml:space="preserve"> 3</w:t>
      </w:r>
      <w:r w:rsidR="00FB48D2" w:rsidRPr="00BC3000">
        <w:t xml:space="preserve"> prosecution notices were issued across </w:t>
      </w:r>
      <w:r w:rsidR="001F12B1">
        <w:t xml:space="preserve">the </w:t>
      </w:r>
      <w:r w:rsidR="00FB48D2" w:rsidRPr="003D5D1B">
        <w:t>37</w:t>
      </w:r>
      <w:r w:rsidR="00FB48D2" w:rsidRPr="00BC3000">
        <w:t xml:space="preserve"> Councils in </w:t>
      </w:r>
      <w:r w:rsidR="001F12B1">
        <w:t>the same year</w:t>
      </w:r>
      <w:r w:rsidR="00FB48D2" w:rsidRPr="003D5D1B">
        <w:t>.</w:t>
      </w:r>
      <w:r w:rsidR="00FB48D2" w:rsidRPr="003D5D1B">
        <w:rPr>
          <w:rStyle w:val="FootnoteReference"/>
        </w:rPr>
        <w:t xml:space="preserve"> </w:t>
      </w:r>
      <w:r w:rsidR="00FB48D2" w:rsidRPr="00BC3000">
        <w:rPr>
          <w:rStyle w:val="FootnoteReference"/>
        </w:rPr>
        <w:footnoteReference w:id="74"/>
      </w:r>
      <w:r w:rsidR="00FB48D2" w:rsidRPr="00BC3000">
        <w:t xml:space="preserve"> </w:t>
      </w:r>
      <w:r w:rsidR="00FB48D2" w:rsidRPr="003D5D1B">
        <w:t>Extrapolating the ratio of prohibition notices per unit of prescribed accommodation for each Council that responded to the survey, across all Councils, it is estimated that 154</w:t>
      </w:r>
      <w:r w:rsidR="00FB48D2" w:rsidRPr="00BC3000">
        <w:t xml:space="preserve"> prohibition notices were issued in 2018 and </w:t>
      </w:r>
      <w:r w:rsidR="00FB48D2" w:rsidRPr="003D5D1B">
        <w:t>165</w:t>
      </w:r>
      <w:r w:rsidR="00FB48D2" w:rsidRPr="00BC3000">
        <w:t xml:space="preserve"> are issued in 2021.</w:t>
      </w:r>
      <w:r w:rsidR="00FB48D2" w:rsidRPr="003D5D1B">
        <w:t xml:space="preserve"> Similarly, extrapolating the ratio of prosecutions per unit of prescribed accommodation, </w:t>
      </w:r>
      <w:r w:rsidR="008A6065">
        <w:t xml:space="preserve">it is </w:t>
      </w:r>
      <w:r w:rsidR="00FB48D2" w:rsidRPr="003D5D1B">
        <w:t>estimate</w:t>
      </w:r>
      <w:r w:rsidR="008A6065">
        <w:t>d</w:t>
      </w:r>
      <w:r w:rsidR="00FB48D2" w:rsidRPr="003D5D1B">
        <w:t xml:space="preserve"> that there were 6.5</w:t>
      </w:r>
      <w:r w:rsidR="00FB48D2" w:rsidRPr="00BC3000">
        <w:t xml:space="preserve"> prosecutions in 2018, </w:t>
      </w:r>
      <w:r w:rsidR="00FB48D2" w:rsidRPr="003D5D1B">
        <w:t>7</w:t>
      </w:r>
      <w:r w:rsidR="00FB48D2" w:rsidRPr="00BC3000">
        <w:t xml:space="preserve"> in 2021 and a total of </w:t>
      </w:r>
      <w:r w:rsidR="00FB48D2" w:rsidRPr="003D5D1B">
        <w:t>77</w:t>
      </w:r>
      <w:r w:rsidR="00FB48D2" w:rsidRPr="00BC3000">
        <w:t xml:space="preserve"> over the </w:t>
      </w:r>
      <w:r w:rsidR="00FB48D2" w:rsidRPr="003D5D1B">
        <w:t>life of the Regulations.</w:t>
      </w:r>
      <w:r w:rsidR="008A6065">
        <w:rPr>
          <w:rStyle w:val="FootnoteReference"/>
        </w:rPr>
        <w:footnoteReference w:id="75"/>
      </w:r>
    </w:p>
    <w:p w14:paraId="3D50E4EA" w14:textId="29ABDA77" w:rsidR="00FB48D2" w:rsidRPr="003D5D1B" w:rsidRDefault="00FB48D2" w:rsidP="00FB48D2">
      <w:pPr>
        <w:pStyle w:val="Caption"/>
      </w:pPr>
      <w:r w:rsidRPr="003D5D1B">
        <w:t xml:space="preserve">Table </w:t>
      </w:r>
      <w:r w:rsidR="004335F8">
        <w:fldChar w:fldCharType="begin"/>
      </w:r>
      <w:r w:rsidR="004335F8">
        <w:instrText xml:space="preserve"> STYLEREF 1 \s </w:instrText>
      </w:r>
      <w:r w:rsidR="004335F8">
        <w:fldChar w:fldCharType="separate"/>
      </w:r>
      <w:r w:rsidR="00795309">
        <w:rPr>
          <w:noProof/>
        </w:rPr>
        <w:t>4</w:t>
      </w:r>
      <w:r w:rsidR="004335F8">
        <w:fldChar w:fldCharType="end"/>
      </w:r>
      <w:r w:rsidR="004335F8">
        <w:noBreakHyphen/>
      </w:r>
      <w:r w:rsidR="004335F8">
        <w:fldChar w:fldCharType="begin"/>
      </w:r>
      <w:r w:rsidR="004335F8">
        <w:instrText xml:space="preserve"> SEQ Table \* ARABIC \s 1 </w:instrText>
      </w:r>
      <w:r w:rsidR="004335F8">
        <w:fldChar w:fldCharType="separate"/>
      </w:r>
      <w:r w:rsidR="00795309">
        <w:rPr>
          <w:noProof/>
        </w:rPr>
        <w:t>6</w:t>
      </w:r>
      <w:r w:rsidR="004335F8">
        <w:fldChar w:fldCharType="end"/>
      </w:r>
      <w:r w:rsidRPr="00BC3000">
        <w:t xml:space="preserve"> Estimated amount of enforcement activity</w:t>
      </w:r>
    </w:p>
    <w:tbl>
      <w:tblPr>
        <w:tblStyle w:val="Deloittetable1"/>
        <w:tblW w:w="5000" w:type="pct"/>
        <w:tblLook w:val="04A0" w:firstRow="1" w:lastRow="0" w:firstColumn="1" w:lastColumn="0" w:noHBand="0" w:noVBand="1"/>
      </w:tblPr>
      <w:tblGrid>
        <w:gridCol w:w="2468"/>
        <w:gridCol w:w="1784"/>
        <w:gridCol w:w="1720"/>
        <w:gridCol w:w="1695"/>
        <w:gridCol w:w="1359"/>
      </w:tblGrid>
      <w:tr w:rsidR="00FB48D2" w:rsidRPr="003D5D1B" w14:paraId="00CB80B8" w14:textId="77777777" w:rsidTr="00246B9B">
        <w:trPr>
          <w:cnfStyle w:val="100000000000" w:firstRow="1" w:lastRow="0" w:firstColumn="0" w:lastColumn="0" w:oddVBand="0" w:evenVBand="0" w:oddHBand="0" w:evenHBand="0" w:firstRowFirstColumn="0" w:firstRowLastColumn="0" w:lastRowFirstColumn="0" w:lastRowLastColumn="0"/>
          <w:trHeight w:val="188"/>
        </w:trPr>
        <w:tc>
          <w:tcPr>
            <w:tcW w:w="1367" w:type="pct"/>
            <w:noWrap/>
            <w:hideMark/>
          </w:tcPr>
          <w:p w14:paraId="636AA7C4" w14:textId="77777777" w:rsidR="00FB48D2" w:rsidRPr="003D5D1B" w:rsidRDefault="00FB48D2" w:rsidP="00246B9B">
            <w:pPr>
              <w:spacing w:after="0" w:line="240" w:lineRule="auto"/>
              <w:rPr>
                <w:rFonts w:asciiTheme="majorHAnsi" w:eastAsia="Times New Roman" w:hAnsiTheme="majorHAnsi" w:cs="Times New Roman"/>
                <w:b/>
                <w:bCs/>
                <w:color w:val="000000"/>
                <w:sz w:val="16"/>
                <w:szCs w:val="16"/>
                <w:lang w:eastAsia="en-AU"/>
              </w:rPr>
            </w:pPr>
            <w:r w:rsidRPr="003D5D1B">
              <w:rPr>
                <w:rFonts w:asciiTheme="majorHAnsi" w:eastAsia="Times New Roman" w:hAnsiTheme="majorHAnsi" w:cs="Times New Roman"/>
                <w:b/>
                <w:bCs/>
                <w:color w:val="000000"/>
                <w:sz w:val="16"/>
                <w:szCs w:val="16"/>
                <w:lang w:eastAsia="en-AU"/>
              </w:rPr>
              <w:t>Option 1</w:t>
            </w:r>
          </w:p>
        </w:tc>
        <w:tc>
          <w:tcPr>
            <w:tcW w:w="988" w:type="pct"/>
            <w:noWrap/>
            <w:vAlign w:val="center"/>
            <w:hideMark/>
          </w:tcPr>
          <w:p w14:paraId="0DB30457" w14:textId="77777777" w:rsidR="00FB48D2" w:rsidRPr="003D5D1B" w:rsidRDefault="00FB48D2" w:rsidP="00246B9B">
            <w:pPr>
              <w:spacing w:after="0" w:line="240" w:lineRule="auto"/>
              <w:rPr>
                <w:rFonts w:asciiTheme="majorHAnsi" w:eastAsia="Times New Roman" w:hAnsiTheme="majorHAnsi" w:cs="Times New Roman"/>
                <w:b/>
                <w:bCs/>
                <w:color w:val="000000"/>
                <w:sz w:val="16"/>
                <w:szCs w:val="16"/>
                <w:lang w:eastAsia="en-AU"/>
              </w:rPr>
            </w:pPr>
            <w:r w:rsidRPr="003D5D1B">
              <w:rPr>
                <w:rFonts w:asciiTheme="majorHAnsi" w:eastAsia="Times New Roman" w:hAnsiTheme="majorHAnsi" w:cs="Times New Roman"/>
                <w:b/>
                <w:bCs/>
                <w:color w:val="000000"/>
                <w:sz w:val="16"/>
                <w:szCs w:val="16"/>
                <w:lang w:eastAsia="en-AU"/>
              </w:rPr>
              <w:t>2018 (e)</w:t>
            </w:r>
          </w:p>
        </w:tc>
        <w:tc>
          <w:tcPr>
            <w:tcW w:w="953" w:type="pct"/>
            <w:noWrap/>
            <w:vAlign w:val="center"/>
            <w:hideMark/>
          </w:tcPr>
          <w:p w14:paraId="27BA33EE" w14:textId="77777777" w:rsidR="00FB48D2" w:rsidRPr="003D5D1B" w:rsidRDefault="00FB48D2" w:rsidP="00246B9B">
            <w:pPr>
              <w:spacing w:after="0" w:line="240" w:lineRule="auto"/>
              <w:rPr>
                <w:rFonts w:asciiTheme="majorHAnsi" w:eastAsia="Times New Roman" w:hAnsiTheme="majorHAnsi" w:cs="Times New Roman"/>
                <w:b/>
                <w:bCs/>
                <w:color w:val="000000"/>
                <w:sz w:val="16"/>
                <w:szCs w:val="16"/>
                <w:lang w:eastAsia="en-AU"/>
              </w:rPr>
            </w:pPr>
            <w:r w:rsidRPr="003D5D1B">
              <w:rPr>
                <w:rFonts w:asciiTheme="majorHAnsi" w:eastAsia="Times New Roman" w:hAnsiTheme="majorHAnsi" w:cs="Times New Roman"/>
                <w:b/>
                <w:bCs/>
                <w:color w:val="000000"/>
                <w:sz w:val="16"/>
                <w:szCs w:val="16"/>
                <w:lang w:eastAsia="en-AU"/>
              </w:rPr>
              <w:t>2021 (f)</w:t>
            </w:r>
          </w:p>
        </w:tc>
        <w:tc>
          <w:tcPr>
            <w:tcW w:w="939" w:type="pct"/>
            <w:noWrap/>
            <w:vAlign w:val="center"/>
            <w:hideMark/>
          </w:tcPr>
          <w:p w14:paraId="2D66FF63" w14:textId="77777777" w:rsidR="00FB48D2" w:rsidRPr="003D5D1B" w:rsidRDefault="00FB48D2" w:rsidP="00246B9B">
            <w:pPr>
              <w:spacing w:after="0" w:line="240" w:lineRule="auto"/>
              <w:rPr>
                <w:rFonts w:asciiTheme="majorHAnsi" w:eastAsia="Times New Roman" w:hAnsiTheme="majorHAnsi" w:cs="Times New Roman"/>
                <w:b/>
                <w:bCs/>
                <w:color w:val="000000"/>
                <w:sz w:val="16"/>
                <w:szCs w:val="16"/>
                <w:lang w:eastAsia="en-AU"/>
              </w:rPr>
            </w:pPr>
            <w:r w:rsidRPr="003D5D1B">
              <w:rPr>
                <w:rFonts w:asciiTheme="majorHAnsi" w:eastAsia="Times New Roman" w:hAnsiTheme="majorHAnsi" w:cs="Times New Roman"/>
                <w:b/>
                <w:bCs/>
                <w:color w:val="000000"/>
                <w:sz w:val="16"/>
                <w:szCs w:val="16"/>
                <w:lang w:eastAsia="en-AU"/>
              </w:rPr>
              <w:t>2030 (f)</w:t>
            </w:r>
          </w:p>
        </w:tc>
        <w:tc>
          <w:tcPr>
            <w:tcW w:w="753" w:type="pct"/>
            <w:vAlign w:val="center"/>
          </w:tcPr>
          <w:p w14:paraId="63604F35" w14:textId="77777777" w:rsidR="00FB48D2" w:rsidRPr="003D5D1B" w:rsidRDefault="00FB48D2" w:rsidP="00246B9B">
            <w:pPr>
              <w:spacing w:after="0" w:line="240" w:lineRule="auto"/>
              <w:rPr>
                <w:rFonts w:asciiTheme="majorHAnsi" w:hAnsiTheme="majorHAnsi"/>
                <w:b/>
                <w:bCs/>
                <w:color w:val="000000"/>
                <w:sz w:val="16"/>
                <w:szCs w:val="16"/>
              </w:rPr>
            </w:pPr>
            <w:r w:rsidRPr="003D5D1B">
              <w:rPr>
                <w:rFonts w:asciiTheme="majorHAnsi" w:hAnsiTheme="majorHAnsi"/>
                <w:b/>
                <w:bCs/>
                <w:color w:val="000000"/>
                <w:sz w:val="16"/>
                <w:szCs w:val="16"/>
              </w:rPr>
              <w:t>Total 2021-2030</w:t>
            </w:r>
          </w:p>
        </w:tc>
      </w:tr>
      <w:tr w:rsidR="00FB48D2" w:rsidRPr="003D5D1B" w14:paraId="7DD96A10" w14:textId="77777777" w:rsidTr="00246B9B">
        <w:trPr>
          <w:trHeight w:val="188"/>
        </w:trPr>
        <w:tc>
          <w:tcPr>
            <w:tcW w:w="1367" w:type="pct"/>
            <w:noWrap/>
            <w:hideMark/>
          </w:tcPr>
          <w:p w14:paraId="1A15CBDE" w14:textId="77777777" w:rsidR="00FB48D2" w:rsidRPr="003D5D1B" w:rsidRDefault="00FB48D2" w:rsidP="00246B9B">
            <w:pPr>
              <w:spacing w:after="0" w:line="240" w:lineRule="auto"/>
              <w:rPr>
                <w:rFonts w:asciiTheme="majorHAnsi" w:eastAsia="Times New Roman" w:hAnsiTheme="majorHAnsi" w:cs="Times New Roman"/>
                <w:color w:val="000000"/>
                <w:sz w:val="16"/>
                <w:szCs w:val="16"/>
                <w:lang w:eastAsia="en-AU"/>
              </w:rPr>
            </w:pPr>
            <w:r w:rsidRPr="003D5D1B">
              <w:rPr>
                <w:rFonts w:asciiTheme="majorHAnsi" w:eastAsia="Times New Roman" w:hAnsiTheme="majorHAnsi" w:cs="Times New Roman"/>
                <w:color w:val="000000"/>
                <w:sz w:val="16"/>
                <w:szCs w:val="16"/>
                <w:lang w:eastAsia="en-AU"/>
              </w:rPr>
              <w:t>Complaints</w:t>
            </w:r>
          </w:p>
        </w:tc>
        <w:tc>
          <w:tcPr>
            <w:tcW w:w="988" w:type="pct"/>
            <w:noWrap/>
            <w:vAlign w:val="center"/>
            <w:hideMark/>
          </w:tcPr>
          <w:p w14:paraId="513ABFE4" w14:textId="77777777" w:rsidR="00FB48D2" w:rsidRPr="003D5D1B" w:rsidRDefault="00FB48D2" w:rsidP="00246B9B">
            <w:pPr>
              <w:spacing w:after="0" w:line="240" w:lineRule="auto"/>
              <w:rPr>
                <w:rFonts w:asciiTheme="majorHAnsi" w:eastAsia="Times New Roman" w:hAnsiTheme="majorHAnsi" w:cs="Times New Roman"/>
                <w:color w:val="000000"/>
                <w:sz w:val="16"/>
                <w:szCs w:val="16"/>
                <w:lang w:eastAsia="en-AU"/>
              </w:rPr>
            </w:pPr>
            <w:r w:rsidRPr="003D5D1B">
              <w:rPr>
                <w:rFonts w:asciiTheme="majorHAnsi" w:eastAsia="Times New Roman" w:hAnsiTheme="majorHAnsi" w:cs="Times New Roman"/>
                <w:color w:val="000000"/>
                <w:sz w:val="16"/>
                <w:szCs w:val="16"/>
                <w:lang w:eastAsia="en-AU"/>
              </w:rPr>
              <w:t xml:space="preserve">1,346.18 </w:t>
            </w:r>
          </w:p>
        </w:tc>
        <w:tc>
          <w:tcPr>
            <w:tcW w:w="953" w:type="pct"/>
            <w:noWrap/>
            <w:vAlign w:val="center"/>
            <w:hideMark/>
          </w:tcPr>
          <w:p w14:paraId="55E074AB" w14:textId="77777777" w:rsidR="00FB48D2" w:rsidRPr="003D5D1B" w:rsidRDefault="00FB48D2" w:rsidP="00246B9B">
            <w:pPr>
              <w:spacing w:after="0" w:line="240" w:lineRule="auto"/>
              <w:rPr>
                <w:rFonts w:asciiTheme="majorHAnsi" w:eastAsia="Times New Roman" w:hAnsiTheme="majorHAnsi" w:cs="Times New Roman"/>
                <w:color w:val="000000"/>
                <w:sz w:val="16"/>
                <w:szCs w:val="16"/>
                <w:lang w:eastAsia="en-AU"/>
              </w:rPr>
            </w:pPr>
            <w:r w:rsidRPr="003D5D1B">
              <w:rPr>
                <w:rFonts w:asciiTheme="majorHAnsi" w:eastAsia="Times New Roman" w:hAnsiTheme="majorHAnsi" w:cs="Times New Roman"/>
                <w:color w:val="000000"/>
                <w:sz w:val="16"/>
                <w:szCs w:val="16"/>
                <w:lang w:eastAsia="en-AU"/>
              </w:rPr>
              <w:t xml:space="preserve">1,437.03 </w:t>
            </w:r>
          </w:p>
        </w:tc>
        <w:tc>
          <w:tcPr>
            <w:tcW w:w="939" w:type="pct"/>
            <w:noWrap/>
            <w:vAlign w:val="center"/>
            <w:hideMark/>
          </w:tcPr>
          <w:p w14:paraId="1EE89665" w14:textId="77777777" w:rsidR="00FB48D2" w:rsidRPr="003D5D1B" w:rsidRDefault="00FB48D2" w:rsidP="00246B9B">
            <w:pPr>
              <w:spacing w:after="0" w:line="240" w:lineRule="auto"/>
              <w:rPr>
                <w:rFonts w:asciiTheme="majorHAnsi" w:eastAsia="Times New Roman" w:hAnsiTheme="majorHAnsi" w:cs="Times New Roman"/>
                <w:color w:val="000000"/>
                <w:sz w:val="16"/>
                <w:szCs w:val="16"/>
                <w:lang w:eastAsia="en-AU"/>
              </w:rPr>
            </w:pPr>
            <w:r w:rsidRPr="003D5D1B">
              <w:rPr>
                <w:rFonts w:asciiTheme="majorHAnsi" w:eastAsia="Times New Roman" w:hAnsiTheme="majorHAnsi" w:cs="Times New Roman"/>
                <w:color w:val="000000"/>
                <w:sz w:val="16"/>
                <w:szCs w:val="16"/>
                <w:lang w:eastAsia="en-AU"/>
              </w:rPr>
              <w:t xml:space="preserve">1,753.54 </w:t>
            </w:r>
          </w:p>
        </w:tc>
        <w:tc>
          <w:tcPr>
            <w:tcW w:w="753" w:type="pct"/>
          </w:tcPr>
          <w:p w14:paraId="5BDE6519" w14:textId="77777777" w:rsidR="00FB48D2" w:rsidRPr="003D5D1B" w:rsidRDefault="00FB48D2" w:rsidP="00246B9B">
            <w:pPr>
              <w:spacing w:after="0" w:line="240" w:lineRule="auto"/>
            </w:pPr>
            <w:r w:rsidRPr="003D5D1B">
              <w:t xml:space="preserve"> 15,901 </w:t>
            </w:r>
          </w:p>
        </w:tc>
      </w:tr>
      <w:tr w:rsidR="00FB48D2" w:rsidRPr="003D5D1B" w14:paraId="421DD9EC" w14:textId="77777777" w:rsidTr="00246B9B">
        <w:trPr>
          <w:trHeight w:val="188"/>
        </w:trPr>
        <w:tc>
          <w:tcPr>
            <w:tcW w:w="1367" w:type="pct"/>
            <w:noWrap/>
            <w:hideMark/>
          </w:tcPr>
          <w:p w14:paraId="18C6DCEE" w14:textId="77777777" w:rsidR="00FB48D2" w:rsidRPr="003D5D1B" w:rsidRDefault="00FB48D2" w:rsidP="00246B9B">
            <w:pPr>
              <w:spacing w:after="0" w:line="240" w:lineRule="auto"/>
              <w:rPr>
                <w:rFonts w:asciiTheme="majorHAnsi" w:eastAsia="Times New Roman" w:hAnsiTheme="majorHAnsi" w:cs="Times New Roman"/>
                <w:color w:val="000000"/>
                <w:sz w:val="16"/>
                <w:szCs w:val="16"/>
                <w:lang w:eastAsia="en-AU"/>
              </w:rPr>
            </w:pPr>
            <w:r w:rsidRPr="003D5D1B">
              <w:rPr>
                <w:rFonts w:asciiTheme="majorHAnsi" w:eastAsia="Times New Roman" w:hAnsiTheme="majorHAnsi" w:cs="Times New Roman"/>
                <w:color w:val="000000"/>
                <w:sz w:val="16"/>
                <w:szCs w:val="16"/>
                <w:lang w:eastAsia="en-AU"/>
              </w:rPr>
              <w:t>Informal advice</w:t>
            </w:r>
          </w:p>
        </w:tc>
        <w:tc>
          <w:tcPr>
            <w:tcW w:w="988" w:type="pct"/>
            <w:noWrap/>
            <w:vAlign w:val="center"/>
            <w:hideMark/>
          </w:tcPr>
          <w:p w14:paraId="20164658" w14:textId="77777777" w:rsidR="00FB48D2" w:rsidRPr="003D5D1B" w:rsidRDefault="00FB48D2" w:rsidP="00246B9B">
            <w:pPr>
              <w:spacing w:after="0" w:line="240" w:lineRule="auto"/>
              <w:rPr>
                <w:rFonts w:asciiTheme="majorHAnsi" w:eastAsia="Times New Roman" w:hAnsiTheme="majorHAnsi" w:cs="Times New Roman"/>
                <w:color w:val="000000"/>
                <w:sz w:val="16"/>
                <w:szCs w:val="16"/>
                <w:lang w:eastAsia="en-AU"/>
              </w:rPr>
            </w:pPr>
            <w:r w:rsidRPr="003D5D1B">
              <w:rPr>
                <w:rFonts w:asciiTheme="majorHAnsi" w:eastAsia="Times New Roman" w:hAnsiTheme="majorHAnsi" w:cs="Times New Roman"/>
                <w:color w:val="000000"/>
                <w:sz w:val="16"/>
                <w:szCs w:val="16"/>
                <w:lang w:eastAsia="en-AU"/>
              </w:rPr>
              <w:t xml:space="preserve">1,255.75 </w:t>
            </w:r>
          </w:p>
        </w:tc>
        <w:tc>
          <w:tcPr>
            <w:tcW w:w="953" w:type="pct"/>
            <w:noWrap/>
            <w:vAlign w:val="center"/>
            <w:hideMark/>
          </w:tcPr>
          <w:p w14:paraId="11955412" w14:textId="77777777" w:rsidR="00FB48D2" w:rsidRPr="003D5D1B" w:rsidRDefault="00FB48D2" w:rsidP="00246B9B">
            <w:pPr>
              <w:spacing w:after="0" w:line="240" w:lineRule="auto"/>
              <w:rPr>
                <w:rFonts w:asciiTheme="majorHAnsi" w:eastAsia="Times New Roman" w:hAnsiTheme="majorHAnsi" w:cs="Times New Roman"/>
                <w:color w:val="000000"/>
                <w:sz w:val="16"/>
                <w:szCs w:val="16"/>
                <w:lang w:eastAsia="en-AU"/>
              </w:rPr>
            </w:pPr>
            <w:r w:rsidRPr="003D5D1B">
              <w:rPr>
                <w:rFonts w:asciiTheme="majorHAnsi" w:eastAsia="Times New Roman" w:hAnsiTheme="majorHAnsi" w:cs="Times New Roman"/>
                <w:color w:val="000000"/>
                <w:sz w:val="16"/>
                <w:szCs w:val="16"/>
                <w:lang w:eastAsia="en-AU"/>
              </w:rPr>
              <w:t xml:space="preserve">1,340.50 </w:t>
            </w:r>
          </w:p>
        </w:tc>
        <w:tc>
          <w:tcPr>
            <w:tcW w:w="939" w:type="pct"/>
            <w:noWrap/>
            <w:vAlign w:val="center"/>
            <w:hideMark/>
          </w:tcPr>
          <w:p w14:paraId="28C6EF90" w14:textId="77777777" w:rsidR="00FB48D2" w:rsidRPr="003D5D1B" w:rsidRDefault="00FB48D2" w:rsidP="00246B9B">
            <w:pPr>
              <w:spacing w:after="0" w:line="240" w:lineRule="auto"/>
              <w:rPr>
                <w:rFonts w:asciiTheme="majorHAnsi" w:eastAsia="Times New Roman" w:hAnsiTheme="majorHAnsi" w:cs="Times New Roman"/>
                <w:color w:val="000000"/>
                <w:sz w:val="16"/>
                <w:szCs w:val="16"/>
                <w:lang w:eastAsia="en-AU"/>
              </w:rPr>
            </w:pPr>
            <w:r w:rsidRPr="003D5D1B">
              <w:rPr>
                <w:rFonts w:asciiTheme="majorHAnsi" w:eastAsia="Times New Roman" w:hAnsiTheme="majorHAnsi" w:cs="Times New Roman"/>
                <w:color w:val="000000"/>
                <w:sz w:val="16"/>
                <w:szCs w:val="16"/>
                <w:lang w:eastAsia="en-AU"/>
              </w:rPr>
              <w:t xml:space="preserve">1,635.74 </w:t>
            </w:r>
          </w:p>
        </w:tc>
        <w:tc>
          <w:tcPr>
            <w:tcW w:w="753" w:type="pct"/>
          </w:tcPr>
          <w:p w14:paraId="72E1238D" w14:textId="77777777" w:rsidR="00FB48D2" w:rsidRPr="003D5D1B" w:rsidRDefault="00FB48D2" w:rsidP="00246B9B">
            <w:pPr>
              <w:spacing w:after="0" w:line="240" w:lineRule="auto"/>
            </w:pPr>
            <w:r w:rsidRPr="003D5D1B">
              <w:t xml:space="preserve"> 14,833 </w:t>
            </w:r>
          </w:p>
        </w:tc>
      </w:tr>
      <w:tr w:rsidR="00FB48D2" w:rsidRPr="003D5D1B" w14:paraId="01826AC8" w14:textId="77777777" w:rsidTr="00246B9B">
        <w:trPr>
          <w:trHeight w:val="188"/>
        </w:trPr>
        <w:tc>
          <w:tcPr>
            <w:tcW w:w="1367" w:type="pct"/>
            <w:noWrap/>
            <w:hideMark/>
          </w:tcPr>
          <w:p w14:paraId="0E3E1CC3" w14:textId="77777777" w:rsidR="00FB48D2" w:rsidRPr="003D5D1B" w:rsidRDefault="00FB48D2" w:rsidP="00246B9B">
            <w:pPr>
              <w:spacing w:after="0" w:line="240" w:lineRule="auto"/>
              <w:rPr>
                <w:rFonts w:asciiTheme="majorHAnsi" w:eastAsia="Times New Roman" w:hAnsiTheme="majorHAnsi" w:cs="Times New Roman"/>
                <w:color w:val="000000"/>
                <w:sz w:val="16"/>
                <w:szCs w:val="16"/>
                <w:lang w:eastAsia="en-AU"/>
              </w:rPr>
            </w:pPr>
            <w:r w:rsidRPr="003D5D1B">
              <w:rPr>
                <w:rFonts w:asciiTheme="majorHAnsi" w:eastAsia="Times New Roman" w:hAnsiTheme="majorHAnsi" w:cs="Times New Roman"/>
                <w:color w:val="000000"/>
                <w:sz w:val="16"/>
                <w:szCs w:val="16"/>
                <w:lang w:eastAsia="en-AU"/>
              </w:rPr>
              <w:t>Prohibition notice</w:t>
            </w:r>
          </w:p>
        </w:tc>
        <w:tc>
          <w:tcPr>
            <w:tcW w:w="988" w:type="pct"/>
            <w:noWrap/>
            <w:vAlign w:val="center"/>
            <w:hideMark/>
          </w:tcPr>
          <w:p w14:paraId="7FE21923" w14:textId="77777777" w:rsidR="00FB48D2" w:rsidRPr="003D5D1B" w:rsidRDefault="00FB48D2" w:rsidP="00246B9B">
            <w:pPr>
              <w:spacing w:after="0" w:line="240" w:lineRule="auto"/>
              <w:rPr>
                <w:rFonts w:asciiTheme="majorHAnsi" w:eastAsia="Times New Roman" w:hAnsiTheme="majorHAnsi" w:cs="Times New Roman"/>
                <w:color w:val="000000"/>
                <w:sz w:val="16"/>
                <w:szCs w:val="16"/>
                <w:lang w:eastAsia="en-AU"/>
              </w:rPr>
            </w:pPr>
            <w:r w:rsidRPr="003D5D1B">
              <w:rPr>
                <w:rFonts w:asciiTheme="majorHAnsi" w:eastAsia="Times New Roman" w:hAnsiTheme="majorHAnsi" w:cs="Times New Roman"/>
                <w:color w:val="000000"/>
                <w:sz w:val="16"/>
                <w:szCs w:val="16"/>
                <w:lang w:eastAsia="en-AU"/>
              </w:rPr>
              <w:t xml:space="preserve">154.75 </w:t>
            </w:r>
          </w:p>
        </w:tc>
        <w:tc>
          <w:tcPr>
            <w:tcW w:w="953" w:type="pct"/>
            <w:noWrap/>
            <w:vAlign w:val="center"/>
            <w:hideMark/>
          </w:tcPr>
          <w:p w14:paraId="1FEB4BAD" w14:textId="77777777" w:rsidR="00FB48D2" w:rsidRPr="003D5D1B" w:rsidRDefault="00FB48D2" w:rsidP="00246B9B">
            <w:pPr>
              <w:spacing w:after="0" w:line="240" w:lineRule="auto"/>
              <w:rPr>
                <w:rFonts w:asciiTheme="majorHAnsi" w:eastAsia="Times New Roman" w:hAnsiTheme="majorHAnsi" w:cs="Times New Roman"/>
                <w:color w:val="000000"/>
                <w:sz w:val="16"/>
                <w:szCs w:val="16"/>
                <w:lang w:eastAsia="en-AU"/>
              </w:rPr>
            </w:pPr>
            <w:r w:rsidRPr="003D5D1B">
              <w:rPr>
                <w:rFonts w:asciiTheme="majorHAnsi" w:eastAsia="Times New Roman" w:hAnsiTheme="majorHAnsi" w:cs="Times New Roman"/>
                <w:color w:val="000000"/>
                <w:sz w:val="16"/>
                <w:szCs w:val="16"/>
                <w:lang w:eastAsia="en-AU"/>
              </w:rPr>
              <w:t xml:space="preserve">165.19 </w:t>
            </w:r>
          </w:p>
        </w:tc>
        <w:tc>
          <w:tcPr>
            <w:tcW w:w="939" w:type="pct"/>
            <w:noWrap/>
            <w:vAlign w:val="center"/>
            <w:hideMark/>
          </w:tcPr>
          <w:p w14:paraId="20C2FE59" w14:textId="77777777" w:rsidR="00FB48D2" w:rsidRPr="003D5D1B" w:rsidRDefault="00FB48D2" w:rsidP="00246B9B">
            <w:pPr>
              <w:spacing w:after="0" w:line="240" w:lineRule="auto"/>
              <w:rPr>
                <w:rFonts w:asciiTheme="majorHAnsi" w:eastAsia="Times New Roman" w:hAnsiTheme="majorHAnsi" w:cs="Times New Roman"/>
                <w:color w:val="000000"/>
                <w:sz w:val="16"/>
                <w:szCs w:val="16"/>
                <w:lang w:eastAsia="en-AU"/>
              </w:rPr>
            </w:pPr>
            <w:r w:rsidRPr="003D5D1B">
              <w:rPr>
                <w:rFonts w:asciiTheme="majorHAnsi" w:eastAsia="Times New Roman" w:hAnsiTheme="majorHAnsi" w:cs="Times New Roman"/>
                <w:color w:val="000000"/>
                <w:sz w:val="16"/>
                <w:szCs w:val="16"/>
                <w:lang w:eastAsia="en-AU"/>
              </w:rPr>
              <w:t xml:space="preserve">201.58 </w:t>
            </w:r>
          </w:p>
        </w:tc>
        <w:tc>
          <w:tcPr>
            <w:tcW w:w="753" w:type="pct"/>
          </w:tcPr>
          <w:p w14:paraId="73A44F48" w14:textId="77777777" w:rsidR="00FB48D2" w:rsidRPr="003D5D1B" w:rsidRDefault="00FB48D2" w:rsidP="00246B9B">
            <w:pPr>
              <w:spacing w:after="0" w:line="240" w:lineRule="auto"/>
            </w:pPr>
            <w:r w:rsidRPr="003D5D1B">
              <w:t xml:space="preserve"> 1,828 </w:t>
            </w:r>
          </w:p>
        </w:tc>
      </w:tr>
      <w:tr w:rsidR="00FB48D2" w:rsidRPr="003D5D1B" w14:paraId="07787279" w14:textId="77777777" w:rsidTr="00246B9B">
        <w:trPr>
          <w:trHeight w:val="188"/>
        </w:trPr>
        <w:tc>
          <w:tcPr>
            <w:tcW w:w="1367" w:type="pct"/>
            <w:noWrap/>
            <w:hideMark/>
          </w:tcPr>
          <w:p w14:paraId="0347243F" w14:textId="77777777" w:rsidR="00FB48D2" w:rsidRPr="003D5D1B" w:rsidRDefault="00FB48D2" w:rsidP="00246B9B">
            <w:pPr>
              <w:spacing w:after="0" w:line="240" w:lineRule="auto"/>
              <w:rPr>
                <w:rFonts w:asciiTheme="majorHAnsi" w:eastAsia="Times New Roman" w:hAnsiTheme="majorHAnsi" w:cs="Times New Roman"/>
                <w:color w:val="000000"/>
                <w:sz w:val="16"/>
                <w:szCs w:val="16"/>
                <w:lang w:eastAsia="en-AU"/>
              </w:rPr>
            </w:pPr>
            <w:r w:rsidRPr="003D5D1B">
              <w:rPr>
                <w:rFonts w:asciiTheme="majorHAnsi" w:eastAsia="Times New Roman" w:hAnsiTheme="majorHAnsi" w:cs="Times New Roman"/>
                <w:color w:val="000000"/>
                <w:sz w:val="16"/>
                <w:szCs w:val="16"/>
                <w:lang w:eastAsia="en-AU"/>
              </w:rPr>
              <w:t>Prosecutions notice</w:t>
            </w:r>
          </w:p>
        </w:tc>
        <w:tc>
          <w:tcPr>
            <w:tcW w:w="988" w:type="pct"/>
            <w:noWrap/>
            <w:vAlign w:val="center"/>
            <w:hideMark/>
          </w:tcPr>
          <w:p w14:paraId="5B463118" w14:textId="77777777" w:rsidR="00FB48D2" w:rsidRPr="003D5D1B" w:rsidRDefault="00FB48D2" w:rsidP="00246B9B">
            <w:pPr>
              <w:spacing w:after="0" w:line="240" w:lineRule="auto"/>
              <w:rPr>
                <w:rFonts w:asciiTheme="majorHAnsi" w:eastAsia="Times New Roman" w:hAnsiTheme="majorHAnsi" w:cs="Times New Roman"/>
                <w:color w:val="000000"/>
                <w:sz w:val="16"/>
                <w:szCs w:val="16"/>
                <w:lang w:eastAsia="en-AU"/>
              </w:rPr>
            </w:pPr>
            <w:r w:rsidRPr="003D5D1B">
              <w:rPr>
                <w:rFonts w:asciiTheme="majorHAnsi" w:eastAsia="Times New Roman" w:hAnsiTheme="majorHAnsi" w:cs="Times New Roman"/>
                <w:color w:val="000000"/>
                <w:sz w:val="16"/>
                <w:szCs w:val="16"/>
                <w:lang w:eastAsia="en-AU"/>
              </w:rPr>
              <w:t xml:space="preserve">6.51 </w:t>
            </w:r>
          </w:p>
        </w:tc>
        <w:tc>
          <w:tcPr>
            <w:tcW w:w="953" w:type="pct"/>
            <w:noWrap/>
            <w:vAlign w:val="center"/>
            <w:hideMark/>
          </w:tcPr>
          <w:p w14:paraId="2ED65181" w14:textId="77777777" w:rsidR="00FB48D2" w:rsidRPr="003D5D1B" w:rsidRDefault="00FB48D2" w:rsidP="00246B9B">
            <w:pPr>
              <w:spacing w:after="0" w:line="240" w:lineRule="auto"/>
              <w:rPr>
                <w:rFonts w:asciiTheme="majorHAnsi" w:eastAsia="Times New Roman" w:hAnsiTheme="majorHAnsi" w:cs="Times New Roman"/>
                <w:color w:val="000000"/>
                <w:sz w:val="16"/>
                <w:szCs w:val="16"/>
                <w:lang w:eastAsia="en-AU"/>
              </w:rPr>
            </w:pPr>
            <w:r w:rsidRPr="003D5D1B">
              <w:rPr>
                <w:rFonts w:asciiTheme="majorHAnsi" w:eastAsia="Times New Roman" w:hAnsiTheme="majorHAnsi" w:cs="Times New Roman"/>
                <w:color w:val="000000"/>
                <w:sz w:val="16"/>
                <w:szCs w:val="16"/>
                <w:lang w:eastAsia="en-AU"/>
              </w:rPr>
              <w:t xml:space="preserve">6.95 </w:t>
            </w:r>
          </w:p>
        </w:tc>
        <w:tc>
          <w:tcPr>
            <w:tcW w:w="939" w:type="pct"/>
            <w:noWrap/>
            <w:vAlign w:val="center"/>
            <w:hideMark/>
          </w:tcPr>
          <w:p w14:paraId="6F017CAE" w14:textId="77777777" w:rsidR="00FB48D2" w:rsidRPr="003D5D1B" w:rsidRDefault="00FB48D2" w:rsidP="00246B9B">
            <w:pPr>
              <w:spacing w:after="0" w:line="240" w:lineRule="auto"/>
              <w:rPr>
                <w:rFonts w:asciiTheme="majorHAnsi" w:eastAsia="Times New Roman" w:hAnsiTheme="majorHAnsi" w:cs="Times New Roman"/>
                <w:color w:val="000000"/>
                <w:sz w:val="16"/>
                <w:szCs w:val="16"/>
                <w:lang w:eastAsia="en-AU"/>
              </w:rPr>
            </w:pPr>
            <w:r w:rsidRPr="003D5D1B">
              <w:rPr>
                <w:rFonts w:asciiTheme="majorHAnsi" w:eastAsia="Times New Roman" w:hAnsiTheme="majorHAnsi" w:cs="Times New Roman"/>
                <w:color w:val="000000"/>
                <w:sz w:val="16"/>
                <w:szCs w:val="16"/>
                <w:lang w:eastAsia="en-AU"/>
              </w:rPr>
              <w:t xml:space="preserve">8.48 </w:t>
            </w:r>
          </w:p>
        </w:tc>
        <w:tc>
          <w:tcPr>
            <w:tcW w:w="753" w:type="pct"/>
          </w:tcPr>
          <w:p w14:paraId="27190F9B" w14:textId="77777777" w:rsidR="00FB48D2" w:rsidRPr="003D5D1B" w:rsidRDefault="00FB48D2" w:rsidP="00246B9B">
            <w:pPr>
              <w:spacing w:after="0" w:line="240" w:lineRule="auto"/>
            </w:pPr>
            <w:r w:rsidRPr="003D5D1B">
              <w:t xml:space="preserve"> 77 </w:t>
            </w:r>
          </w:p>
        </w:tc>
      </w:tr>
    </w:tbl>
    <w:p w14:paraId="7A85A466" w14:textId="09B933E5" w:rsidR="00982DCC" w:rsidRDefault="00982DCC" w:rsidP="00F0077F"/>
    <w:p w14:paraId="21088EF7" w14:textId="659926FB" w:rsidR="00982DCC" w:rsidRDefault="00982DCC" w:rsidP="00F0077F">
      <w:pPr>
        <w:pStyle w:val="Heading3"/>
      </w:pPr>
      <w:r>
        <w:t>Discount rates</w:t>
      </w:r>
    </w:p>
    <w:p w14:paraId="3F79579B" w14:textId="4CC49314" w:rsidR="00982DCC" w:rsidRPr="0014302B" w:rsidRDefault="00982DCC" w:rsidP="0014302B">
      <w:pPr>
        <w:rPr>
          <w:rFonts w:ascii="Times New Roman" w:hAnsi="Times New Roman" w:cs="Times New Roman"/>
          <w:sz w:val="24"/>
          <w:szCs w:val="24"/>
          <w:lang w:eastAsia="en-AU"/>
        </w:rPr>
      </w:pPr>
      <w:r>
        <w:t xml:space="preserve">All costs presented in this analysis have been inflated to </w:t>
      </w:r>
      <w:r w:rsidR="00884195">
        <w:t>2020-</w:t>
      </w:r>
      <w:r>
        <w:t xml:space="preserve">21 values using Victorian DTF Macroeconomic forecasts. </w:t>
      </w:r>
      <w:r w:rsidR="0014302B">
        <w:t xml:space="preserve">Total costs are presented as the sum of costs over the life of the Regulations (i.e. 10 years) and are </w:t>
      </w:r>
      <w:r w:rsidR="00D54D67">
        <w:t>subject to a 4% discount rate</w:t>
      </w:r>
      <w:r w:rsidR="0014302B">
        <w:t xml:space="preserve">. </w:t>
      </w:r>
      <w:r w:rsidR="0014302B">
        <w:rPr>
          <w:rFonts w:ascii="Times New Roman" w:hAnsi="Times New Roman" w:cs="Times New Roman"/>
          <w:sz w:val="24"/>
          <w:szCs w:val="24"/>
          <w:lang w:eastAsia="en-AU"/>
        </w:rPr>
        <w:t xml:space="preserve"> </w:t>
      </w:r>
    </w:p>
    <w:p w14:paraId="32CC322C" w14:textId="324775F9" w:rsidR="00FB48D2" w:rsidRPr="003D5D1B" w:rsidRDefault="00FB48D2" w:rsidP="00FB48D2">
      <w:pPr>
        <w:pStyle w:val="Heading2"/>
      </w:pPr>
      <w:bookmarkStart w:id="176" w:name="_Toc49460301"/>
      <w:r w:rsidRPr="003D5D1B">
        <w:lastRenderedPageBreak/>
        <w:t>Step 1: Base Case versus Option 1</w:t>
      </w:r>
      <w:bookmarkEnd w:id="176"/>
    </w:p>
    <w:p w14:paraId="5EAD8DE3" w14:textId="4652DA31" w:rsidR="00FB48D2" w:rsidRPr="003D5D1B" w:rsidRDefault="00FB48D2" w:rsidP="00FB48D2">
      <w:r w:rsidRPr="003D5D1B">
        <w:t>This section compares</w:t>
      </w:r>
      <w:r w:rsidRPr="003D5D1B" w:rsidDel="008902F6">
        <w:t xml:space="preserve"> </w:t>
      </w:r>
      <w:r w:rsidRPr="003D5D1B">
        <w:t xml:space="preserve">Option 1 (current Regulations) to the Base Case. Detailed assumptions and costings for this section are outlined in Appendix </w:t>
      </w:r>
      <w:r w:rsidR="004C6A5D">
        <w:t>E</w:t>
      </w:r>
      <w:r w:rsidRPr="003D5D1B">
        <w:t>.</w:t>
      </w:r>
    </w:p>
    <w:p w14:paraId="43291761" w14:textId="77777777" w:rsidR="00FB48D2" w:rsidRPr="003D5D1B" w:rsidRDefault="00FB48D2" w:rsidP="000A471E">
      <w:pPr>
        <w:pStyle w:val="Heading3"/>
      </w:pPr>
      <w:r w:rsidRPr="003D5D1B">
        <w:t>Criteria 1: Costs to businesses</w:t>
      </w:r>
    </w:p>
    <w:p w14:paraId="1A72BCE2" w14:textId="77777777" w:rsidR="00FB48D2" w:rsidRPr="003D5D1B" w:rsidRDefault="00FB48D2" w:rsidP="00FB48D2">
      <w:r w:rsidRPr="003D5D1B">
        <w:t>Costs to businesses are the direct costs incurred by proprietors of prescribed accommodation to comply with Option 1.</w:t>
      </w:r>
    </w:p>
    <w:p w14:paraId="3EC4D902" w14:textId="77777777" w:rsidR="00FB48D2" w:rsidRPr="003D5D1B" w:rsidRDefault="00FB48D2" w:rsidP="00FB48D2">
      <w:pPr>
        <w:pStyle w:val="Heading4"/>
      </w:pPr>
      <w:r w:rsidRPr="003D5D1B">
        <w:t xml:space="preserve">Cost of registration </w:t>
      </w:r>
    </w:p>
    <w:p w14:paraId="20C5F054" w14:textId="15623386" w:rsidR="00FB48D2" w:rsidRPr="003D5D1B" w:rsidRDefault="00FB48D2" w:rsidP="00FB48D2">
      <w:r w:rsidRPr="003D5D1B">
        <w:t>Under Option 1, proprietors must supply certain documents to support their application to register, renew or transfer a prescribed accommodation facility.</w:t>
      </w:r>
      <w:r>
        <w:rPr>
          <w:rStyle w:val="FootnoteReference"/>
        </w:rPr>
        <w:footnoteReference w:id="76"/>
      </w:r>
      <w:r w:rsidRPr="003D5D1B">
        <w:t xml:space="preserve"> Registrations are subject to annual renewal. Option 1 imposes an annual administrative cost on proprietors</w:t>
      </w:r>
      <w:r w:rsidRPr="003D5D1B" w:rsidDel="00D35FB2">
        <w:t>, relative to the Base Case</w:t>
      </w:r>
      <w:r w:rsidRPr="003D5D1B">
        <w:t>. The 2009 RIS that was prepared for the Regulations used estimates of</w:t>
      </w:r>
      <w:r>
        <w:t xml:space="preserve"> </w:t>
      </w:r>
      <w:r w:rsidRPr="003D5D1B">
        <w:t>3</w:t>
      </w:r>
      <w:r w:rsidRPr="00BC3000">
        <w:t xml:space="preserve"> hours to prepare a registration application</w:t>
      </w:r>
      <w:r>
        <w:t xml:space="preserve"> and </w:t>
      </w:r>
      <w:r w:rsidRPr="003D5D1B">
        <w:t>1</w:t>
      </w:r>
      <w:r w:rsidRPr="00BC3000">
        <w:t xml:space="preserve"> hour to prepare a renewal application.</w:t>
      </w:r>
      <w:r w:rsidRPr="00BC3000">
        <w:rPr>
          <w:rStyle w:val="FootnoteReference"/>
        </w:rPr>
        <w:footnoteReference w:id="77"/>
      </w:r>
      <w:r w:rsidRPr="00BC3000">
        <w:t xml:space="preserve"> </w:t>
      </w:r>
      <w:r w:rsidRPr="003D5D1B">
        <w:t>Registration applications take longer to compile as they require a scaled plan of the premises. Updated data is not available for this cost, and the 2009 RIS estimate appears reasonable.</w:t>
      </w:r>
      <w:r w:rsidRPr="003D5D1B" w:rsidDel="00C804A5">
        <w:t xml:space="preserve"> </w:t>
      </w:r>
      <w:r w:rsidRPr="003D5D1B">
        <w:t xml:space="preserve">The cost of the proprietor’s time is estimated using the average wage rate of a Victorian of </w:t>
      </w:r>
      <w:r w:rsidR="00C15121">
        <w:t>$62.64</w:t>
      </w:r>
      <w:r w:rsidRPr="003D5D1B">
        <w:t xml:space="preserve"> per hour (see section 4.2.</w:t>
      </w:r>
      <w:r w:rsidR="00B330F0">
        <w:t>5</w:t>
      </w:r>
      <w:r w:rsidRPr="003D5D1B">
        <w:t>). The total cost of registration is estimated at $</w:t>
      </w:r>
      <w:r w:rsidR="00C15121">
        <w:t>3.7</w:t>
      </w:r>
      <w:r w:rsidRPr="003D5D1B">
        <w:t xml:space="preserve"> million</w:t>
      </w:r>
      <w:r w:rsidRPr="00BC3000">
        <w:t xml:space="preserve"> over 10 years</w:t>
      </w:r>
      <w:r w:rsidR="00E80E6A">
        <w:t xml:space="preserve"> (or $</w:t>
      </w:r>
      <w:r w:rsidR="006F76AF">
        <w:t>3.0 million</w:t>
      </w:r>
      <w:r w:rsidR="00E80E6A">
        <w:t xml:space="preserve"> in NPV)</w:t>
      </w:r>
      <w:r w:rsidRPr="00BC3000">
        <w:t>.</w:t>
      </w:r>
      <w:r w:rsidRPr="003D5D1B">
        <w:t xml:space="preserve">  </w:t>
      </w:r>
    </w:p>
    <w:p w14:paraId="64A18EBF" w14:textId="0C308B37" w:rsidR="00FB48D2" w:rsidRPr="003D5D1B" w:rsidRDefault="00FB48D2" w:rsidP="00FB48D2">
      <w:r w:rsidRPr="003D5D1B">
        <w:t>Proprietors also pay fees to Councils to lodge registration and renewal applications but it is assumed that these fees cover the cost of monitoring and enforcement activities undertaken by Council</w:t>
      </w:r>
      <w:r w:rsidR="00C15121">
        <w:t>s</w:t>
      </w:r>
      <w:r w:rsidRPr="003D5D1B">
        <w:t>. These costs</w:t>
      </w:r>
      <w:r w:rsidRPr="003D5D1B" w:rsidDel="0062556C">
        <w:t xml:space="preserve"> </w:t>
      </w:r>
      <w:r w:rsidRPr="003D5D1B">
        <w:t xml:space="preserve">are </w:t>
      </w:r>
      <w:r w:rsidR="00902394">
        <w:t>estimated</w:t>
      </w:r>
      <w:r w:rsidRPr="003D5D1B">
        <w:t xml:space="preserve"> in section 4.</w:t>
      </w:r>
      <w:r w:rsidR="00C15121" w:rsidRPr="00527DA0">
        <w:t>3.</w:t>
      </w:r>
      <w:r w:rsidR="00C15121">
        <w:t>1.</w:t>
      </w:r>
      <w:r w:rsidR="00B975D5">
        <w:t>9</w:t>
      </w:r>
      <w:r w:rsidRPr="003D5D1B">
        <w:t>.</w:t>
      </w:r>
      <w:r>
        <w:rPr>
          <w:rStyle w:val="FootnoteReference"/>
        </w:rPr>
        <w:footnoteReference w:id="78"/>
      </w:r>
    </w:p>
    <w:p w14:paraId="24EE1320" w14:textId="5D4F2D90" w:rsidR="00FB48D2" w:rsidRPr="00BC3000" w:rsidRDefault="00FB48D2" w:rsidP="00FB48D2">
      <w:pPr>
        <w:pStyle w:val="Caption"/>
      </w:pPr>
      <w:r w:rsidRPr="003D5D1B">
        <w:t xml:space="preserve">Table </w:t>
      </w:r>
      <w:r w:rsidR="004335F8">
        <w:fldChar w:fldCharType="begin"/>
      </w:r>
      <w:r w:rsidR="004335F8">
        <w:instrText xml:space="preserve"> STYLEREF 1 \s </w:instrText>
      </w:r>
      <w:r w:rsidR="004335F8">
        <w:fldChar w:fldCharType="separate"/>
      </w:r>
      <w:r w:rsidR="00795309">
        <w:rPr>
          <w:noProof/>
        </w:rPr>
        <w:t>4</w:t>
      </w:r>
      <w:r w:rsidR="004335F8">
        <w:fldChar w:fldCharType="end"/>
      </w:r>
      <w:r w:rsidR="004335F8">
        <w:noBreakHyphen/>
      </w:r>
      <w:r w:rsidR="004335F8">
        <w:fldChar w:fldCharType="begin"/>
      </w:r>
      <w:r w:rsidR="004335F8">
        <w:instrText xml:space="preserve"> SEQ Table \* ARABIC \s 1 </w:instrText>
      </w:r>
      <w:r w:rsidR="004335F8">
        <w:fldChar w:fldCharType="separate"/>
      </w:r>
      <w:r w:rsidR="00795309">
        <w:rPr>
          <w:noProof/>
        </w:rPr>
        <w:t>7</w:t>
      </w:r>
      <w:r w:rsidR="004335F8">
        <w:fldChar w:fldCharType="end"/>
      </w:r>
      <w:r w:rsidRPr="00BC3000">
        <w:t xml:space="preserve"> Cost of registration </w:t>
      </w:r>
    </w:p>
    <w:tbl>
      <w:tblPr>
        <w:tblStyle w:val="Deloittetable"/>
        <w:tblW w:w="5000" w:type="pct"/>
        <w:tblLook w:val="04A0" w:firstRow="1" w:lastRow="0" w:firstColumn="1" w:lastColumn="0" w:noHBand="0" w:noVBand="1"/>
      </w:tblPr>
      <w:tblGrid>
        <w:gridCol w:w="1694"/>
        <w:gridCol w:w="1440"/>
        <w:gridCol w:w="1273"/>
        <w:gridCol w:w="1181"/>
        <w:gridCol w:w="1080"/>
        <w:gridCol w:w="1271"/>
        <w:gridCol w:w="1087"/>
      </w:tblGrid>
      <w:tr w:rsidR="009113B9" w:rsidRPr="003D5D1B" w14:paraId="6C9FDD0E" w14:textId="0EF5B9CE" w:rsidTr="009113B9">
        <w:trPr>
          <w:cnfStyle w:val="100000000000" w:firstRow="1" w:lastRow="0" w:firstColumn="0" w:lastColumn="0" w:oddVBand="0" w:evenVBand="0" w:oddHBand="0" w:evenHBand="0" w:firstRowFirstColumn="0" w:firstRowLastColumn="0" w:lastRowFirstColumn="0" w:lastRowLastColumn="0"/>
          <w:trHeight w:val="898"/>
        </w:trPr>
        <w:tc>
          <w:tcPr>
            <w:tcW w:w="939" w:type="pct"/>
          </w:tcPr>
          <w:p w14:paraId="5C606F04" w14:textId="77777777" w:rsidR="00FB48D2" w:rsidRPr="003D5D1B" w:rsidRDefault="00FB48D2" w:rsidP="00616D0F">
            <w:pPr>
              <w:ind w:right="277"/>
              <w:rPr>
                <w:b/>
              </w:rPr>
            </w:pPr>
            <w:r w:rsidRPr="003D5D1B">
              <w:rPr>
                <w:b/>
              </w:rPr>
              <w:t>Type of premises</w:t>
            </w:r>
          </w:p>
        </w:tc>
        <w:tc>
          <w:tcPr>
            <w:tcW w:w="798" w:type="pct"/>
          </w:tcPr>
          <w:p w14:paraId="7A8FD5B9" w14:textId="6B912568" w:rsidR="00FB48D2" w:rsidRPr="003D5D1B" w:rsidRDefault="0014302B" w:rsidP="0014302B">
            <w:pPr>
              <w:rPr>
                <w:b/>
              </w:rPr>
            </w:pPr>
            <w:r>
              <w:rPr>
                <w:b/>
                <w:lang w:val="en-GB"/>
              </w:rPr>
              <w:t xml:space="preserve">No. of new </w:t>
            </w:r>
            <w:r w:rsidR="006F76AF">
              <w:rPr>
                <w:b/>
                <w:lang w:val="en-GB"/>
              </w:rPr>
              <w:t>registrations</w:t>
            </w:r>
            <w:r>
              <w:rPr>
                <w:b/>
                <w:lang w:val="en-GB"/>
              </w:rPr>
              <w:t xml:space="preserve"> 2021-30</w:t>
            </w:r>
          </w:p>
        </w:tc>
        <w:tc>
          <w:tcPr>
            <w:tcW w:w="705" w:type="pct"/>
          </w:tcPr>
          <w:p w14:paraId="7B072246" w14:textId="678FEA9B" w:rsidR="00FB48D2" w:rsidRPr="003D5D1B" w:rsidRDefault="001D3E71" w:rsidP="00616D0F">
            <w:pPr>
              <w:ind w:right="284"/>
              <w:rPr>
                <w:b/>
              </w:rPr>
            </w:pPr>
            <w:r>
              <w:rPr>
                <w:b/>
              </w:rPr>
              <w:t>N</w:t>
            </w:r>
            <w:r w:rsidR="00020692">
              <w:rPr>
                <w:b/>
              </w:rPr>
              <w:t>o.</w:t>
            </w:r>
            <w:r w:rsidR="00FB48D2" w:rsidRPr="003D5D1B">
              <w:rPr>
                <w:b/>
              </w:rPr>
              <w:t xml:space="preserve"> of </w:t>
            </w:r>
            <w:r w:rsidR="006F76AF">
              <w:rPr>
                <w:b/>
              </w:rPr>
              <w:t>renewals</w:t>
            </w:r>
            <w:r w:rsidR="00FB48D2" w:rsidRPr="003D5D1B">
              <w:rPr>
                <w:b/>
              </w:rPr>
              <w:t xml:space="preserve"> 2021-30</w:t>
            </w:r>
          </w:p>
        </w:tc>
        <w:tc>
          <w:tcPr>
            <w:tcW w:w="654" w:type="pct"/>
          </w:tcPr>
          <w:p w14:paraId="5BBAD23C" w14:textId="7C14B29F" w:rsidR="00B115C0" w:rsidRPr="003D5D1B" w:rsidRDefault="00FB48D2" w:rsidP="00246B9B">
            <w:pPr>
              <w:rPr>
                <w:b/>
              </w:rPr>
            </w:pPr>
            <w:r w:rsidRPr="003D5D1B">
              <w:rPr>
                <w:b/>
              </w:rPr>
              <w:t>Time required</w:t>
            </w:r>
            <w:r w:rsidR="00B115C0">
              <w:rPr>
                <w:b/>
              </w:rPr>
              <w:t xml:space="preserve"> (hours)</w:t>
            </w:r>
          </w:p>
        </w:tc>
        <w:tc>
          <w:tcPr>
            <w:tcW w:w="598" w:type="pct"/>
          </w:tcPr>
          <w:p w14:paraId="29203CE9" w14:textId="77777777" w:rsidR="00FB48D2" w:rsidRPr="003D5D1B" w:rsidRDefault="00FB48D2" w:rsidP="00246B9B">
            <w:pPr>
              <w:rPr>
                <w:b/>
              </w:rPr>
            </w:pPr>
            <w:r w:rsidRPr="003D5D1B">
              <w:rPr>
                <w:b/>
              </w:rPr>
              <w:t>Hourly wage</w:t>
            </w:r>
          </w:p>
        </w:tc>
        <w:tc>
          <w:tcPr>
            <w:tcW w:w="704" w:type="pct"/>
          </w:tcPr>
          <w:p w14:paraId="54CD8CD0" w14:textId="172835D8" w:rsidR="00FB48D2" w:rsidRPr="003D5D1B" w:rsidRDefault="00FB48D2" w:rsidP="00616D0F">
            <w:pPr>
              <w:ind w:right="280"/>
              <w:rPr>
                <w:b/>
              </w:rPr>
            </w:pPr>
            <w:r w:rsidRPr="003D5D1B">
              <w:rPr>
                <w:b/>
              </w:rPr>
              <w:t>Total cost</w:t>
            </w:r>
            <w:r w:rsidR="00043E9D">
              <w:rPr>
                <w:b/>
              </w:rPr>
              <w:t xml:space="preserve">       </w:t>
            </w:r>
            <w:r w:rsidRPr="003D5D1B">
              <w:rPr>
                <w:b/>
              </w:rPr>
              <w:t>2021-30</w:t>
            </w:r>
            <w:r w:rsidR="006F76AF">
              <w:rPr>
                <w:b/>
              </w:rPr>
              <w:t xml:space="preserve">  </w:t>
            </w:r>
          </w:p>
        </w:tc>
        <w:tc>
          <w:tcPr>
            <w:tcW w:w="602" w:type="pct"/>
          </w:tcPr>
          <w:p w14:paraId="1F3DFE8B" w14:textId="7CA66AC5" w:rsidR="006F76AF" w:rsidRPr="003D5D1B" w:rsidRDefault="006F76AF">
            <w:pPr>
              <w:rPr>
                <w:b/>
              </w:rPr>
            </w:pPr>
            <w:r w:rsidRPr="003D5D1B">
              <w:rPr>
                <w:b/>
              </w:rPr>
              <w:t>Total cost</w:t>
            </w:r>
            <w:r>
              <w:rPr>
                <w:b/>
              </w:rPr>
              <w:t xml:space="preserve">   </w:t>
            </w:r>
            <w:r w:rsidRPr="003D5D1B">
              <w:rPr>
                <w:b/>
              </w:rPr>
              <w:t>2021-30</w:t>
            </w:r>
            <w:r>
              <w:rPr>
                <w:b/>
              </w:rPr>
              <w:t xml:space="preserve"> NPV</w:t>
            </w:r>
          </w:p>
        </w:tc>
      </w:tr>
      <w:tr w:rsidR="009113B9" w:rsidRPr="003D5D1B" w14:paraId="4A8F4651" w14:textId="7F010157" w:rsidTr="009113B9">
        <w:trPr>
          <w:trHeight w:val="57"/>
        </w:trPr>
        <w:tc>
          <w:tcPr>
            <w:tcW w:w="939" w:type="pct"/>
          </w:tcPr>
          <w:p w14:paraId="4BF04597" w14:textId="77777777" w:rsidR="00FB48D2" w:rsidRPr="003D5D1B" w:rsidRDefault="00FB48D2" w:rsidP="00246B9B">
            <w:pPr>
              <w:spacing w:after="0" w:line="240" w:lineRule="auto"/>
            </w:pPr>
            <w:r w:rsidRPr="003D5D1B">
              <w:t>Residential accommodation</w:t>
            </w:r>
          </w:p>
        </w:tc>
        <w:tc>
          <w:tcPr>
            <w:tcW w:w="798" w:type="pct"/>
          </w:tcPr>
          <w:p w14:paraId="5BAA9416" w14:textId="77777777" w:rsidR="00FB48D2" w:rsidRPr="003D5D1B" w:rsidRDefault="00FB48D2" w:rsidP="00616D0F">
            <w:pPr>
              <w:spacing w:after="0" w:line="240" w:lineRule="auto"/>
            </w:pPr>
            <w:r w:rsidRPr="003D5D1B">
              <w:t>448</w:t>
            </w:r>
          </w:p>
        </w:tc>
        <w:tc>
          <w:tcPr>
            <w:tcW w:w="705" w:type="pct"/>
          </w:tcPr>
          <w:p w14:paraId="39FFEEDA" w14:textId="77777777" w:rsidR="00FB48D2" w:rsidRPr="003D5D1B" w:rsidRDefault="00FB48D2" w:rsidP="00616D0F">
            <w:pPr>
              <w:spacing w:after="0" w:line="240" w:lineRule="auto"/>
              <w:ind w:right="284"/>
            </w:pPr>
            <w:r w:rsidRPr="003D5D1B">
              <w:t xml:space="preserve"> 17,867 </w:t>
            </w:r>
          </w:p>
        </w:tc>
        <w:tc>
          <w:tcPr>
            <w:tcW w:w="654" w:type="pct"/>
          </w:tcPr>
          <w:p w14:paraId="7EA29245" w14:textId="175AF677" w:rsidR="00B115C0" w:rsidRDefault="00FB48D2" w:rsidP="00616D0F">
            <w:pPr>
              <w:spacing w:after="0" w:line="240" w:lineRule="auto"/>
              <w:ind w:right="75"/>
            </w:pPr>
            <w:r w:rsidRPr="003D5D1B">
              <w:t xml:space="preserve">Existing – 1   </w:t>
            </w:r>
          </w:p>
          <w:p w14:paraId="2A7AF963" w14:textId="17ADE01E" w:rsidR="00FB48D2" w:rsidRPr="003D5D1B" w:rsidRDefault="00FB48D2" w:rsidP="00616D0F">
            <w:pPr>
              <w:spacing w:after="0" w:line="240" w:lineRule="auto"/>
              <w:ind w:right="216"/>
            </w:pPr>
            <w:r w:rsidRPr="003D5D1B">
              <w:t>New – 3</w:t>
            </w:r>
          </w:p>
        </w:tc>
        <w:tc>
          <w:tcPr>
            <w:tcW w:w="598" w:type="pct"/>
          </w:tcPr>
          <w:p w14:paraId="4ABE1CC9" w14:textId="7CC45CE0" w:rsidR="00FB48D2" w:rsidRPr="003D5D1B" w:rsidRDefault="00FB48D2" w:rsidP="00616D0F">
            <w:pPr>
              <w:spacing w:after="0" w:line="240" w:lineRule="auto"/>
            </w:pPr>
            <w:r w:rsidRPr="003D5D1B">
              <w:t>$</w:t>
            </w:r>
            <w:r w:rsidR="00043E9D">
              <w:t>62</w:t>
            </w:r>
            <w:r w:rsidR="00043E9D" w:rsidRPr="003D5D1B">
              <w:t>.</w:t>
            </w:r>
            <w:r w:rsidR="00043E9D">
              <w:t>64</w:t>
            </w:r>
          </w:p>
        </w:tc>
        <w:tc>
          <w:tcPr>
            <w:tcW w:w="704" w:type="pct"/>
          </w:tcPr>
          <w:p w14:paraId="7A633258" w14:textId="77ABBCED" w:rsidR="00FB48D2" w:rsidRPr="003D5D1B" w:rsidRDefault="00043E9D" w:rsidP="00616D0F">
            <w:pPr>
              <w:spacing w:after="0" w:line="240" w:lineRule="auto"/>
              <w:ind w:right="280"/>
            </w:pPr>
            <w:r w:rsidRPr="0073193C">
              <w:t>$1,203,424</w:t>
            </w:r>
          </w:p>
        </w:tc>
        <w:tc>
          <w:tcPr>
            <w:tcW w:w="602" w:type="pct"/>
          </w:tcPr>
          <w:p w14:paraId="42186449" w14:textId="596E407D" w:rsidR="006F76AF" w:rsidRPr="00A24C9E" w:rsidRDefault="006F76AF" w:rsidP="006F76AF">
            <w:pPr>
              <w:spacing w:after="0" w:line="240" w:lineRule="auto"/>
            </w:pPr>
            <w:r w:rsidRPr="00A24C9E">
              <w:t>$968,296</w:t>
            </w:r>
          </w:p>
        </w:tc>
      </w:tr>
      <w:tr w:rsidR="009113B9" w:rsidRPr="003D5D1B" w14:paraId="26B75571" w14:textId="6942F48C" w:rsidTr="009113B9">
        <w:trPr>
          <w:trHeight w:val="57"/>
        </w:trPr>
        <w:tc>
          <w:tcPr>
            <w:tcW w:w="939" w:type="pct"/>
          </w:tcPr>
          <w:p w14:paraId="75895E13" w14:textId="77777777" w:rsidR="009113B9" w:rsidRPr="003D5D1B" w:rsidRDefault="009113B9" w:rsidP="009113B9">
            <w:pPr>
              <w:spacing w:after="0" w:line="240" w:lineRule="auto"/>
            </w:pPr>
            <w:r w:rsidRPr="003D5D1B">
              <w:t>Hotels &amp; motels</w:t>
            </w:r>
          </w:p>
        </w:tc>
        <w:tc>
          <w:tcPr>
            <w:tcW w:w="798" w:type="pct"/>
          </w:tcPr>
          <w:p w14:paraId="31EAF823" w14:textId="77777777" w:rsidR="009113B9" w:rsidRPr="003D5D1B" w:rsidRDefault="009113B9" w:rsidP="009113B9">
            <w:pPr>
              <w:spacing w:after="0" w:line="240" w:lineRule="auto"/>
            </w:pPr>
            <w:r w:rsidRPr="003D5D1B">
              <w:t>258</w:t>
            </w:r>
          </w:p>
        </w:tc>
        <w:tc>
          <w:tcPr>
            <w:tcW w:w="705" w:type="pct"/>
          </w:tcPr>
          <w:p w14:paraId="1E3E2CA9" w14:textId="77777777" w:rsidR="009113B9" w:rsidRPr="003D5D1B" w:rsidRDefault="009113B9" w:rsidP="009113B9">
            <w:pPr>
              <w:spacing w:after="0" w:line="240" w:lineRule="auto"/>
              <w:ind w:right="284"/>
            </w:pPr>
            <w:r w:rsidRPr="003D5D1B">
              <w:t xml:space="preserve"> 14,675 </w:t>
            </w:r>
          </w:p>
        </w:tc>
        <w:tc>
          <w:tcPr>
            <w:tcW w:w="654" w:type="pct"/>
          </w:tcPr>
          <w:p w14:paraId="52440FFB" w14:textId="67E5E74D" w:rsidR="009113B9" w:rsidRPr="003D5D1B" w:rsidRDefault="009113B9" w:rsidP="009113B9">
            <w:pPr>
              <w:spacing w:after="0" w:line="240" w:lineRule="auto"/>
            </w:pPr>
            <w:r w:rsidRPr="00AB3972">
              <w:t>As above</w:t>
            </w:r>
          </w:p>
        </w:tc>
        <w:tc>
          <w:tcPr>
            <w:tcW w:w="598" w:type="pct"/>
          </w:tcPr>
          <w:p w14:paraId="1826000E" w14:textId="79E76895" w:rsidR="009113B9" w:rsidRPr="003D5D1B" w:rsidRDefault="009113B9" w:rsidP="009113B9">
            <w:pPr>
              <w:spacing w:after="0" w:line="240" w:lineRule="auto"/>
            </w:pPr>
            <w:r w:rsidRPr="00AB3972">
              <w:t>As above</w:t>
            </w:r>
          </w:p>
        </w:tc>
        <w:tc>
          <w:tcPr>
            <w:tcW w:w="704" w:type="pct"/>
          </w:tcPr>
          <w:p w14:paraId="04DCD3D5" w14:textId="75B5801B" w:rsidR="009113B9" w:rsidRPr="003D5D1B" w:rsidRDefault="009113B9" w:rsidP="009113B9">
            <w:pPr>
              <w:spacing w:after="0" w:line="240" w:lineRule="auto"/>
              <w:ind w:right="280"/>
            </w:pPr>
            <w:r w:rsidRPr="0073193C">
              <w:t>$967,599</w:t>
            </w:r>
          </w:p>
        </w:tc>
        <w:tc>
          <w:tcPr>
            <w:tcW w:w="602" w:type="pct"/>
          </w:tcPr>
          <w:p w14:paraId="3E0B2A9B" w14:textId="4765342A" w:rsidR="009113B9" w:rsidRPr="00A24C9E" w:rsidRDefault="009113B9" w:rsidP="009113B9">
            <w:pPr>
              <w:spacing w:after="0" w:line="240" w:lineRule="auto"/>
            </w:pPr>
            <w:r w:rsidRPr="00A24C9E">
              <w:t>$780,411</w:t>
            </w:r>
          </w:p>
        </w:tc>
      </w:tr>
      <w:tr w:rsidR="009113B9" w:rsidRPr="003D5D1B" w14:paraId="12C3FD61" w14:textId="02B13819" w:rsidTr="009113B9">
        <w:trPr>
          <w:trHeight w:val="57"/>
        </w:trPr>
        <w:tc>
          <w:tcPr>
            <w:tcW w:w="939" w:type="pct"/>
          </w:tcPr>
          <w:p w14:paraId="62559954" w14:textId="77777777" w:rsidR="009113B9" w:rsidRPr="003D5D1B" w:rsidRDefault="009113B9" w:rsidP="009113B9">
            <w:pPr>
              <w:spacing w:after="0" w:line="240" w:lineRule="auto"/>
            </w:pPr>
            <w:r w:rsidRPr="003D5D1B">
              <w:t>Hostels</w:t>
            </w:r>
          </w:p>
        </w:tc>
        <w:tc>
          <w:tcPr>
            <w:tcW w:w="798" w:type="pct"/>
          </w:tcPr>
          <w:p w14:paraId="08E81E16" w14:textId="77777777" w:rsidR="009113B9" w:rsidRPr="003D5D1B" w:rsidRDefault="009113B9" w:rsidP="009113B9">
            <w:pPr>
              <w:spacing w:after="0" w:line="240" w:lineRule="auto"/>
            </w:pPr>
            <w:r w:rsidRPr="003D5D1B">
              <w:t>22</w:t>
            </w:r>
          </w:p>
        </w:tc>
        <w:tc>
          <w:tcPr>
            <w:tcW w:w="705" w:type="pct"/>
          </w:tcPr>
          <w:p w14:paraId="4BD6DB0D" w14:textId="77777777" w:rsidR="009113B9" w:rsidRPr="003D5D1B" w:rsidRDefault="009113B9" w:rsidP="009113B9">
            <w:pPr>
              <w:spacing w:after="0" w:line="240" w:lineRule="auto"/>
              <w:ind w:right="284"/>
            </w:pPr>
            <w:r w:rsidRPr="003D5D1B">
              <w:t xml:space="preserve"> 2,208 </w:t>
            </w:r>
          </w:p>
        </w:tc>
        <w:tc>
          <w:tcPr>
            <w:tcW w:w="654" w:type="pct"/>
          </w:tcPr>
          <w:p w14:paraId="0C9E703F" w14:textId="1145CB29" w:rsidR="009113B9" w:rsidRPr="003D5D1B" w:rsidRDefault="009113B9" w:rsidP="009113B9">
            <w:pPr>
              <w:spacing w:after="0" w:line="240" w:lineRule="auto"/>
            </w:pPr>
            <w:r w:rsidRPr="00AB3972">
              <w:t>As above</w:t>
            </w:r>
          </w:p>
        </w:tc>
        <w:tc>
          <w:tcPr>
            <w:tcW w:w="598" w:type="pct"/>
          </w:tcPr>
          <w:p w14:paraId="3544D14B" w14:textId="3D8F913A" w:rsidR="009113B9" w:rsidRPr="003D5D1B" w:rsidRDefault="009113B9" w:rsidP="009113B9">
            <w:pPr>
              <w:spacing w:after="0" w:line="240" w:lineRule="auto"/>
            </w:pPr>
            <w:r w:rsidRPr="00AB3972">
              <w:t>As above</w:t>
            </w:r>
          </w:p>
        </w:tc>
        <w:tc>
          <w:tcPr>
            <w:tcW w:w="704" w:type="pct"/>
          </w:tcPr>
          <w:p w14:paraId="2C1DEAC3" w14:textId="38845350" w:rsidR="009113B9" w:rsidRPr="003D5D1B" w:rsidRDefault="009113B9" w:rsidP="009113B9">
            <w:pPr>
              <w:spacing w:after="0" w:line="240" w:lineRule="auto"/>
              <w:ind w:right="280"/>
            </w:pPr>
            <w:r w:rsidRPr="0073193C">
              <w:t>$142,408</w:t>
            </w:r>
          </w:p>
        </w:tc>
        <w:tc>
          <w:tcPr>
            <w:tcW w:w="602" w:type="pct"/>
          </w:tcPr>
          <w:p w14:paraId="3AC6A826" w14:textId="671B133A" w:rsidR="009113B9" w:rsidRPr="00A24C9E" w:rsidRDefault="009113B9" w:rsidP="009113B9">
            <w:pPr>
              <w:spacing w:after="0" w:line="240" w:lineRule="auto"/>
            </w:pPr>
            <w:r w:rsidRPr="00A24C9E">
              <w:t>$115,138</w:t>
            </w:r>
          </w:p>
        </w:tc>
      </w:tr>
      <w:tr w:rsidR="009113B9" w:rsidRPr="003D5D1B" w14:paraId="6B5C7E98" w14:textId="1F52F5B5" w:rsidTr="009113B9">
        <w:trPr>
          <w:trHeight w:val="57"/>
        </w:trPr>
        <w:tc>
          <w:tcPr>
            <w:tcW w:w="939" w:type="pct"/>
          </w:tcPr>
          <w:p w14:paraId="03DC311B" w14:textId="77777777" w:rsidR="009113B9" w:rsidRPr="003D5D1B" w:rsidRDefault="009113B9" w:rsidP="009113B9">
            <w:pPr>
              <w:spacing w:after="0" w:line="240" w:lineRule="auto"/>
            </w:pPr>
            <w:r w:rsidRPr="003D5D1B">
              <w:t>Student dormitories</w:t>
            </w:r>
          </w:p>
        </w:tc>
        <w:tc>
          <w:tcPr>
            <w:tcW w:w="798" w:type="pct"/>
          </w:tcPr>
          <w:p w14:paraId="31549B7F" w14:textId="77777777" w:rsidR="009113B9" w:rsidRPr="003D5D1B" w:rsidRDefault="009113B9" w:rsidP="009113B9">
            <w:pPr>
              <w:spacing w:after="0" w:line="240" w:lineRule="auto"/>
            </w:pPr>
            <w:r w:rsidRPr="003D5D1B">
              <w:t>44</w:t>
            </w:r>
          </w:p>
        </w:tc>
        <w:tc>
          <w:tcPr>
            <w:tcW w:w="705" w:type="pct"/>
          </w:tcPr>
          <w:p w14:paraId="15DE23F1" w14:textId="77777777" w:rsidR="009113B9" w:rsidRPr="003D5D1B" w:rsidRDefault="009113B9" w:rsidP="009113B9">
            <w:pPr>
              <w:spacing w:after="0" w:line="240" w:lineRule="auto"/>
              <w:ind w:right="284"/>
            </w:pPr>
            <w:r w:rsidRPr="003D5D1B">
              <w:t xml:space="preserve"> 1,966 </w:t>
            </w:r>
          </w:p>
        </w:tc>
        <w:tc>
          <w:tcPr>
            <w:tcW w:w="654" w:type="pct"/>
          </w:tcPr>
          <w:p w14:paraId="06158F00" w14:textId="6118B7D4" w:rsidR="009113B9" w:rsidRPr="003D5D1B" w:rsidRDefault="009113B9" w:rsidP="009113B9">
            <w:pPr>
              <w:spacing w:after="0" w:line="240" w:lineRule="auto"/>
            </w:pPr>
            <w:r w:rsidRPr="00AB3972">
              <w:t>As above</w:t>
            </w:r>
          </w:p>
        </w:tc>
        <w:tc>
          <w:tcPr>
            <w:tcW w:w="598" w:type="pct"/>
          </w:tcPr>
          <w:p w14:paraId="041B9A31" w14:textId="0C512001" w:rsidR="009113B9" w:rsidRPr="003D5D1B" w:rsidRDefault="009113B9" w:rsidP="009113B9">
            <w:pPr>
              <w:spacing w:after="0" w:line="240" w:lineRule="auto"/>
            </w:pPr>
            <w:r w:rsidRPr="00AB3972">
              <w:t>As above</w:t>
            </w:r>
          </w:p>
        </w:tc>
        <w:tc>
          <w:tcPr>
            <w:tcW w:w="704" w:type="pct"/>
          </w:tcPr>
          <w:p w14:paraId="31F6FD34" w14:textId="7DDBEB4C" w:rsidR="009113B9" w:rsidRPr="003D5D1B" w:rsidRDefault="009113B9" w:rsidP="009113B9">
            <w:pPr>
              <w:spacing w:after="0" w:line="240" w:lineRule="auto"/>
              <w:ind w:right="280"/>
            </w:pPr>
            <w:r w:rsidRPr="0073193C">
              <w:t>$131,349</w:t>
            </w:r>
          </w:p>
        </w:tc>
        <w:tc>
          <w:tcPr>
            <w:tcW w:w="602" w:type="pct"/>
          </w:tcPr>
          <w:p w14:paraId="06E5542B" w14:textId="356F3BF4" w:rsidR="009113B9" w:rsidRPr="00A24C9E" w:rsidRDefault="009113B9" w:rsidP="009113B9">
            <w:pPr>
              <w:spacing w:after="0" w:line="240" w:lineRule="auto"/>
            </w:pPr>
            <w:r w:rsidRPr="00A24C9E">
              <w:t>$105,780</w:t>
            </w:r>
          </w:p>
        </w:tc>
      </w:tr>
      <w:tr w:rsidR="009113B9" w:rsidRPr="003D5D1B" w14:paraId="4E661047" w14:textId="2E7EF4B8" w:rsidTr="009113B9">
        <w:trPr>
          <w:trHeight w:val="57"/>
        </w:trPr>
        <w:tc>
          <w:tcPr>
            <w:tcW w:w="939" w:type="pct"/>
          </w:tcPr>
          <w:p w14:paraId="56716ABA" w14:textId="77777777" w:rsidR="009113B9" w:rsidRPr="003D5D1B" w:rsidRDefault="009113B9" w:rsidP="009113B9">
            <w:pPr>
              <w:spacing w:after="0" w:line="240" w:lineRule="auto"/>
            </w:pPr>
            <w:r w:rsidRPr="003D5D1B">
              <w:t>Holiday camps</w:t>
            </w:r>
          </w:p>
        </w:tc>
        <w:tc>
          <w:tcPr>
            <w:tcW w:w="798" w:type="pct"/>
          </w:tcPr>
          <w:p w14:paraId="581855C8" w14:textId="77777777" w:rsidR="009113B9" w:rsidRPr="003D5D1B" w:rsidRDefault="009113B9" w:rsidP="009113B9">
            <w:pPr>
              <w:spacing w:after="0" w:line="240" w:lineRule="auto"/>
            </w:pPr>
            <w:r w:rsidRPr="003D5D1B">
              <w:t>-</w:t>
            </w:r>
          </w:p>
        </w:tc>
        <w:tc>
          <w:tcPr>
            <w:tcW w:w="705" w:type="pct"/>
          </w:tcPr>
          <w:p w14:paraId="389FCF4B" w14:textId="77777777" w:rsidR="009113B9" w:rsidRPr="003D5D1B" w:rsidRDefault="009113B9" w:rsidP="009113B9">
            <w:pPr>
              <w:spacing w:after="0" w:line="240" w:lineRule="auto"/>
              <w:ind w:right="284"/>
            </w:pPr>
            <w:r w:rsidRPr="003D5D1B">
              <w:t xml:space="preserve"> 3,150 </w:t>
            </w:r>
          </w:p>
        </w:tc>
        <w:tc>
          <w:tcPr>
            <w:tcW w:w="654" w:type="pct"/>
          </w:tcPr>
          <w:p w14:paraId="65E050D4" w14:textId="11E88582" w:rsidR="009113B9" w:rsidRPr="003D5D1B" w:rsidRDefault="009113B9" w:rsidP="009113B9">
            <w:pPr>
              <w:spacing w:after="0" w:line="240" w:lineRule="auto"/>
            </w:pPr>
            <w:r w:rsidRPr="00AB3972">
              <w:t>As above</w:t>
            </w:r>
          </w:p>
        </w:tc>
        <w:tc>
          <w:tcPr>
            <w:tcW w:w="598" w:type="pct"/>
          </w:tcPr>
          <w:p w14:paraId="6989B406" w14:textId="205683C0" w:rsidR="009113B9" w:rsidRPr="003D5D1B" w:rsidRDefault="009113B9" w:rsidP="009113B9">
            <w:pPr>
              <w:spacing w:after="0" w:line="240" w:lineRule="auto"/>
            </w:pPr>
            <w:r w:rsidRPr="00AB3972">
              <w:t>As above</w:t>
            </w:r>
          </w:p>
        </w:tc>
        <w:tc>
          <w:tcPr>
            <w:tcW w:w="704" w:type="pct"/>
          </w:tcPr>
          <w:p w14:paraId="62CC304E" w14:textId="7239E287" w:rsidR="009113B9" w:rsidRPr="003D5D1B" w:rsidRDefault="009113B9" w:rsidP="009113B9">
            <w:pPr>
              <w:spacing w:after="0" w:line="240" w:lineRule="auto"/>
              <w:ind w:right="280"/>
            </w:pPr>
            <w:r w:rsidRPr="0073193C">
              <w:t>$197,305</w:t>
            </w:r>
          </w:p>
        </w:tc>
        <w:tc>
          <w:tcPr>
            <w:tcW w:w="602" w:type="pct"/>
          </w:tcPr>
          <w:p w14:paraId="34F25D38" w14:textId="5FFD3159" w:rsidR="009113B9" w:rsidRPr="00A24C9E" w:rsidRDefault="009113B9" w:rsidP="009113B9">
            <w:pPr>
              <w:spacing w:after="0" w:line="240" w:lineRule="auto"/>
            </w:pPr>
            <w:r w:rsidRPr="00A24C9E">
              <w:t>$160,032</w:t>
            </w:r>
          </w:p>
        </w:tc>
      </w:tr>
      <w:tr w:rsidR="009113B9" w:rsidRPr="003D5D1B" w14:paraId="0B11DA6B" w14:textId="1A64A5B6" w:rsidTr="009113B9">
        <w:trPr>
          <w:trHeight w:val="57"/>
        </w:trPr>
        <w:tc>
          <w:tcPr>
            <w:tcW w:w="939" w:type="pct"/>
          </w:tcPr>
          <w:p w14:paraId="3C8B5BDE" w14:textId="77777777" w:rsidR="009113B9" w:rsidRPr="003D5D1B" w:rsidRDefault="009113B9" w:rsidP="009113B9">
            <w:pPr>
              <w:spacing w:after="0" w:line="240" w:lineRule="auto"/>
            </w:pPr>
            <w:r w:rsidRPr="003D5D1B">
              <w:t>Rooming houses</w:t>
            </w:r>
          </w:p>
        </w:tc>
        <w:tc>
          <w:tcPr>
            <w:tcW w:w="798" w:type="pct"/>
          </w:tcPr>
          <w:p w14:paraId="495038F4" w14:textId="77777777" w:rsidR="009113B9" w:rsidRPr="003D5D1B" w:rsidRDefault="009113B9" w:rsidP="009113B9">
            <w:pPr>
              <w:spacing w:after="0" w:line="240" w:lineRule="auto"/>
            </w:pPr>
            <w:r w:rsidRPr="003D5D1B">
              <w:t>473</w:t>
            </w:r>
          </w:p>
        </w:tc>
        <w:tc>
          <w:tcPr>
            <w:tcW w:w="705" w:type="pct"/>
          </w:tcPr>
          <w:p w14:paraId="25A5B24C" w14:textId="77777777" w:rsidR="009113B9" w:rsidRPr="003D5D1B" w:rsidRDefault="009113B9" w:rsidP="009113B9">
            <w:pPr>
              <w:spacing w:after="0" w:line="240" w:lineRule="auto"/>
              <w:ind w:right="284"/>
            </w:pPr>
            <w:r w:rsidRPr="003D5D1B">
              <w:t xml:space="preserve"> 15,857 </w:t>
            </w:r>
          </w:p>
        </w:tc>
        <w:tc>
          <w:tcPr>
            <w:tcW w:w="654" w:type="pct"/>
          </w:tcPr>
          <w:p w14:paraId="60B5D64A" w14:textId="6F174510" w:rsidR="009113B9" w:rsidRPr="003D5D1B" w:rsidRDefault="009113B9" w:rsidP="009113B9">
            <w:pPr>
              <w:spacing w:after="0" w:line="240" w:lineRule="auto"/>
            </w:pPr>
            <w:r w:rsidRPr="00AB3972">
              <w:t>As above</w:t>
            </w:r>
          </w:p>
        </w:tc>
        <w:tc>
          <w:tcPr>
            <w:tcW w:w="598" w:type="pct"/>
          </w:tcPr>
          <w:p w14:paraId="3AEAB611" w14:textId="6AC16A93" w:rsidR="009113B9" w:rsidRPr="003D5D1B" w:rsidRDefault="009113B9" w:rsidP="009113B9">
            <w:pPr>
              <w:spacing w:after="0" w:line="240" w:lineRule="auto"/>
            </w:pPr>
            <w:r w:rsidRPr="00AB3972">
              <w:t>As above</w:t>
            </w:r>
          </w:p>
        </w:tc>
        <w:tc>
          <w:tcPr>
            <w:tcW w:w="704" w:type="pct"/>
          </w:tcPr>
          <w:p w14:paraId="59577434" w14:textId="42E6622F" w:rsidR="009113B9" w:rsidRPr="003D5D1B" w:rsidRDefault="009113B9" w:rsidP="009113B9">
            <w:pPr>
              <w:spacing w:after="0" w:line="240" w:lineRule="auto"/>
              <w:ind w:right="280"/>
            </w:pPr>
            <w:r w:rsidRPr="0073193C">
              <w:t>$1,082,191</w:t>
            </w:r>
          </w:p>
        </w:tc>
        <w:tc>
          <w:tcPr>
            <w:tcW w:w="602" w:type="pct"/>
          </w:tcPr>
          <w:p w14:paraId="558E9111" w14:textId="18E4AE26" w:rsidR="009113B9" w:rsidRPr="00A24C9E" w:rsidRDefault="009113B9" w:rsidP="009113B9">
            <w:pPr>
              <w:spacing w:after="0" w:line="240" w:lineRule="auto"/>
            </w:pPr>
            <w:r w:rsidRPr="00A24C9E">
              <w:t>$869,446</w:t>
            </w:r>
          </w:p>
        </w:tc>
      </w:tr>
      <w:tr w:rsidR="009113B9" w:rsidRPr="003D5D1B" w14:paraId="424AC399" w14:textId="0BC0FECE" w:rsidTr="009113B9">
        <w:trPr>
          <w:trHeight w:val="57"/>
        </w:trPr>
        <w:tc>
          <w:tcPr>
            <w:tcW w:w="939" w:type="pct"/>
          </w:tcPr>
          <w:p w14:paraId="46F4E116" w14:textId="77777777" w:rsidR="00FB48D2" w:rsidRPr="003D5D1B" w:rsidRDefault="00FB48D2" w:rsidP="00246B9B">
            <w:pPr>
              <w:spacing w:after="0" w:line="240" w:lineRule="auto"/>
              <w:rPr>
                <w:b/>
              </w:rPr>
            </w:pPr>
            <w:r w:rsidRPr="003D5D1B">
              <w:rPr>
                <w:b/>
              </w:rPr>
              <w:t>Total Cost</w:t>
            </w:r>
          </w:p>
        </w:tc>
        <w:tc>
          <w:tcPr>
            <w:tcW w:w="798" w:type="pct"/>
          </w:tcPr>
          <w:p w14:paraId="3B6BD4E5" w14:textId="77777777" w:rsidR="00FB48D2" w:rsidRPr="003D5D1B" w:rsidRDefault="00FB48D2" w:rsidP="00246B9B">
            <w:pPr>
              <w:spacing w:after="0" w:line="240" w:lineRule="auto"/>
              <w:jc w:val="center"/>
            </w:pPr>
          </w:p>
        </w:tc>
        <w:tc>
          <w:tcPr>
            <w:tcW w:w="705" w:type="pct"/>
          </w:tcPr>
          <w:p w14:paraId="32D32F1B" w14:textId="77777777" w:rsidR="00FB48D2" w:rsidRPr="003D5D1B" w:rsidRDefault="00FB48D2" w:rsidP="00246B9B">
            <w:pPr>
              <w:spacing w:after="0" w:line="240" w:lineRule="auto"/>
            </w:pPr>
          </w:p>
        </w:tc>
        <w:tc>
          <w:tcPr>
            <w:tcW w:w="654" w:type="pct"/>
          </w:tcPr>
          <w:p w14:paraId="6AC2F772" w14:textId="77777777" w:rsidR="00FB48D2" w:rsidRPr="003D5D1B" w:rsidRDefault="00FB48D2" w:rsidP="00246B9B">
            <w:pPr>
              <w:spacing w:after="0" w:line="240" w:lineRule="auto"/>
            </w:pPr>
          </w:p>
        </w:tc>
        <w:tc>
          <w:tcPr>
            <w:tcW w:w="598" w:type="pct"/>
          </w:tcPr>
          <w:p w14:paraId="549BCC0B" w14:textId="77777777" w:rsidR="00FB48D2" w:rsidRPr="003D5D1B" w:rsidRDefault="00FB48D2" w:rsidP="00246B9B">
            <w:pPr>
              <w:spacing w:after="0" w:line="240" w:lineRule="auto"/>
              <w:rPr>
                <w:b/>
              </w:rPr>
            </w:pPr>
          </w:p>
        </w:tc>
        <w:tc>
          <w:tcPr>
            <w:tcW w:w="704" w:type="pct"/>
          </w:tcPr>
          <w:p w14:paraId="77EFB6F5" w14:textId="21CC19AE" w:rsidR="00FB48D2" w:rsidRPr="003D5D1B" w:rsidRDefault="00FB48D2" w:rsidP="00616D0F">
            <w:pPr>
              <w:spacing w:after="0" w:line="240" w:lineRule="auto"/>
              <w:ind w:right="280"/>
              <w:rPr>
                <w:b/>
              </w:rPr>
            </w:pPr>
            <w:r w:rsidRPr="003D5D1B">
              <w:rPr>
                <w:b/>
              </w:rPr>
              <w:t>$</w:t>
            </w:r>
            <w:r w:rsidR="00043E9D">
              <w:rPr>
                <w:b/>
              </w:rPr>
              <w:t>3</w:t>
            </w:r>
            <w:r w:rsidRPr="003D5D1B">
              <w:rPr>
                <w:b/>
              </w:rPr>
              <w:t>.</w:t>
            </w:r>
            <w:r w:rsidR="00043E9D">
              <w:rPr>
                <w:b/>
              </w:rPr>
              <w:t>7</w:t>
            </w:r>
            <w:r w:rsidRPr="003D5D1B">
              <w:rPr>
                <w:b/>
              </w:rPr>
              <w:t xml:space="preserve"> million</w:t>
            </w:r>
          </w:p>
        </w:tc>
        <w:tc>
          <w:tcPr>
            <w:tcW w:w="602" w:type="pct"/>
          </w:tcPr>
          <w:p w14:paraId="3041C53E" w14:textId="328F17DE" w:rsidR="006F76AF" w:rsidRDefault="006F76AF" w:rsidP="00246B9B">
            <w:pPr>
              <w:spacing w:after="0" w:line="240" w:lineRule="auto"/>
              <w:rPr>
                <w:b/>
              </w:rPr>
            </w:pPr>
            <w:r>
              <w:rPr>
                <w:b/>
              </w:rPr>
              <w:t>$3.0 million</w:t>
            </w:r>
          </w:p>
        </w:tc>
      </w:tr>
    </w:tbl>
    <w:p w14:paraId="493EA251" w14:textId="1B5DDDB2" w:rsidR="00FB48D2" w:rsidRDefault="00020692" w:rsidP="00F0077F">
      <w:pPr>
        <w:pStyle w:val="FootnoteText"/>
      </w:pPr>
      <w:r>
        <w:t xml:space="preserve">Note the </w:t>
      </w:r>
      <w:r w:rsidR="00B55298">
        <w:t xml:space="preserve">sum </w:t>
      </w:r>
      <w:r>
        <w:t xml:space="preserve">of new and existing premises in this table is equal to the total number of prescribed accommodation facilities outlined in Table 4.4 </w:t>
      </w:r>
    </w:p>
    <w:p w14:paraId="79D617BE" w14:textId="77777777" w:rsidR="00020692" w:rsidRPr="003D5D1B" w:rsidRDefault="00020692" w:rsidP="00F0077F">
      <w:pPr>
        <w:pStyle w:val="FootnoteText"/>
      </w:pPr>
    </w:p>
    <w:p w14:paraId="3E609CF9" w14:textId="7B0EA889" w:rsidR="00832D37" w:rsidRDefault="00C50AB9" w:rsidP="00FB48D2">
      <w:pPr>
        <w:pStyle w:val="Heading4"/>
      </w:pPr>
      <w:r>
        <w:t>Attendance</w:t>
      </w:r>
      <w:r w:rsidR="00832D37">
        <w:t xml:space="preserve"> </w:t>
      </w:r>
      <w:r w:rsidR="00C0154A">
        <w:t xml:space="preserve">by proprietors </w:t>
      </w:r>
      <w:r w:rsidR="00832D37">
        <w:t>at Council inspections</w:t>
      </w:r>
    </w:p>
    <w:p w14:paraId="6A577BF2" w14:textId="19227BAC" w:rsidR="00736A2E" w:rsidRDefault="00832D37" w:rsidP="00616D0F">
      <w:r w:rsidRPr="003D5D1B">
        <w:t xml:space="preserve">The PHWA empowers a Council to inspect any prescribed accommodation premises to investigate, eliminate or reduce a public health risk. Councils may also conduct inspections prior to approving a registration or renewal application. </w:t>
      </w:r>
      <w:r>
        <w:t xml:space="preserve">Proprietors (or representatives on behalf of the proprietor) </w:t>
      </w:r>
      <w:r>
        <w:lastRenderedPageBreak/>
        <w:t xml:space="preserve">often attend inspections. </w:t>
      </w:r>
      <w:r w:rsidRPr="003D5D1B">
        <w:t>A 2018 survey of Councils suggests that all Councils conduct at least annual inspections of all prescribed accommodation facilities located within their municipalities, and that additional inspections are undertaken if complaints were received.</w:t>
      </w:r>
      <w:r w:rsidRPr="00BC3000">
        <w:rPr>
          <w:rStyle w:val="FootnoteReference"/>
        </w:rPr>
        <w:footnoteReference w:id="79"/>
      </w:r>
      <w:r w:rsidRPr="00BC3000">
        <w:t xml:space="preserve"> Th</w:t>
      </w:r>
      <w:r w:rsidRPr="003D5D1B">
        <w:t>is survey is the only available source of data on monitoring and enforcement activities undertaken by Councils. It found that on average, officers spent 1.15</w:t>
      </w:r>
      <w:r w:rsidRPr="00BC3000">
        <w:t xml:space="preserve"> hours inspecting a registered accommodation facility </w:t>
      </w:r>
      <w:r w:rsidR="006C34B0">
        <w:t xml:space="preserve">and </w:t>
      </w:r>
      <w:r w:rsidRPr="003D5D1B">
        <w:t>5.13</w:t>
      </w:r>
      <w:r w:rsidRPr="00BC3000">
        <w:t xml:space="preserve"> hours inspecting a first time regist</w:t>
      </w:r>
      <w:r w:rsidRPr="003D5D1B">
        <w:t>ration facility.</w:t>
      </w:r>
      <w:r w:rsidRPr="00BC3000">
        <w:rPr>
          <w:rStyle w:val="FootnoteReference"/>
        </w:rPr>
        <w:footnoteReference w:id="80"/>
      </w:r>
      <w:r w:rsidRPr="00BC3000">
        <w:t xml:space="preserve"> Assuming annual inspections </w:t>
      </w:r>
      <w:r w:rsidRPr="003D5D1B">
        <w:t xml:space="preserve">are undertaken for </w:t>
      </w:r>
      <w:r w:rsidRPr="00BC3000">
        <w:t xml:space="preserve">registration and renewal applications, </w:t>
      </w:r>
      <w:r>
        <w:t xml:space="preserve">and that 5% of existing facilities are subject to additional inspections due to complaints, </w:t>
      </w:r>
      <w:r w:rsidRPr="00BC3000">
        <w:t xml:space="preserve">the cost of </w:t>
      </w:r>
      <w:r w:rsidR="00D26737">
        <w:t xml:space="preserve">proprietors </w:t>
      </w:r>
      <w:r>
        <w:t xml:space="preserve">attending </w:t>
      </w:r>
      <w:r w:rsidRPr="00093FB8">
        <w:t xml:space="preserve">inspections is </w:t>
      </w:r>
      <w:r w:rsidRPr="00F0077F">
        <w:t>$</w:t>
      </w:r>
      <w:r w:rsidR="00300F5F" w:rsidRPr="00F0077F">
        <w:t>4</w:t>
      </w:r>
      <w:r w:rsidRPr="00F0077F">
        <w:t>.</w:t>
      </w:r>
      <w:r w:rsidR="00300F5F" w:rsidRPr="00F0077F">
        <w:t>6</w:t>
      </w:r>
      <w:r w:rsidRPr="00F0077F">
        <w:t xml:space="preserve"> million</w:t>
      </w:r>
      <w:r w:rsidRPr="003D5D1B">
        <w:t xml:space="preserve"> over 10 years</w:t>
      </w:r>
      <w:r w:rsidR="00532DFC">
        <w:t xml:space="preserve"> (or $3.7 million in NPV)</w:t>
      </w:r>
      <w:r w:rsidRPr="003D5D1B">
        <w:t>.</w:t>
      </w:r>
    </w:p>
    <w:p w14:paraId="3C58F07D" w14:textId="7822D53B" w:rsidR="00832D37" w:rsidRDefault="00832D37" w:rsidP="00717904">
      <w:pPr>
        <w:pStyle w:val="Caption"/>
      </w:pPr>
      <w:r>
        <w:t xml:space="preserve">Table </w:t>
      </w:r>
      <w:r w:rsidR="004335F8">
        <w:fldChar w:fldCharType="begin"/>
      </w:r>
      <w:r w:rsidR="004335F8">
        <w:instrText xml:space="preserve"> STYLEREF 1 \s </w:instrText>
      </w:r>
      <w:r w:rsidR="004335F8">
        <w:fldChar w:fldCharType="separate"/>
      </w:r>
      <w:r w:rsidR="00795309">
        <w:rPr>
          <w:noProof/>
        </w:rPr>
        <w:t>4</w:t>
      </w:r>
      <w:r w:rsidR="004335F8">
        <w:fldChar w:fldCharType="end"/>
      </w:r>
      <w:r w:rsidR="004335F8">
        <w:noBreakHyphen/>
      </w:r>
      <w:r w:rsidR="004335F8">
        <w:fldChar w:fldCharType="begin"/>
      </w:r>
      <w:r w:rsidR="004335F8">
        <w:instrText xml:space="preserve"> SEQ Table \* ARABIC \s 1 </w:instrText>
      </w:r>
      <w:r w:rsidR="004335F8">
        <w:fldChar w:fldCharType="separate"/>
      </w:r>
      <w:r w:rsidR="00795309">
        <w:rPr>
          <w:noProof/>
        </w:rPr>
        <w:t>8</w:t>
      </w:r>
      <w:r w:rsidR="004335F8">
        <w:fldChar w:fldCharType="end"/>
      </w:r>
      <w:r>
        <w:t xml:space="preserve"> Proprietor representation at Council inspections</w:t>
      </w:r>
    </w:p>
    <w:tbl>
      <w:tblPr>
        <w:tblStyle w:val="Deloittetable"/>
        <w:tblW w:w="5191" w:type="pct"/>
        <w:tblLayout w:type="fixed"/>
        <w:tblLook w:val="04A0" w:firstRow="1" w:lastRow="0" w:firstColumn="1" w:lastColumn="0" w:noHBand="0" w:noVBand="1"/>
      </w:tblPr>
      <w:tblGrid>
        <w:gridCol w:w="1417"/>
        <w:gridCol w:w="1419"/>
        <w:gridCol w:w="995"/>
        <w:gridCol w:w="1132"/>
        <w:gridCol w:w="1274"/>
        <w:gridCol w:w="849"/>
        <w:gridCol w:w="1106"/>
        <w:gridCol w:w="1179"/>
      </w:tblGrid>
      <w:tr w:rsidR="000F41DE" w:rsidRPr="003D5D1B" w14:paraId="5E67F73F" w14:textId="34063D4A" w:rsidTr="000F41DE">
        <w:trPr>
          <w:cnfStyle w:val="100000000000" w:firstRow="1" w:lastRow="0" w:firstColumn="0" w:lastColumn="0" w:oddVBand="0" w:evenVBand="0" w:oddHBand="0" w:evenHBand="0" w:firstRowFirstColumn="0" w:firstRowLastColumn="0" w:lastRowFirstColumn="0" w:lastRowLastColumn="0"/>
          <w:trHeight w:val="1358"/>
        </w:trPr>
        <w:tc>
          <w:tcPr>
            <w:tcW w:w="756" w:type="pct"/>
          </w:tcPr>
          <w:p w14:paraId="75584404" w14:textId="77777777" w:rsidR="000F41DE" w:rsidRPr="003D5D1B" w:rsidRDefault="000F41DE" w:rsidP="000F41DE">
            <w:pPr>
              <w:spacing w:after="0"/>
              <w:rPr>
                <w:b/>
              </w:rPr>
            </w:pPr>
            <w:r w:rsidRPr="003D5D1B">
              <w:rPr>
                <w:b/>
              </w:rPr>
              <w:t>Type of premises</w:t>
            </w:r>
          </w:p>
        </w:tc>
        <w:tc>
          <w:tcPr>
            <w:tcW w:w="757" w:type="pct"/>
          </w:tcPr>
          <w:p w14:paraId="56363D52" w14:textId="7B92A10C" w:rsidR="000F41DE" w:rsidRPr="000F41DE" w:rsidRDefault="000F41DE" w:rsidP="000F41DE">
            <w:pPr>
              <w:spacing w:after="0"/>
              <w:ind w:right="140"/>
              <w:rPr>
                <w:b/>
              </w:rPr>
            </w:pPr>
            <w:r w:rsidRPr="000F41DE">
              <w:rPr>
                <w:b/>
                <w:lang w:val="en-GB"/>
              </w:rPr>
              <w:t>No. of new registrations 2021-30</w:t>
            </w:r>
          </w:p>
        </w:tc>
        <w:tc>
          <w:tcPr>
            <w:tcW w:w="531" w:type="pct"/>
          </w:tcPr>
          <w:p w14:paraId="79DB53F8" w14:textId="001A1A0A" w:rsidR="000F41DE" w:rsidRPr="000F41DE" w:rsidRDefault="000F41DE" w:rsidP="000F41DE">
            <w:pPr>
              <w:spacing w:after="0"/>
              <w:rPr>
                <w:b/>
              </w:rPr>
            </w:pPr>
            <w:r w:rsidRPr="000F41DE">
              <w:rPr>
                <w:b/>
                <w:lang w:val="en-GB"/>
              </w:rPr>
              <w:t>No. of renewals 2021-30</w:t>
            </w:r>
          </w:p>
        </w:tc>
        <w:tc>
          <w:tcPr>
            <w:tcW w:w="604" w:type="pct"/>
          </w:tcPr>
          <w:p w14:paraId="395BF327" w14:textId="18A9BDEA" w:rsidR="000F41DE" w:rsidRPr="003D5D1B" w:rsidRDefault="000F41DE" w:rsidP="000F41DE">
            <w:pPr>
              <w:spacing w:after="0"/>
              <w:rPr>
                <w:b/>
              </w:rPr>
            </w:pPr>
            <w:r>
              <w:rPr>
                <w:b/>
              </w:rPr>
              <w:t>No. inspections due to complaints 2021-30</w:t>
            </w:r>
          </w:p>
        </w:tc>
        <w:tc>
          <w:tcPr>
            <w:tcW w:w="680" w:type="pct"/>
          </w:tcPr>
          <w:p w14:paraId="6E31417C" w14:textId="1D1927C5" w:rsidR="000F41DE" w:rsidRPr="003D5D1B" w:rsidRDefault="000F41DE" w:rsidP="000F41DE">
            <w:pPr>
              <w:spacing w:after="0"/>
              <w:rPr>
                <w:b/>
              </w:rPr>
            </w:pPr>
            <w:r w:rsidRPr="003D5D1B">
              <w:rPr>
                <w:b/>
              </w:rPr>
              <w:t>Time required</w:t>
            </w:r>
            <w:r>
              <w:rPr>
                <w:b/>
              </w:rPr>
              <w:t xml:space="preserve"> (hours)</w:t>
            </w:r>
          </w:p>
        </w:tc>
        <w:tc>
          <w:tcPr>
            <w:tcW w:w="453" w:type="pct"/>
          </w:tcPr>
          <w:p w14:paraId="72AA1D91" w14:textId="00445A96" w:rsidR="000F41DE" w:rsidRPr="003D5D1B" w:rsidRDefault="000F41DE" w:rsidP="000F41DE">
            <w:pPr>
              <w:spacing w:after="0"/>
              <w:rPr>
                <w:b/>
              </w:rPr>
            </w:pPr>
            <w:r w:rsidRPr="003D5D1B">
              <w:rPr>
                <w:b/>
              </w:rPr>
              <w:t>Hourly wage</w:t>
            </w:r>
          </w:p>
        </w:tc>
        <w:tc>
          <w:tcPr>
            <w:tcW w:w="590" w:type="pct"/>
          </w:tcPr>
          <w:p w14:paraId="033D36B2" w14:textId="477090E7" w:rsidR="000F41DE" w:rsidRPr="003D5D1B" w:rsidRDefault="000F41DE" w:rsidP="000F41DE">
            <w:pPr>
              <w:spacing w:after="0"/>
              <w:rPr>
                <w:b/>
              </w:rPr>
            </w:pPr>
            <w:r w:rsidRPr="003D5D1B">
              <w:rPr>
                <w:b/>
              </w:rPr>
              <w:t>Total cost</w:t>
            </w:r>
            <w:r>
              <w:rPr>
                <w:b/>
              </w:rPr>
              <w:t xml:space="preserve">       </w:t>
            </w:r>
            <w:r w:rsidRPr="003D5D1B">
              <w:rPr>
                <w:b/>
              </w:rPr>
              <w:t>2021-30</w:t>
            </w:r>
            <w:r>
              <w:rPr>
                <w:b/>
              </w:rPr>
              <w:t xml:space="preserve"> </w:t>
            </w:r>
          </w:p>
        </w:tc>
        <w:tc>
          <w:tcPr>
            <w:tcW w:w="630" w:type="pct"/>
          </w:tcPr>
          <w:p w14:paraId="63BF255B" w14:textId="49422082" w:rsidR="000F41DE" w:rsidRPr="003D5D1B" w:rsidRDefault="000F41DE" w:rsidP="000F41DE">
            <w:pPr>
              <w:spacing w:after="0"/>
              <w:rPr>
                <w:b/>
              </w:rPr>
            </w:pPr>
            <w:r w:rsidRPr="003D5D1B">
              <w:rPr>
                <w:b/>
              </w:rPr>
              <w:t>Total cost</w:t>
            </w:r>
            <w:r>
              <w:rPr>
                <w:b/>
              </w:rPr>
              <w:t xml:space="preserve">       </w:t>
            </w:r>
            <w:r w:rsidRPr="003D5D1B">
              <w:rPr>
                <w:b/>
              </w:rPr>
              <w:t>2021-</w:t>
            </w:r>
            <w:r>
              <w:rPr>
                <w:b/>
              </w:rPr>
              <w:t>3</w:t>
            </w:r>
            <w:r w:rsidRPr="003D5D1B">
              <w:rPr>
                <w:b/>
              </w:rPr>
              <w:t>0</w:t>
            </w:r>
            <w:r>
              <w:rPr>
                <w:b/>
              </w:rPr>
              <w:t xml:space="preserve"> NPV</w:t>
            </w:r>
          </w:p>
        </w:tc>
      </w:tr>
      <w:tr w:rsidR="000F41DE" w:rsidRPr="003D5D1B" w14:paraId="623189FD" w14:textId="2F750B8D" w:rsidTr="000F41DE">
        <w:trPr>
          <w:trHeight w:val="1108"/>
        </w:trPr>
        <w:tc>
          <w:tcPr>
            <w:tcW w:w="756" w:type="pct"/>
          </w:tcPr>
          <w:p w14:paraId="558508A6" w14:textId="77777777" w:rsidR="00300F5F" w:rsidRPr="003D5D1B" w:rsidRDefault="00300F5F" w:rsidP="0018584C">
            <w:pPr>
              <w:spacing w:after="0" w:line="240" w:lineRule="auto"/>
            </w:pPr>
            <w:r w:rsidRPr="003D5D1B">
              <w:t>Residential accommodation</w:t>
            </w:r>
          </w:p>
        </w:tc>
        <w:tc>
          <w:tcPr>
            <w:tcW w:w="757" w:type="pct"/>
          </w:tcPr>
          <w:p w14:paraId="6BA9B433" w14:textId="77777777" w:rsidR="00300F5F" w:rsidRPr="003D5D1B" w:rsidRDefault="00300F5F" w:rsidP="00CC3499">
            <w:pPr>
              <w:spacing w:after="0" w:line="240" w:lineRule="auto"/>
              <w:jc w:val="center"/>
            </w:pPr>
            <w:r w:rsidRPr="003D5D1B">
              <w:t>448</w:t>
            </w:r>
          </w:p>
        </w:tc>
        <w:tc>
          <w:tcPr>
            <w:tcW w:w="531" w:type="pct"/>
          </w:tcPr>
          <w:p w14:paraId="6872F7F2" w14:textId="77777777" w:rsidR="00300F5F" w:rsidRPr="003D5D1B" w:rsidRDefault="00300F5F" w:rsidP="00CC3499">
            <w:pPr>
              <w:spacing w:after="0" w:line="240" w:lineRule="auto"/>
            </w:pPr>
            <w:r w:rsidRPr="003D5D1B">
              <w:t xml:space="preserve"> 17,867 </w:t>
            </w:r>
          </w:p>
        </w:tc>
        <w:tc>
          <w:tcPr>
            <w:tcW w:w="604" w:type="pct"/>
          </w:tcPr>
          <w:p w14:paraId="70A5CA58" w14:textId="27071212" w:rsidR="00300F5F" w:rsidRPr="00093FB8" w:rsidRDefault="00300F5F" w:rsidP="00CC3499">
            <w:pPr>
              <w:spacing w:after="0" w:line="240" w:lineRule="auto"/>
            </w:pPr>
            <w:r w:rsidRPr="00F0077F">
              <w:t xml:space="preserve">893 </w:t>
            </w:r>
          </w:p>
        </w:tc>
        <w:tc>
          <w:tcPr>
            <w:tcW w:w="680" w:type="pct"/>
          </w:tcPr>
          <w:p w14:paraId="568FC4F0" w14:textId="08E5FCF0" w:rsidR="00300F5F" w:rsidRPr="00F0077F" w:rsidRDefault="00300F5F" w:rsidP="00CC3499">
            <w:pPr>
              <w:spacing w:after="0" w:line="240" w:lineRule="auto"/>
            </w:pPr>
            <w:r w:rsidRPr="00F0077F">
              <w:t>Renewal</w:t>
            </w:r>
            <w:r w:rsidRPr="00093FB8">
              <w:t xml:space="preserve"> – 1</w:t>
            </w:r>
            <w:r w:rsidRPr="00F0077F">
              <w:t>.15</w:t>
            </w:r>
            <w:r w:rsidRPr="00093FB8">
              <w:t xml:space="preserve">   </w:t>
            </w:r>
          </w:p>
          <w:p w14:paraId="7CADD9F6" w14:textId="7A253144" w:rsidR="00300F5F" w:rsidRPr="00F0077F" w:rsidRDefault="00300F5F" w:rsidP="00CC3499">
            <w:pPr>
              <w:spacing w:after="0" w:line="240" w:lineRule="auto"/>
            </w:pPr>
            <w:r w:rsidRPr="00F0077F">
              <w:t>Registration – 5.13</w:t>
            </w:r>
          </w:p>
          <w:p w14:paraId="1D9EDCA7" w14:textId="7FDFF2BD" w:rsidR="00300F5F" w:rsidRPr="00F0077F" w:rsidRDefault="00300F5F" w:rsidP="00CC3499">
            <w:pPr>
              <w:spacing w:after="0" w:line="240" w:lineRule="auto"/>
              <w:rPr>
                <w:color w:val="FF0000"/>
              </w:rPr>
            </w:pPr>
            <w:r w:rsidRPr="00F0077F">
              <w:t>Complaints – 1.15</w:t>
            </w:r>
          </w:p>
        </w:tc>
        <w:tc>
          <w:tcPr>
            <w:tcW w:w="453" w:type="pct"/>
          </w:tcPr>
          <w:p w14:paraId="7283AF0F" w14:textId="10056E0A" w:rsidR="00300F5F" w:rsidRPr="003D5D1B" w:rsidRDefault="00300F5F" w:rsidP="00CC3499">
            <w:pPr>
              <w:spacing w:after="0" w:line="240" w:lineRule="auto"/>
            </w:pPr>
            <w:r w:rsidRPr="003D5D1B">
              <w:t>$</w:t>
            </w:r>
            <w:r>
              <w:t>62</w:t>
            </w:r>
            <w:r w:rsidRPr="003D5D1B">
              <w:t>.</w:t>
            </w:r>
            <w:r>
              <w:t>64</w:t>
            </w:r>
          </w:p>
        </w:tc>
        <w:tc>
          <w:tcPr>
            <w:tcW w:w="590" w:type="pct"/>
          </w:tcPr>
          <w:p w14:paraId="40DFBBB9" w14:textId="005D2203" w:rsidR="00300F5F" w:rsidRPr="00F0077F" w:rsidRDefault="00300F5F" w:rsidP="0018584C">
            <w:pPr>
              <w:spacing w:after="0" w:line="240" w:lineRule="auto"/>
              <w:rPr>
                <w:color w:val="FF0000"/>
                <w:szCs w:val="17"/>
              </w:rPr>
            </w:pPr>
            <w:r w:rsidRPr="00F0077F">
              <w:rPr>
                <w:bCs/>
                <w:color w:val="000000"/>
                <w:szCs w:val="17"/>
              </w:rPr>
              <w:t>$1,498,309</w:t>
            </w:r>
          </w:p>
        </w:tc>
        <w:tc>
          <w:tcPr>
            <w:tcW w:w="630" w:type="pct"/>
          </w:tcPr>
          <w:p w14:paraId="14910D22" w14:textId="182B1BA9" w:rsidR="00532DFC" w:rsidRPr="006F5269" w:rsidRDefault="00532DFC" w:rsidP="00CC3499">
            <w:pPr>
              <w:spacing w:after="0" w:line="240" w:lineRule="auto"/>
            </w:pPr>
            <w:r w:rsidRPr="006F5269">
              <w:t>$1,205,566</w:t>
            </w:r>
          </w:p>
        </w:tc>
      </w:tr>
      <w:tr w:rsidR="000F41DE" w:rsidRPr="003D5D1B" w14:paraId="359F263D" w14:textId="653CCF54" w:rsidTr="000F41DE">
        <w:trPr>
          <w:trHeight w:val="305"/>
        </w:trPr>
        <w:tc>
          <w:tcPr>
            <w:tcW w:w="756" w:type="pct"/>
          </w:tcPr>
          <w:p w14:paraId="21878A53" w14:textId="77777777" w:rsidR="009113B9" w:rsidRPr="003D5D1B" w:rsidRDefault="009113B9" w:rsidP="0018584C">
            <w:pPr>
              <w:spacing w:after="0" w:line="240" w:lineRule="auto"/>
            </w:pPr>
            <w:r w:rsidRPr="003D5D1B">
              <w:t>Hotels &amp; motels</w:t>
            </w:r>
          </w:p>
        </w:tc>
        <w:tc>
          <w:tcPr>
            <w:tcW w:w="757" w:type="pct"/>
          </w:tcPr>
          <w:p w14:paraId="67D25CB4" w14:textId="77777777" w:rsidR="009113B9" w:rsidRPr="003D5D1B" w:rsidRDefault="009113B9" w:rsidP="00CC3499">
            <w:pPr>
              <w:spacing w:after="0" w:line="240" w:lineRule="auto"/>
              <w:jc w:val="center"/>
            </w:pPr>
            <w:r w:rsidRPr="003D5D1B">
              <w:t>258</w:t>
            </w:r>
          </w:p>
        </w:tc>
        <w:tc>
          <w:tcPr>
            <w:tcW w:w="531" w:type="pct"/>
          </w:tcPr>
          <w:p w14:paraId="0C3B5B55" w14:textId="77777777" w:rsidR="009113B9" w:rsidRPr="003D5D1B" w:rsidRDefault="009113B9" w:rsidP="00CC3499">
            <w:pPr>
              <w:spacing w:after="0" w:line="240" w:lineRule="auto"/>
            </w:pPr>
            <w:r w:rsidRPr="003D5D1B">
              <w:t xml:space="preserve"> 14,675 </w:t>
            </w:r>
          </w:p>
        </w:tc>
        <w:tc>
          <w:tcPr>
            <w:tcW w:w="604" w:type="pct"/>
          </w:tcPr>
          <w:p w14:paraId="61F696E8" w14:textId="7855B154" w:rsidR="009113B9" w:rsidRPr="00A82591" w:rsidRDefault="009113B9" w:rsidP="00CC3499">
            <w:pPr>
              <w:spacing w:after="0" w:line="240" w:lineRule="auto"/>
            </w:pPr>
            <w:r>
              <w:rPr>
                <w:color w:val="000000"/>
                <w:sz w:val="18"/>
              </w:rPr>
              <w:t xml:space="preserve"> 734 </w:t>
            </w:r>
          </w:p>
        </w:tc>
        <w:tc>
          <w:tcPr>
            <w:tcW w:w="680" w:type="pct"/>
          </w:tcPr>
          <w:p w14:paraId="5C2B7B9B" w14:textId="3FAE435D" w:rsidR="009113B9" w:rsidRPr="00F0077F" w:rsidRDefault="009113B9" w:rsidP="00CC3499">
            <w:pPr>
              <w:spacing w:after="0" w:line="240" w:lineRule="auto"/>
              <w:rPr>
                <w:color w:val="FF0000"/>
              </w:rPr>
            </w:pPr>
            <w:r w:rsidRPr="00E96EE1">
              <w:t>As above</w:t>
            </w:r>
          </w:p>
        </w:tc>
        <w:tc>
          <w:tcPr>
            <w:tcW w:w="453" w:type="pct"/>
          </w:tcPr>
          <w:p w14:paraId="0B31DE33" w14:textId="1B5B19F5" w:rsidR="009113B9" w:rsidRPr="003D5D1B" w:rsidRDefault="009113B9" w:rsidP="00CC3499">
            <w:pPr>
              <w:spacing w:after="0" w:line="240" w:lineRule="auto"/>
            </w:pPr>
            <w:r w:rsidRPr="00E96EE1">
              <w:t>As above</w:t>
            </w:r>
          </w:p>
        </w:tc>
        <w:tc>
          <w:tcPr>
            <w:tcW w:w="590" w:type="pct"/>
          </w:tcPr>
          <w:p w14:paraId="13260BCB" w14:textId="48EFCD11" w:rsidR="009113B9" w:rsidRPr="00F0077F" w:rsidRDefault="009113B9" w:rsidP="0018584C">
            <w:pPr>
              <w:spacing w:after="0" w:line="240" w:lineRule="auto"/>
              <w:rPr>
                <w:color w:val="FF0000"/>
                <w:szCs w:val="17"/>
              </w:rPr>
            </w:pPr>
            <w:r w:rsidRPr="00F0077F">
              <w:rPr>
                <w:bCs/>
                <w:color w:val="000000"/>
                <w:szCs w:val="17"/>
              </w:rPr>
              <w:t>$1,195,002</w:t>
            </w:r>
          </w:p>
        </w:tc>
        <w:tc>
          <w:tcPr>
            <w:tcW w:w="630" w:type="pct"/>
          </w:tcPr>
          <w:p w14:paraId="5C0BF96F" w14:textId="6A2E6000" w:rsidR="009113B9" w:rsidRPr="006F5269" w:rsidRDefault="009113B9" w:rsidP="00CC3499">
            <w:pPr>
              <w:spacing w:after="0" w:line="240" w:lineRule="auto"/>
            </w:pPr>
            <w:r w:rsidRPr="006F5269">
              <w:t>$963,821</w:t>
            </w:r>
          </w:p>
        </w:tc>
      </w:tr>
      <w:tr w:rsidR="000F41DE" w:rsidRPr="003D5D1B" w14:paraId="776165B9" w14:textId="22855B2F" w:rsidTr="000F41DE">
        <w:trPr>
          <w:trHeight w:val="218"/>
        </w:trPr>
        <w:tc>
          <w:tcPr>
            <w:tcW w:w="756" w:type="pct"/>
          </w:tcPr>
          <w:p w14:paraId="358AD48B" w14:textId="77777777" w:rsidR="009113B9" w:rsidRPr="003D5D1B" w:rsidRDefault="009113B9" w:rsidP="0018584C">
            <w:pPr>
              <w:spacing w:after="0" w:line="240" w:lineRule="auto"/>
            </w:pPr>
            <w:r w:rsidRPr="003D5D1B">
              <w:t>Hostels</w:t>
            </w:r>
          </w:p>
        </w:tc>
        <w:tc>
          <w:tcPr>
            <w:tcW w:w="757" w:type="pct"/>
          </w:tcPr>
          <w:p w14:paraId="2A089EEE" w14:textId="77777777" w:rsidR="009113B9" w:rsidRPr="003D5D1B" w:rsidRDefault="009113B9" w:rsidP="00CC3499">
            <w:pPr>
              <w:spacing w:after="0" w:line="240" w:lineRule="auto"/>
              <w:jc w:val="center"/>
            </w:pPr>
            <w:r w:rsidRPr="003D5D1B">
              <w:t>22</w:t>
            </w:r>
          </w:p>
        </w:tc>
        <w:tc>
          <w:tcPr>
            <w:tcW w:w="531" w:type="pct"/>
          </w:tcPr>
          <w:p w14:paraId="27C5E069" w14:textId="77777777" w:rsidR="009113B9" w:rsidRPr="003D5D1B" w:rsidRDefault="009113B9" w:rsidP="00CC3499">
            <w:pPr>
              <w:spacing w:after="0" w:line="240" w:lineRule="auto"/>
            </w:pPr>
            <w:r w:rsidRPr="003D5D1B">
              <w:t xml:space="preserve"> 2,208 </w:t>
            </w:r>
          </w:p>
        </w:tc>
        <w:tc>
          <w:tcPr>
            <w:tcW w:w="604" w:type="pct"/>
          </w:tcPr>
          <w:p w14:paraId="7067A932" w14:textId="6C278956" w:rsidR="009113B9" w:rsidRPr="00A82591" w:rsidRDefault="009113B9" w:rsidP="00CC3499">
            <w:pPr>
              <w:spacing w:after="0" w:line="240" w:lineRule="auto"/>
            </w:pPr>
            <w:r>
              <w:rPr>
                <w:color w:val="000000"/>
                <w:sz w:val="18"/>
              </w:rPr>
              <w:t xml:space="preserve">110 </w:t>
            </w:r>
          </w:p>
        </w:tc>
        <w:tc>
          <w:tcPr>
            <w:tcW w:w="680" w:type="pct"/>
          </w:tcPr>
          <w:p w14:paraId="6D3EEEB7" w14:textId="33219AEB" w:rsidR="009113B9" w:rsidRPr="00F0077F" w:rsidRDefault="009113B9" w:rsidP="00CC3499">
            <w:pPr>
              <w:spacing w:after="0" w:line="240" w:lineRule="auto"/>
              <w:rPr>
                <w:color w:val="FF0000"/>
              </w:rPr>
            </w:pPr>
            <w:r w:rsidRPr="00E96EE1">
              <w:t>As above</w:t>
            </w:r>
          </w:p>
        </w:tc>
        <w:tc>
          <w:tcPr>
            <w:tcW w:w="453" w:type="pct"/>
          </w:tcPr>
          <w:p w14:paraId="2258C2C4" w14:textId="2B40E53E" w:rsidR="009113B9" w:rsidRPr="003D5D1B" w:rsidRDefault="009113B9" w:rsidP="00CC3499">
            <w:pPr>
              <w:spacing w:after="0" w:line="240" w:lineRule="auto"/>
            </w:pPr>
            <w:r w:rsidRPr="00E96EE1">
              <w:t>As above</w:t>
            </w:r>
          </w:p>
        </w:tc>
        <w:tc>
          <w:tcPr>
            <w:tcW w:w="590" w:type="pct"/>
          </w:tcPr>
          <w:p w14:paraId="42349C6A" w14:textId="7D85F259" w:rsidR="009113B9" w:rsidRPr="00F0077F" w:rsidRDefault="009113B9" w:rsidP="0018584C">
            <w:pPr>
              <w:spacing w:after="0" w:line="240" w:lineRule="auto"/>
              <w:rPr>
                <w:color w:val="FF0000"/>
                <w:szCs w:val="17"/>
              </w:rPr>
            </w:pPr>
            <w:r w:rsidRPr="00F0077F">
              <w:rPr>
                <w:bCs/>
                <w:color w:val="000000"/>
                <w:szCs w:val="17"/>
              </w:rPr>
              <w:t>$174,369</w:t>
            </w:r>
          </w:p>
        </w:tc>
        <w:tc>
          <w:tcPr>
            <w:tcW w:w="630" w:type="pct"/>
          </w:tcPr>
          <w:p w14:paraId="285715C6" w14:textId="7470BB6A" w:rsidR="009113B9" w:rsidRPr="006F5269" w:rsidRDefault="009113B9" w:rsidP="00CC3499">
            <w:pPr>
              <w:spacing w:after="0" w:line="240" w:lineRule="auto"/>
            </w:pPr>
            <w:r w:rsidRPr="006F5269">
              <w:t>$140,979</w:t>
            </w:r>
          </w:p>
        </w:tc>
      </w:tr>
      <w:tr w:rsidR="000F41DE" w:rsidRPr="003D5D1B" w14:paraId="1F1663EB" w14:textId="497630D4" w:rsidTr="000F41DE">
        <w:trPr>
          <w:trHeight w:val="272"/>
        </w:trPr>
        <w:tc>
          <w:tcPr>
            <w:tcW w:w="756" w:type="pct"/>
          </w:tcPr>
          <w:p w14:paraId="6E885487" w14:textId="77777777" w:rsidR="009113B9" w:rsidRPr="003D5D1B" w:rsidRDefault="009113B9" w:rsidP="0018584C">
            <w:pPr>
              <w:spacing w:after="0" w:line="240" w:lineRule="auto"/>
            </w:pPr>
            <w:r w:rsidRPr="003D5D1B">
              <w:t>Student dormitories</w:t>
            </w:r>
          </w:p>
        </w:tc>
        <w:tc>
          <w:tcPr>
            <w:tcW w:w="757" w:type="pct"/>
          </w:tcPr>
          <w:p w14:paraId="7F1FB5A7" w14:textId="77777777" w:rsidR="009113B9" w:rsidRPr="003D5D1B" w:rsidRDefault="009113B9" w:rsidP="00CC3499">
            <w:pPr>
              <w:spacing w:after="0" w:line="240" w:lineRule="auto"/>
              <w:jc w:val="center"/>
            </w:pPr>
            <w:r w:rsidRPr="003D5D1B">
              <w:t>44</w:t>
            </w:r>
          </w:p>
        </w:tc>
        <w:tc>
          <w:tcPr>
            <w:tcW w:w="531" w:type="pct"/>
          </w:tcPr>
          <w:p w14:paraId="7E88B62F" w14:textId="77777777" w:rsidR="009113B9" w:rsidRPr="003D5D1B" w:rsidRDefault="009113B9" w:rsidP="00CC3499">
            <w:pPr>
              <w:spacing w:after="0" w:line="240" w:lineRule="auto"/>
            </w:pPr>
            <w:r w:rsidRPr="003D5D1B">
              <w:t xml:space="preserve"> 1,966 </w:t>
            </w:r>
          </w:p>
        </w:tc>
        <w:tc>
          <w:tcPr>
            <w:tcW w:w="604" w:type="pct"/>
          </w:tcPr>
          <w:p w14:paraId="5A2D588E" w14:textId="6DD035EB" w:rsidR="009113B9" w:rsidRPr="00A82591" w:rsidRDefault="009113B9" w:rsidP="00CC3499">
            <w:pPr>
              <w:spacing w:after="0" w:line="240" w:lineRule="auto"/>
            </w:pPr>
            <w:r>
              <w:rPr>
                <w:color w:val="000000"/>
                <w:sz w:val="18"/>
              </w:rPr>
              <w:t xml:space="preserve">98 </w:t>
            </w:r>
          </w:p>
        </w:tc>
        <w:tc>
          <w:tcPr>
            <w:tcW w:w="680" w:type="pct"/>
          </w:tcPr>
          <w:p w14:paraId="5DC22647" w14:textId="6B21706E" w:rsidR="009113B9" w:rsidRPr="00F0077F" w:rsidRDefault="009113B9" w:rsidP="00CC3499">
            <w:pPr>
              <w:spacing w:after="0" w:line="240" w:lineRule="auto"/>
              <w:rPr>
                <w:color w:val="FF0000"/>
              </w:rPr>
            </w:pPr>
            <w:r w:rsidRPr="00E96EE1">
              <w:t>As above</w:t>
            </w:r>
          </w:p>
        </w:tc>
        <w:tc>
          <w:tcPr>
            <w:tcW w:w="453" w:type="pct"/>
          </w:tcPr>
          <w:p w14:paraId="7C435FB6" w14:textId="7CE3275D" w:rsidR="009113B9" w:rsidRPr="003D5D1B" w:rsidRDefault="009113B9" w:rsidP="00CC3499">
            <w:pPr>
              <w:spacing w:after="0" w:line="240" w:lineRule="auto"/>
            </w:pPr>
            <w:r w:rsidRPr="00E96EE1">
              <w:t>As above</w:t>
            </w:r>
          </w:p>
        </w:tc>
        <w:tc>
          <w:tcPr>
            <w:tcW w:w="590" w:type="pct"/>
          </w:tcPr>
          <w:p w14:paraId="3FBBB4DD" w14:textId="5E0C0557" w:rsidR="009113B9" w:rsidRPr="00F0077F" w:rsidRDefault="009113B9" w:rsidP="0018584C">
            <w:pPr>
              <w:spacing w:after="0" w:line="240" w:lineRule="auto"/>
              <w:rPr>
                <w:color w:val="FF0000"/>
                <w:szCs w:val="17"/>
              </w:rPr>
            </w:pPr>
            <w:r w:rsidRPr="00F0077F">
              <w:rPr>
                <w:bCs/>
                <w:color w:val="000000"/>
                <w:szCs w:val="17"/>
              </w:rPr>
              <w:t>$163,048</w:t>
            </w:r>
          </w:p>
        </w:tc>
        <w:tc>
          <w:tcPr>
            <w:tcW w:w="630" w:type="pct"/>
          </w:tcPr>
          <w:p w14:paraId="03C4EBDE" w14:textId="04823C61" w:rsidR="009113B9" w:rsidRPr="006F5269" w:rsidRDefault="009113B9" w:rsidP="00CC3499">
            <w:pPr>
              <w:spacing w:after="0" w:line="240" w:lineRule="auto"/>
            </w:pPr>
            <w:r w:rsidRPr="006F5269">
              <w:t>$131,309</w:t>
            </w:r>
          </w:p>
        </w:tc>
      </w:tr>
      <w:tr w:rsidR="000F41DE" w:rsidRPr="003D5D1B" w14:paraId="7B91DC08" w14:textId="073F7F19" w:rsidTr="000F41DE">
        <w:trPr>
          <w:trHeight w:val="282"/>
        </w:trPr>
        <w:tc>
          <w:tcPr>
            <w:tcW w:w="756" w:type="pct"/>
          </w:tcPr>
          <w:p w14:paraId="3903FBD9" w14:textId="77777777" w:rsidR="009113B9" w:rsidRPr="003D5D1B" w:rsidRDefault="009113B9" w:rsidP="0018584C">
            <w:pPr>
              <w:spacing w:after="0" w:line="240" w:lineRule="auto"/>
            </w:pPr>
            <w:r w:rsidRPr="003D5D1B">
              <w:t>Holiday camps</w:t>
            </w:r>
          </w:p>
        </w:tc>
        <w:tc>
          <w:tcPr>
            <w:tcW w:w="757" w:type="pct"/>
          </w:tcPr>
          <w:p w14:paraId="68E186A0" w14:textId="77777777" w:rsidR="009113B9" w:rsidRPr="003D5D1B" w:rsidRDefault="009113B9" w:rsidP="00CC3499">
            <w:pPr>
              <w:spacing w:after="0" w:line="240" w:lineRule="auto"/>
              <w:jc w:val="center"/>
            </w:pPr>
            <w:r w:rsidRPr="003D5D1B">
              <w:t>-</w:t>
            </w:r>
          </w:p>
        </w:tc>
        <w:tc>
          <w:tcPr>
            <w:tcW w:w="531" w:type="pct"/>
          </w:tcPr>
          <w:p w14:paraId="2EF69D50" w14:textId="77777777" w:rsidR="009113B9" w:rsidRPr="003D5D1B" w:rsidRDefault="009113B9" w:rsidP="00CC3499">
            <w:pPr>
              <w:spacing w:after="0" w:line="240" w:lineRule="auto"/>
            </w:pPr>
            <w:r w:rsidRPr="003D5D1B">
              <w:t xml:space="preserve"> 3,150 </w:t>
            </w:r>
          </w:p>
        </w:tc>
        <w:tc>
          <w:tcPr>
            <w:tcW w:w="604" w:type="pct"/>
          </w:tcPr>
          <w:p w14:paraId="7914C415" w14:textId="669999F2" w:rsidR="009113B9" w:rsidRPr="00A82591" w:rsidRDefault="009113B9" w:rsidP="00CC3499">
            <w:pPr>
              <w:spacing w:after="0" w:line="240" w:lineRule="auto"/>
            </w:pPr>
            <w:r>
              <w:rPr>
                <w:color w:val="000000"/>
                <w:sz w:val="18"/>
              </w:rPr>
              <w:t xml:space="preserve"> 158 </w:t>
            </w:r>
          </w:p>
        </w:tc>
        <w:tc>
          <w:tcPr>
            <w:tcW w:w="680" w:type="pct"/>
          </w:tcPr>
          <w:p w14:paraId="45FDE333" w14:textId="6A5B1F26" w:rsidR="009113B9" w:rsidRPr="00F0077F" w:rsidRDefault="009113B9" w:rsidP="00CC3499">
            <w:pPr>
              <w:spacing w:after="0" w:line="240" w:lineRule="auto"/>
              <w:rPr>
                <w:color w:val="FF0000"/>
              </w:rPr>
            </w:pPr>
            <w:r w:rsidRPr="00E96EE1">
              <w:t>As above</w:t>
            </w:r>
          </w:p>
        </w:tc>
        <w:tc>
          <w:tcPr>
            <w:tcW w:w="453" w:type="pct"/>
          </w:tcPr>
          <w:p w14:paraId="3801ECE6" w14:textId="44C6D443" w:rsidR="009113B9" w:rsidRPr="003D5D1B" w:rsidRDefault="009113B9" w:rsidP="00CC3499">
            <w:pPr>
              <w:spacing w:after="0" w:line="240" w:lineRule="auto"/>
            </w:pPr>
            <w:r w:rsidRPr="00E96EE1">
              <w:t>As above</w:t>
            </w:r>
          </w:p>
        </w:tc>
        <w:tc>
          <w:tcPr>
            <w:tcW w:w="590" w:type="pct"/>
          </w:tcPr>
          <w:p w14:paraId="3CEA176F" w14:textId="3FB6CFCC" w:rsidR="009113B9" w:rsidRPr="00F0077F" w:rsidRDefault="009113B9" w:rsidP="0018584C">
            <w:pPr>
              <w:spacing w:after="0" w:line="240" w:lineRule="auto"/>
              <w:rPr>
                <w:color w:val="FF0000"/>
                <w:szCs w:val="17"/>
              </w:rPr>
            </w:pPr>
            <w:r w:rsidRPr="00F0077F">
              <w:rPr>
                <w:bCs/>
                <w:color w:val="000000"/>
                <w:szCs w:val="17"/>
              </w:rPr>
              <w:t>$238,734</w:t>
            </w:r>
          </w:p>
        </w:tc>
        <w:tc>
          <w:tcPr>
            <w:tcW w:w="630" w:type="pct"/>
          </w:tcPr>
          <w:p w14:paraId="1BA0DE24" w14:textId="2D6F776C" w:rsidR="009113B9" w:rsidRPr="006F5269" w:rsidRDefault="009113B9" w:rsidP="00CC3499">
            <w:pPr>
              <w:spacing w:after="0" w:line="240" w:lineRule="auto"/>
            </w:pPr>
            <w:r w:rsidRPr="006F5269">
              <w:t>$193,635</w:t>
            </w:r>
          </w:p>
        </w:tc>
      </w:tr>
      <w:tr w:rsidR="000F41DE" w:rsidRPr="003D5D1B" w14:paraId="24ADF4C3" w14:textId="385107E9" w:rsidTr="000F41DE">
        <w:trPr>
          <w:trHeight w:val="401"/>
        </w:trPr>
        <w:tc>
          <w:tcPr>
            <w:tcW w:w="756" w:type="pct"/>
          </w:tcPr>
          <w:p w14:paraId="25B30F87" w14:textId="77777777" w:rsidR="009113B9" w:rsidRPr="003D5D1B" w:rsidRDefault="009113B9" w:rsidP="0018584C">
            <w:pPr>
              <w:spacing w:after="0" w:line="240" w:lineRule="auto"/>
            </w:pPr>
            <w:r w:rsidRPr="003D5D1B">
              <w:t>Rooming houses</w:t>
            </w:r>
          </w:p>
        </w:tc>
        <w:tc>
          <w:tcPr>
            <w:tcW w:w="757" w:type="pct"/>
          </w:tcPr>
          <w:p w14:paraId="616761D1" w14:textId="77777777" w:rsidR="009113B9" w:rsidRPr="003D5D1B" w:rsidRDefault="009113B9" w:rsidP="00CC3499">
            <w:pPr>
              <w:spacing w:after="0" w:line="240" w:lineRule="auto"/>
              <w:jc w:val="center"/>
            </w:pPr>
            <w:r w:rsidRPr="003D5D1B">
              <w:t>473</w:t>
            </w:r>
          </w:p>
        </w:tc>
        <w:tc>
          <w:tcPr>
            <w:tcW w:w="531" w:type="pct"/>
          </w:tcPr>
          <w:p w14:paraId="56207C78" w14:textId="77777777" w:rsidR="009113B9" w:rsidRPr="003D5D1B" w:rsidRDefault="009113B9" w:rsidP="00CC3499">
            <w:pPr>
              <w:spacing w:after="0" w:line="240" w:lineRule="auto"/>
            </w:pPr>
            <w:r w:rsidRPr="003D5D1B">
              <w:t xml:space="preserve"> 15,857 </w:t>
            </w:r>
          </w:p>
        </w:tc>
        <w:tc>
          <w:tcPr>
            <w:tcW w:w="604" w:type="pct"/>
          </w:tcPr>
          <w:p w14:paraId="76F778A5" w14:textId="7FE45046" w:rsidR="009113B9" w:rsidRPr="00A82591" w:rsidRDefault="009113B9" w:rsidP="00CC3499">
            <w:pPr>
              <w:spacing w:after="0" w:line="240" w:lineRule="auto"/>
            </w:pPr>
            <w:r>
              <w:rPr>
                <w:color w:val="000000"/>
                <w:sz w:val="18"/>
              </w:rPr>
              <w:t xml:space="preserve"> 793 </w:t>
            </w:r>
          </w:p>
        </w:tc>
        <w:tc>
          <w:tcPr>
            <w:tcW w:w="680" w:type="pct"/>
          </w:tcPr>
          <w:p w14:paraId="3753F6DD" w14:textId="51E17F8A" w:rsidR="009113B9" w:rsidRPr="00F0077F" w:rsidRDefault="009113B9" w:rsidP="00CC3499">
            <w:pPr>
              <w:spacing w:after="0" w:line="240" w:lineRule="auto"/>
              <w:rPr>
                <w:color w:val="FF0000"/>
              </w:rPr>
            </w:pPr>
            <w:r w:rsidRPr="00E96EE1">
              <w:t>As above</w:t>
            </w:r>
          </w:p>
        </w:tc>
        <w:tc>
          <w:tcPr>
            <w:tcW w:w="453" w:type="pct"/>
          </w:tcPr>
          <w:p w14:paraId="2B324C03" w14:textId="52E6B888" w:rsidR="009113B9" w:rsidRPr="003D5D1B" w:rsidRDefault="009113B9" w:rsidP="00CC3499">
            <w:pPr>
              <w:spacing w:after="0" w:line="240" w:lineRule="auto"/>
            </w:pPr>
            <w:r w:rsidRPr="00E96EE1">
              <w:t>As above</w:t>
            </w:r>
          </w:p>
        </w:tc>
        <w:tc>
          <w:tcPr>
            <w:tcW w:w="590" w:type="pct"/>
          </w:tcPr>
          <w:p w14:paraId="439ACCC2" w14:textId="5C0EEC9C" w:rsidR="009113B9" w:rsidRPr="00F0077F" w:rsidRDefault="009113B9" w:rsidP="0018584C">
            <w:pPr>
              <w:spacing w:after="0" w:line="240" w:lineRule="auto"/>
              <w:rPr>
                <w:color w:val="FF0000"/>
                <w:szCs w:val="17"/>
              </w:rPr>
            </w:pPr>
            <w:r w:rsidRPr="00F0077F">
              <w:rPr>
                <w:bCs/>
                <w:color w:val="000000"/>
                <w:szCs w:val="17"/>
              </w:rPr>
              <w:t>$1,353,975</w:t>
            </w:r>
          </w:p>
        </w:tc>
        <w:tc>
          <w:tcPr>
            <w:tcW w:w="630" w:type="pct"/>
          </w:tcPr>
          <w:p w14:paraId="0185F3F0" w14:textId="022A52D3" w:rsidR="009113B9" w:rsidRPr="006F5269" w:rsidRDefault="009113B9" w:rsidP="00CC3499">
            <w:pPr>
              <w:spacing w:after="0" w:line="240" w:lineRule="auto"/>
            </w:pPr>
            <w:r w:rsidRPr="006F5269">
              <w:t>$1,087,801</w:t>
            </w:r>
          </w:p>
        </w:tc>
      </w:tr>
      <w:tr w:rsidR="000F41DE" w:rsidRPr="003D5D1B" w14:paraId="2E98DE53" w14:textId="2C3DEE57" w:rsidTr="000F41DE">
        <w:trPr>
          <w:trHeight w:val="298"/>
        </w:trPr>
        <w:tc>
          <w:tcPr>
            <w:tcW w:w="756" w:type="pct"/>
          </w:tcPr>
          <w:p w14:paraId="40939EDA" w14:textId="77777777" w:rsidR="00832D37" w:rsidRPr="003D5D1B" w:rsidRDefault="00832D37" w:rsidP="0018584C">
            <w:pPr>
              <w:spacing w:after="0" w:line="240" w:lineRule="auto"/>
              <w:rPr>
                <w:b/>
              </w:rPr>
            </w:pPr>
            <w:r w:rsidRPr="003D5D1B">
              <w:rPr>
                <w:b/>
              </w:rPr>
              <w:t>Total Cost</w:t>
            </w:r>
          </w:p>
        </w:tc>
        <w:tc>
          <w:tcPr>
            <w:tcW w:w="757" w:type="pct"/>
          </w:tcPr>
          <w:p w14:paraId="7A41EC01" w14:textId="77777777" w:rsidR="00832D37" w:rsidRPr="003D5D1B" w:rsidRDefault="00832D37" w:rsidP="00CC3499">
            <w:pPr>
              <w:spacing w:after="0" w:line="240" w:lineRule="auto"/>
              <w:jc w:val="center"/>
            </w:pPr>
          </w:p>
        </w:tc>
        <w:tc>
          <w:tcPr>
            <w:tcW w:w="531" w:type="pct"/>
          </w:tcPr>
          <w:p w14:paraId="4E07E842" w14:textId="77777777" w:rsidR="00832D37" w:rsidRPr="003D5D1B" w:rsidRDefault="00832D37" w:rsidP="00CC3499">
            <w:pPr>
              <w:spacing w:after="0" w:line="240" w:lineRule="auto"/>
            </w:pPr>
          </w:p>
        </w:tc>
        <w:tc>
          <w:tcPr>
            <w:tcW w:w="604" w:type="pct"/>
          </w:tcPr>
          <w:p w14:paraId="32376A92" w14:textId="77777777" w:rsidR="00832D37" w:rsidRPr="003D5D1B" w:rsidRDefault="00832D37" w:rsidP="00CC3499">
            <w:pPr>
              <w:spacing w:after="0" w:line="240" w:lineRule="auto"/>
            </w:pPr>
          </w:p>
        </w:tc>
        <w:tc>
          <w:tcPr>
            <w:tcW w:w="680" w:type="pct"/>
          </w:tcPr>
          <w:p w14:paraId="20661C99" w14:textId="0EDC3DB1" w:rsidR="00832D37" w:rsidRPr="003D5D1B" w:rsidRDefault="00832D37" w:rsidP="00CC3499">
            <w:pPr>
              <w:spacing w:after="0" w:line="240" w:lineRule="auto"/>
            </w:pPr>
          </w:p>
        </w:tc>
        <w:tc>
          <w:tcPr>
            <w:tcW w:w="453" w:type="pct"/>
          </w:tcPr>
          <w:p w14:paraId="0863CD49" w14:textId="77777777" w:rsidR="00832D37" w:rsidRPr="003D5D1B" w:rsidRDefault="00832D37" w:rsidP="00CC3499">
            <w:pPr>
              <w:spacing w:after="0" w:line="240" w:lineRule="auto"/>
              <w:rPr>
                <w:b/>
              </w:rPr>
            </w:pPr>
          </w:p>
        </w:tc>
        <w:tc>
          <w:tcPr>
            <w:tcW w:w="590" w:type="pct"/>
          </w:tcPr>
          <w:p w14:paraId="77C729BB" w14:textId="00AEB1BE" w:rsidR="00832D37" w:rsidRPr="00F0077F" w:rsidRDefault="00832D37" w:rsidP="00CC3499">
            <w:pPr>
              <w:spacing w:after="0" w:line="240" w:lineRule="auto"/>
              <w:rPr>
                <w:b/>
                <w:color w:val="FF0000"/>
              </w:rPr>
            </w:pPr>
            <w:r w:rsidRPr="00093FB8">
              <w:rPr>
                <w:b/>
              </w:rPr>
              <w:t>$</w:t>
            </w:r>
            <w:r w:rsidR="00300F5F" w:rsidRPr="00F0077F">
              <w:rPr>
                <w:b/>
              </w:rPr>
              <w:t>4</w:t>
            </w:r>
            <w:r w:rsidRPr="00093FB8">
              <w:rPr>
                <w:b/>
              </w:rPr>
              <w:t>.</w:t>
            </w:r>
            <w:r w:rsidR="00300F5F" w:rsidRPr="00F0077F">
              <w:rPr>
                <w:b/>
              </w:rPr>
              <w:t>6</w:t>
            </w:r>
            <w:r w:rsidRPr="00093FB8">
              <w:rPr>
                <w:b/>
              </w:rPr>
              <w:t xml:space="preserve"> million</w:t>
            </w:r>
          </w:p>
        </w:tc>
        <w:tc>
          <w:tcPr>
            <w:tcW w:w="630" w:type="pct"/>
          </w:tcPr>
          <w:p w14:paraId="214CC062" w14:textId="77777777" w:rsidR="00705D8D" w:rsidRDefault="00532DFC" w:rsidP="00CC3499">
            <w:pPr>
              <w:spacing w:after="0" w:line="240" w:lineRule="auto"/>
              <w:rPr>
                <w:b/>
              </w:rPr>
            </w:pPr>
            <w:r>
              <w:rPr>
                <w:b/>
              </w:rPr>
              <w:t xml:space="preserve">$3.7 </w:t>
            </w:r>
          </w:p>
          <w:p w14:paraId="0C4DA7CC" w14:textId="31BC566F" w:rsidR="00532DFC" w:rsidRDefault="00532DFC" w:rsidP="00CC3499">
            <w:pPr>
              <w:spacing w:after="0" w:line="240" w:lineRule="auto"/>
              <w:rPr>
                <w:b/>
              </w:rPr>
            </w:pPr>
            <w:r>
              <w:rPr>
                <w:b/>
              </w:rPr>
              <w:t>million</w:t>
            </w:r>
          </w:p>
        </w:tc>
      </w:tr>
    </w:tbl>
    <w:p w14:paraId="5BBA3EE1" w14:textId="77777777" w:rsidR="00832D37" w:rsidRPr="00093FB8" w:rsidRDefault="00832D37" w:rsidP="00F0077F"/>
    <w:p w14:paraId="02E5E02F" w14:textId="3EFE571C" w:rsidR="00FB48D2" w:rsidRPr="003D5D1B" w:rsidRDefault="00FB48D2" w:rsidP="00FB48D2">
      <w:pPr>
        <w:pStyle w:val="Heading4"/>
      </w:pPr>
      <w:r w:rsidRPr="003D5D1B">
        <w:t xml:space="preserve">Maintaining a register of occupants </w:t>
      </w:r>
    </w:p>
    <w:p w14:paraId="47D62DFC" w14:textId="7C649CC8" w:rsidR="00FB48D2" w:rsidRPr="003D5D1B" w:rsidRDefault="00FB48D2" w:rsidP="00FB48D2">
      <w:r w:rsidRPr="003D5D1B">
        <w:t>The current Regulations require the proprietor to keep a register recording the names and addresses of persons occupying the accommodation, and the dates of their arrival and departure.</w:t>
      </w:r>
      <w:r>
        <w:rPr>
          <w:rStyle w:val="FootnoteReference"/>
        </w:rPr>
        <w:footnoteReference w:id="81"/>
      </w:r>
      <w:r w:rsidRPr="003D5D1B">
        <w:t xml:space="preserve"> It is likely that under the Base Case </w:t>
      </w:r>
      <w:r w:rsidR="00CE1AC1">
        <w:t>the vast majority of</w:t>
      </w:r>
      <w:r w:rsidR="00CE1AC1" w:rsidRPr="003D5D1B">
        <w:t xml:space="preserve"> </w:t>
      </w:r>
      <w:r w:rsidRPr="003D5D1B">
        <w:t>proprietors will maintain a record of names in the normal course of conducting their business, even in the absence of regulations. It is assumed that 99% of hotels and motels; 95% of residential accommodation, student dormitories and holiday camps; and 50% of hostels and rooming houses would keep a register under the Base Case.</w:t>
      </w:r>
    </w:p>
    <w:p w14:paraId="7EAEFE41" w14:textId="3BC3BBD7" w:rsidR="00FB48D2" w:rsidRPr="003D5D1B" w:rsidRDefault="00FB48D2" w:rsidP="00FB48D2">
      <w:r w:rsidRPr="003D5D1B">
        <w:t>The number of unique guests (see section 4.2.</w:t>
      </w:r>
      <w:r w:rsidR="00AF74C9">
        <w:t>3</w:t>
      </w:r>
      <w:r w:rsidRPr="003D5D1B">
        <w:t xml:space="preserve">) is then multiplied by time required to keep the register per occupant and the wage rate to determine the total cost of time required by the </w:t>
      </w:r>
      <w:r w:rsidRPr="003D5D1B">
        <w:lastRenderedPageBreak/>
        <w:t>proprietor to keep a register under the Regulations. A 2011 Rooming house RIS estimated that (on average) it takes 2</w:t>
      </w:r>
      <w:r w:rsidRPr="00BC3000">
        <w:t xml:space="preserve"> minutes for the proprietor to update the register for </w:t>
      </w:r>
      <w:r w:rsidRPr="003D5D1B">
        <w:t>each occupant.</w:t>
      </w:r>
      <w:r w:rsidRPr="00BC3000">
        <w:rPr>
          <w:rStyle w:val="FootnoteReference"/>
        </w:rPr>
        <w:footnoteReference w:id="82"/>
      </w:r>
      <w:r w:rsidRPr="00BC3000">
        <w:t xml:space="preserve"> The estimated total cost is </w:t>
      </w:r>
      <w:r w:rsidRPr="003D5D1B">
        <w:t>$</w:t>
      </w:r>
      <w:r w:rsidR="00AF74C9">
        <w:t>4</w:t>
      </w:r>
      <w:r w:rsidRPr="003D5D1B">
        <w:t>.</w:t>
      </w:r>
      <w:r w:rsidR="00AF74C9">
        <w:t>1</w:t>
      </w:r>
      <w:r w:rsidR="00AF74C9" w:rsidRPr="003D5D1B">
        <w:t xml:space="preserve"> </w:t>
      </w:r>
      <w:r w:rsidRPr="003D5D1B">
        <w:t>million</w:t>
      </w:r>
      <w:r w:rsidRPr="00BC3000">
        <w:t xml:space="preserve"> over 10 years</w:t>
      </w:r>
      <w:r w:rsidR="00840222">
        <w:t xml:space="preserve"> (or $3.3 million in NPV)</w:t>
      </w:r>
      <w:r w:rsidRPr="00BC3000">
        <w:t>.</w:t>
      </w:r>
    </w:p>
    <w:p w14:paraId="1A5CEF10" w14:textId="78A0EE90" w:rsidR="00FB48D2" w:rsidRPr="00BC3000" w:rsidRDefault="00FB48D2" w:rsidP="00FB48D2">
      <w:pPr>
        <w:pStyle w:val="Caption"/>
      </w:pPr>
      <w:r w:rsidRPr="003D5D1B">
        <w:t xml:space="preserve">Table </w:t>
      </w:r>
      <w:r w:rsidR="004335F8">
        <w:fldChar w:fldCharType="begin"/>
      </w:r>
      <w:r w:rsidR="004335F8">
        <w:instrText xml:space="preserve"> STYLEREF 1 \s </w:instrText>
      </w:r>
      <w:r w:rsidR="004335F8">
        <w:fldChar w:fldCharType="separate"/>
      </w:r>
      <w:r w:rsidR="00795309">
        <w:rPr>
          <w:noProof/>
        </w:rPr>
        <w:t>4</w:t>
      </w:r>
      <w:r w:rsidR="004335F8">
        <w:fldChar w:fldCharType="end"/>
      </w:r>
      <w:r w:rsidR="004335F8">
        <w:noBreakHyphen/>
      </w:r>
      <w:r w:rsidR="004335F8">
        <w:fldChar w:fldCharType="begin"/>
      </w:r>
      <w:r w:rsidR="004335F8">
        <w:instrText xml:space="preserve"> SEQ Table \* ARABIC \s 1 </w:instrText>
      </w:r>
      <w:r w:rsidR="004335F8">
        <w:fldChar w:fldCharType="separate"/>
      </w:r>
      <w:r w:rsidR="00795309">
        <w:rPr>
          <w:noProof/>
        </w:rPr>
        <w:t>9</w:t>
      </w:r>
      <w:r w:rsidR="004335F8">
        <w:fldChar w:fldCharType="end"/>
      </w:r>
      <w:r w:rsidRPr="00BC3000">
        <w:t xml:space="preserve"> Cost of maintaining a register</w:t>
      </w:r>
    </w:p>
    <w:tbl>
      <w:tblPr>
        <w:tblStyle w:val="Deloittetable"/>
        <w:tblW w:w="5164" w:type="pct"/>
        <w:tblLook w:val="04A0" w:firstRow="1" w:lastRow="0" w:firstColumn="1" w:lastColumn="0" w:noHBand="0" w:noVBand="1"/>
      </w:tblPr>
      <w:tblGrid>
        <w:gridCol w:w="1843"/>
        <w:gridCol w:w="1303"/>
        <w:gridCol w:w="1488"/>
        <w:gridCol w:w="1122"/>
        <w:gridCol w:w="1227"/>
        <w:gridCol w:w="1350"/>
        <w:gridCol w:w="989"/>
      </w:tblGrid>
      <w:tr w:rsidR="00FB48D2" w:rsidRPr="003D5D1B" w14:paraId="6AD2BC86" w14:textId="28E02C06" w:rsidTr="00CC3499">
        <w:trPr>
          <w:cnfStyle w:val="100000000000" w:firstRow="1" w:lastRow="0" w:firstColumn="0" w:lastColumn="0" w:oddVBand="0" w:evenVBand="0" w:oddHBand="0" w:evenHBand="0" w:firstRowFirstColumn="0" w:firstRowLastColumn="0" w:lastRowFirstColumn="0" w:lastRowLastColumn="0"/>
          <w:trHeight w:val="1543"/>
        </w:trPr>
        <w:tc>
          <w:tcPr>
            <w:tcW w:w="989" w:type="pct"/>
            <w:tcBorders>
              <w:top w:val="single" w:sz="18" w:space="0" w:color="62B5E5" w:themeColor="accent3"/>
            </w:tcBorders>
          </w:tcPr>
          <w:p w14:paraId="7A4BFE91" w14:textId="77777777" w:rsidR="00FB48D2" w:rsidRPr="003D5D1B" w:rsidRDefault="00FB48D2" w:rsidP="00CC3499">
            <w:pPr>
              <w:ind w:right="285"/>
              <w:rPr>
                <w:b/>
              </w:rPr>
            </w:pPr>
            <w:r>
              <w:rPr>
                <w:b/>
              </w:rPr>
              <w:t>Type of premises</w:t>
            </w:r>
          </w:p>
        </w:tc>
        <w:tc>
          <w:tcPr>
            <w:tcW w:w="699" w:type="pct"/>
            <w:tcBorders>
              <w:top w:val="single" w:sz="18" w:space="0" w:color="62B5E5" w:themeColor="accent3"/>
            </w:tcBorders>
          </w:tcPr>
          <w:p w14:paraId="50720500" w14:textId="614ACA77" w:rsidR="00FB48D2" w:rsidRPr="003D5D1B" w:rsidRDefault="00FB48D2" w:rsidP="00246B9B">
            <w:pPr>
              <w:rPr>
                <w:b/>
              </w:rPr>
            </w:pPr>
            <w:r w:rsidRPr="003D5D1B">
              <w:rPr>
                <w:b/>
              </w:rPr>
              <w:t>N</w:t>
            </w:r>
            <w:r>
              <w:rPr>
                <w:b/>
              </w:rPr>
              <w:t>umber</w:t>
            </w:r>
            <w:r w:rsidRPr="003D5D1B">
              <w:rPr>
                <w:b/>
              </w:rPr>
              <w:t xml:space="preserve"> of guests </w:t>
            </w:r>
          </w:p>
          <w:p w14:paraId="4136A273" w14:textId="77777777" w:rsidR="00FB48D2" w:rsidRPr="003D5D1B" w:rsidRDefault="00FB48D2" w:rsidP="00246B9B">
            <w:pPr>
              <w:rPr>
                <w:b/>
              </w:rPr>
            </w:pPr>
            <w:r w:rsidRPr="003D5D1B">
              <w:rPr>
                <w:b/>
              </w:rPr>
              <w:t>2021-30</w:t>
            </w:r>
          </w:p>
        </w:tc>
        <w:tc>
          <w:tcPr>
            <w:tcW w:w="798" w:type="pct"/>
            <w:tcBorders>
              <w:top w:val="single" w:sz="18" w:space="0" w:color="62B5E5" w:themeColor="accent3"/>
            </w:tcBorders>
          </w:tcPr>
          <w:p w14:paraId="6802DA42" w14:textId="77777777" w:rsidR="00FB48D2" w:rsidRPr="003D5D1B" w:rsidRDefault="00FB48D2" w:rsidP="00F0077F">
            <w:pPr>
              <w:tabs>
                <w:tab w:val="left" w:pos="1086"/>
              </w:tabs>
              <w:ind w:right="414"/>
              <w:rPr>
                <w:b/>
              </w:rPr>
            </w:pPr>
            <w:r w:rsidRPr="003D5D1B">
              <w:rPr>
                <w:b/>
              </w:rPr>
              <w:t>% of proprietors that keep a register under the Base Case</w:t>
            </w:r>
          </w:p>
        </w:tc>
        <w:tc>
          <w:tcPr>
            <w:tcW w:w="602" w:type="pct"/>
            <w:tcBorders>
              <w:top w:val="single" w:sz="18" w:space="0" w:color="62B5E5" w:themeColor="accent3"/>
            </w:tcBorders>
          </w:tcPr>
          <w:p w14:paraId="507C16ED" w14:textId="77777777" w:rsidR="00FB48D2" w:rsidRPr="003D5D1B" w:rsidRDefault="00FB48D2" w:rsidP="00246B9B">
            <w:pPr>
              <w:ind w:right="165"/>
              <w:rPr>
                <w:b/>
              </w:rPr>
            </w:pPr>
            <w:r w:rsidRPr="003D5D1B">
              <w:rPr>
                <w:b/>
              </w:rPr>
              <w:t>Time required per occupant (minutes)</w:t>
            </w:r>
          </w:p>
        </w:tc>
        <w:tc>
          <w:tcPr>
            <w:tcW w:w="658" w:type="pct"/>
            <w:tcBorders>
              <w:top w:val="single" w:sz="18" w:space="0" w:color="62B5E5" w:themeColor="accent3"/>
            </w:tcBorders>
          </w:tcPr>
          <w:p w14:paraId="43887317" w14:textId="77777777" w:rsidR="00FB48D2" w:rsidRPr="003D5D1B" w:rsidRDefault="00FB48D2" w:rsidP="00CC3499">
            <w:pPr>
              <w:ind w:right="126"/>
              <w:rPr>
                <w:b/>
              </w:rPr>
            </w:pPr>
            <w:r w:rsidRPr="003D5D1B">
              <w:rPr>
                <w:b/>
              </w:rPr>
              <w:t>Hourly wage</w:t>
            </w:r>
          </w:p>
        </w:tc>
        <w:tc>
          <w:tcPr>
            <w:tcW w:w="724" w:type="pct"/>
            <w:tcBorders>
              <w:top w:val="single" w:sz="18" w:space="0" w:color="62B5E5" w:themeColor="accent3"/>
            </w:tcBorders>
          </w:tcPr>
          <w:p w14:paraId="64B40FE5" w14:textId="35AE735A" w:rsidR="00FB48D2" w:rsidRPr="003D5D1B" w:rsidRDefault="00FB48D2" w:rsidP="00246B9B">
            <w:pPr>
              <w:rPr>
                <w:b/>
              </w:rPr>
            </w:pPr>
            <w:r w:rsidRPr="003D5D1B">
              <w:rPr>
                <w:b/>
              </w:rPr>
              <w:t xml:space="preserve">Total cost </w:t>
            </w:r>
            <w:r w:rsidR="00532DFC" w:rsidRPr="003D5D1B">
              <w:rPr>
                <w:b/>
              </w:rPr>
              <w:t>2021-30</w:t>
            </w:r>
            <w:r w:rsidR="00532DFC">
              <w:rPr>
                <w:b/>
              </w:rPr>
              <w:t xml:space="preserve"> </w:t>
            </w:r>
          </w:p>
        </w:tc>
        <w:tc>
          <w:tcPr>
            <w:tcW w:w="530" w:type="pct"/>
            <w:tcBorders>
              <w:top w:val="single" w:sz="18" w:space="0" w:color="62B5E5" w:themeColor="accent3"/>
            </w:tcBorders>
          </w:tcPr>
          <w:p w14:paraId="17D003EE" w14:textId="02A2A364" w:rsidR="00532DFC" w:rsidRPr="003D5D1B" w:rsidRDefault="00532DFC">
            <w:pPr>
              <w:rPr>
                <w:b/>
              </w:rPr>
            </w:pPr>
            <w:r w:rsidRPr="003D5D1B">
              <w:rPr>
                <w:b/>
              </w:rPr>
              <w:t>Total cost 2021-30</w:t>
            </w:r>
            <w:r>
              <w:rPr>
                <w:b/>
              </w:rPr>
              <w:t xml:space="preserve"> NPV </w:t>
            </w:r>
          </w:p>
        </w:tc>
      </w:tr>
      <w:tr w:rsidR="00FB48D2" w:rsidRPr="003D5D1B" w14:paraId="064DCAC0" w14:textId="39091144" w:rsidTr="00CC3499">
        <w:trPr>
          <w:trHeight w:val="55"/>
        </w:trPr>
        <w:tc>
          <w:tcPr>
            <w:tcW w:w="989" w:type="pct"/>
          </w:tcPr>
          <w:p w14:paraId="319755F2" w14:textId="77777777" w:rsidR="00FB48D2" w:rsidRPr="003D5D1B" w:rsidRDefault="00FB48D2" w:rsidP="00246B9B">
            <w:pPr>
              <w:spacing w:after="0" w:line="240" w:lineRule="auto"/>
              <w:rPr>
                <w:sz w:val="16"/>
                <w:szCs w:val="16"/>
              </w:rPr>
            </w:pPr>
            <w:r w:rsidRPr="003D5D1B">
              <w:rPr>
                <w:sz w:val="16"/>
                <w:szCs w:val="16"/>
              </w:rPr>
              <w:t>Residential accommodation</w:t>
            </w:r>
          </w:p>
        </w:tc>
        <w:tc>
          <w:tcPr>
            <w:tcW w:w="699" w:type="pct"/>
          </w:tcPr>
          <w:p w14:paraId="15C8E2BC" w14:textId="77777777" w:rsidR="00FB48D2" w:rsidRPr="003D5D1B" w:rsidRDefault="00FB48D2" w:rsidP="00246B9B">
            <w:pPr>
              <w:spacing w:after="0" w:line="240" w:lineRule="auto"/>
              <w:rPr>
                <w:bCs/>
                <w:sz w:val="16"/>
                <w:szCs w:val="16"/>
              </w:rPr>
            </w:pPr>
            <w:r w:rsidRPr="003D5D1B">
              <w:rPr>
                <w:bCs/>
                <w:sz w:val="16"/>
                <w:szCs w:val="16"/>
              </w:rPr>
              <w:t xml:space="preserve"> </w:t>
            </w:r>
            <w:r>
              <w:rPr>
                <w:bCs/>
                <w:sz w:val="16"/>
                <w:szCs w:val="16"/>
              </w:rPr>
              <w:t>3,727,539</w:t>
            </w:r>
          </w:p>
        </w:tc>
        <w:tc>
          <w:tcPr>
            <w:tcW w:w="798" w:type="pct"/>
          </w:tcPr>
          <w:p w14:paraId="56AEF427" w14:textId="77777777" w:rsidR="00FB48D2" w:rsidRPr="003D5D1B" w:rsidRDefault="00FB48D2" w:rsidP="00246B9B">
            <w:pPr>
              <w:spacing w:after="0" w:line="240" w:lineRule="auto"/>
              <w:ind w:right="414"/>
              <w:rPr>
                <w:sz w:val="16"/>
                <w:szCs w:val="16"/>
              </w:rPr>
            </w:pPr>
            <w:r w:rsidRPr="003D5D1B">
              <w:rPr>
                <w:sz w:val="16"/>
                <w:szCs w:val="16"/>
              </w:rPr>
              <w:t>95%</w:t>
            </w:r>
          </w:p>
        </w:tc>
        <w:tc>
          <w:tcPr>
            <w:tcW w:w="602" w:type="pct"/>
          </w:tcPr>
          <w:p w14:paraId="10D95C4E" w14:textId="77777777" w:rsidR="00FB48D2" w:rsidRPr="003D5D1B" w:rsidRDefault="00FB48D2" w:rsidP="00246B9B">
            <w:pPr>
              <w:spacing w:after="0" w:line="240" w:lineRule="auto"/>
              <w:rPr>
                <w:sz w:val="16"/>
                <w:szCs w:val="16"/>
              </w:rPr>
            </w:pPr>
            <w:r w:rsidRPr="003D5D1B">
              <w:rPr>
                <w:sz w:val="16"/>
                <w:szCs w:val="16"/>
              </w:rPr>
              <w:t xml:space="preserve">2 </w:t>
            </w:r>
          </w:p>
        </w:tc>
        <w:tc>
          <w:tcPr>
            <w:tcW w:w="658" w:type="pct"/>
          </w:tcPr>
          <w:p w14:paraId="7DB6D188" w14:textId="562618E6" w:rsidR="00FB48D2" w:rsidRPr="003D5D1B" w:rsidRDefault="00FB48D2" w:rsidP="00246B9B">
            <w:pPr>
              <w:spacing w:after="0" w:line="240" w:lineRule="auto"/>
              <w:rPr>
                <w:sz w:val="16"/>
                <w:szCs w:val="16"/>
              </w:rPr>
            </w:pPr>
            <w:r w:rsidRPr="003D5D1B">
              <w:rPr>
                <w:sz w:val="16"/>
                <w:szCs w:val="16"/>
              </w:rPr>
              <w:t>$</w:t>
            </w:r>
            <w:r w:rsidR="00AF74C9">
              <w:rPr>
                <w:sz w:val="16"/>
                <w:szCs w:val="16"/>
              </w:rPr>
              <w:t>62.64</w:t>
            </w:r>
          </w:p>
        </w:tc>
        <w:tc>
          <w:tcPr>
            <w:tcW w:w="724" w:type="pct"/>
          </w:tcPr>
          <w:p w14:paraId="69914D42" w14:textId="2BC28713" w:rsidR="00FB48D2" w:rsidRPr="003D5D1B" w:rsidRDefault="00AF74C9" w:rsidP="00246B9B">
            <w:pPr>
              <w:spacing w:after="0"/>
              <w:rPr>
                <w:bCs/>
                <w:color w:val="000000"/>
                <w:sz w:val="16"/>
                <w:szCs w:val="16"/>
              </w:rPr>
            </w:pPr>
            <w:r w:rsidRPr="00AF74C9">
              <w:rPr>
                <w:bCs/>
                <w:color w:val="000000"/>
                <w:sz w:val="16"/>
                <w:szCs w:val="16"/>
              </w:rPr>
              <w:t>$389,134</w:t>
            </w:r>
          </w:p>
        </w:tc>
        <w:tc>
          <w:tcPr>
            <w:tcW w:w="530" w:type="pct"/>
          </w:tcPr>
          <w:p w14:paraId="17599F1C" w14:textId="73B044BA" w:rsidR="00532DFC" w:rsidRPr="00FF462C" w:rsidRDefault="00532DFC" w:rsidP="00532DFC">
            <w:pPr>
              <w:spacing w:after="0"/>
            </w:pPr>
            <w:r w:rsidRPr="00FF462C">
              <w:t>$313,104</w:t>
            </w:r>
          </w:p>
        </w:tc>
      </w:tr>
      <w:tr w:rsidR="00FB48D2" w:rsidRPr="003D5D1B" w14:paraId="40253077" w14:textId="20E8756D" w:rsidTr="00CC3499">
        <w:trPr>
          <w:trHeight w:val="55"/>
        </w:trPr>
        <w:tc>
          <w:tcPr>
            <w:tcW w:w="989" w:type="pct"/>
          </w:tcPr>
          <w:p w14:paraId="7167DF32" w14:textId="77777777" w:rsidR="00FB48D2" w:rsidRPr="003D5D1B" w:rsidRDefault="00FB48D2" w:rsidP="00246B9B">
            <w:pPr>
              <w:spacing w:after="0" w:line="240" w:lineRule="auto"/>
              <w:rPr>
                <w:sz w:val="16"/>
                <w:szCs w:val="16"/>
              </w:rPr>
            </w:pPr>
            <w:r w:rsidRPr="003D5D1B">
              <w:rPr>
                <w:sz w:val="16"/>
                <w:szCs w:val="16"/>
              </w:rPr>
              <w:t>Hotels &amp; motels</w:t>
            </w:r>
          </w:p>
        </w:tc>
        <w:tc>
          <w:tcPr>
            <w:tcW w:w="699" w:type="pct"/>
          </w:tcPr>
          <w:p w14:paraId="38EA6AE3" w14:textId="77777777" w:rsidR="00FB48D2" w:rsidRPr="003D5D1B" w:rsidRDefault="00FB48D2" w:rsidP="00246B9B">
            <w:pPr>
              <w:spacing w:after="0" w:line="240" w:lineRule="auto"/>
              <w:rPr>
                <w:sz w:val="16"/>
                <w:szCs w:val="16"/>
              </w:rPr>
            </w:pPr>
            <w:r w:rsidRPr="003D5D1B">
              <w:rPr>
                <w:sz w:val="16"/>
                <w:szCs w:val="16"/>
              </w:rPr>
              <w:t>135,034,930</w:t>
            </w:r>
          </w:p>
        </w:tc>
        <w:tc>
          <w:tcPr>
            <w:tcW w:w="798" w:type="pct"/>
          </w:tcPr>
          <w:p w14:paraId="14136BB2" w14:textId="77777777" w:rsidR="00FB48D2" w:rsidRPr="003D5D1B" w:rsidRDefault="00FB48D2" w:rsidP="00246B9B">
            <w:pPr>
              <w:spacing w:after="0" w:line="240" w:lineRule="auto"/>
              <w:ind w:right="414"/>
              <w:rPr>
                <w:sz w:val="16"/>
                <w:szCs w:val="16"/>
              </w:rPr>
            </w:pPr>
            <w:r w:rsidRPr="003D5D1B">
              <w:rPr>
                <w:sz w:val="16"/>
                <w:szCs w:val="16"/>
              </w:rPr>
              <w:t>99%</w:t>
            </w:r>
          </w:p>
        </w:tc>
        <w:tc>
          <w:tcPr>
            <w:tcW w:w="602" w:type="pct"/>
          </w:tcPr>
          <w:p w14:paraId="48174E5A" w14:textId="77777777" w:rsidR="00FB48D2" w:rsidRPr="003D5D1B" w:rsidRDefault="00FB48D2" w:rsidP="00246B9B">
            <w:pPr>
              <w:spacing w:after="0" w:line="240" w:lineRule="auto"/>
              <w:rPr>
                <w:sz w:val="16"/>
                <w:szCs w:val="16"/>
              </w:rPr>
            </w:pPr>
            <w:r w:rsidRPr="003D5D1B">
              <w:rPr>
                <w:sz w:val="16"/>
                <w:szCs w:val="16"/>
              </w:rPr>
              <w:t xml:space="preserve">2 </w:t>
            </w:r>
          </w:p>
        </w:tc>
        <w:tc>
          <w:tcPr>
            <w:tcW w:w="658" w:type="pct"/>
          </w:tcPr>
          <w:p w14:paraId="41259F7F" w14:textId="008C05F0" w:rsidR="00FB48D2" w:rsidRPr="003D5D1B" w:rsidRDefault="00FB764B" w:rsidP="00246B9B">
            <w:pPr>
              <w:spacing w:after="0" w:line="240" w:lineRule="auto"/>
              <w:rPr>
                <w:sz w:val="16"/>
                <w:szCs w:val="16"/>
              </w:rPr>
            </w:pPr>
            <w:r>
              <w:rPr>
                <w:sz w:val="16"/>
                <w:szCs w:val="16"/>
              </w:rPr>
              <w:t>Above</w:t>
            </w:r>
          </w:p>
        </w:tc>
        <w:tc>
          <w:tcPr>
            <w:tcW w:w="724" w:type="pct"/>
          </w:tcPr>
          <w:p w14:paraId="5B64ABF1" w14:textId="73181D14" w:rsidR="00FB48D2" w:rsidRPr="003D5D1B" w:rsidRDefault="00AF74C9" w:rsidP="00246B9B">
            <w:pPr>
              <w:spacing w:after="0" w:line="240" w:lineRule="auto"/>
              <w:rPr>
                <w:sz w:val="16"/>
                <w:szCs w:val="16"/>
              </w:rPr>
            </w:pPr>
            <w:r w:rsidRPr="00AF74C9">
              <w:rPr>
                <w:sz w:val="16"/>
                <w:szCs w:val="16"/>
              </w:rPr>
              <w:t>$2,819,374</w:t>
            </w:r>
          </w:p>
        </w:tc>
        <w:tc>
          <w:tcPr>
            <w:tcW w:w="530" w:type="pct"/>
          </w:tcPr>
          <w:p w14:paraId="22D715B8" w14:textId="4C497FB1" w:rsidR="00532DFC" w:rsidRPr="00FF462C" w:rsidRDefault="00532DFC" w:rsidP="00532DFC">
            <w:pPr>
              <w:spacing w:after="0" w:line="240" w:lineRule="auto"/>
            </w:pPr>
            <w:r w:rsidRPr="00FF462C">
              <w:t>$2,273,947</w:t>
            </w:r>
          </w:p>
        </w:tc>
      </w:tr>
      <w:tr w:rsidR="00FB764B" w:rsidRPr="003D5D1B" w14:paraId="54D3C85E" w14:textId="3FCA116B" w:rsidTr="00CC3499">
        <w:trPr>
          <w:trHeight w:val="55"/>
        </w:trPr>
        <w:tc>
          <w:tcPr>
            <w:tcW w:w="989" w:type="pct"/>
          </w:tcPr>
          <w:p w14:paraId="6DC11EFE" w14:textId="77777777" w:rsidR="00FB764B" w:rsidRPr="003D5D1B" w:rsidRDefault="00FB764B" w:rsidP="00FB764B">
            <w:pPr>
              <w:spacing w:after="0" w:line="240" w:lineRule="auto"/>
              <w:rPr>
                <w:sz w:val="16"/>
                <w:szCs w:val="16"/>
              </w:rPr>
            </w:pPr>
            <w:r w:rsidRPr="003D5D1B">
              <w:rPr>
                <w:sz w:val="16"/>
                <w:szCs w:val="16"/>
              </w:rPr>
              <w:t>Hostels</w:t>
            </w:r>
          </w:p>
        </w:tc>
        <w:tc>
          <w:tcPr>
            <w:tcW w:w="699" w:type="pct"/>
          </w:tcPr>
          <w:p w14:paraId="24CEE758" w14:textId="77777777" w:rsidR="00FB764B" w:rsidRPr="003D5D1B" w:rsidRDefault="00FB764B" w:rsidP="00FB764B">
            <w:pPr>
              <w:spacing w:after="0" w:line="240" w:lineRule="auto"/>
              <w:rPr>
                <w:sz w:val="16"/>
                <w:szCs w:val="16"/>
              </w:rPr>
            </w:pPr>
            <w:r w:rsidRPr="003D5D1B">
              <w:rPr>
                <w:sz w:val="16"/>
                <w:szCs w:val="16"/>
              </w:rPr>
              <w:t>497,369</w:t>
            </w:r>
          </w:p>
        </w:tc>
        <w:tc>
          <w:tcPr>
            <w:tcW w:w="798" w:type="pct"/>
          </w:tcPr>
          <w:p w14:paraId="308DD231" w14:textId="77777777" w:rsidR="00FB764B" w:rsidRPr="003D5D1B" w:rsidRDefault="00FB764B" w:rsidP="00FB764B">
            <w:pPr>
              <w:spacing w:after="0" w:line="240" w:lineRule="auto"/>
              <w:ind w:right="414"/>
              <w:rPr>
                <w:sz w:val="16"/>
                <w:szCs w:val="16"/>
              </w:rPr>
            </w:pPr>
            <w:r w:rsidRPr="003D5D1B">
              <w:rPr>
                <w:sz w:val="16"/>
                <w:szCs w:val="16"/>
              </w:rPr>
              <w:t>50%</w:t>
            </w:r>
          </w:p>
        </w:tc>
        <w:tc>
          <w:tcPr>
            <w:tcW w:w="602" w:type="pct"/>
          </w:tcPr>
          <w:p w14:paraId="4BC5769F" w14:textId="77777777" w:rsidR="00FB764B" w:rsidRPr="003D5D1B" w:rsidRDefault="00FB764B" w:rsidP="00FB764B">
            <w:pPr>
              <w:spacing w:after="0" w:line="240" w:lineRule="auto"/>
              <w:rPr>
                <w:sz w:val="16"/>
                <w:szCs w:val="16"/>
              </w:rPr>
            </w:pPr>
            <w:r w:rsidRPr="003D5D1B">
              <w:rPr>
                <w:sz w:val="16"/>
                <w:szCs w:val="16"/>
              </w:rPr>
              <w:t xml:space="preserve">2 </w:t>
            </w:r>
          </w:p>
        </w:tc>
        <w:tc>
          <w:tcPr>
            <w:tcW w:w="658" w:type="pct"/>
          </w:tcPr>
          <w:p w14:paraId="71647CE9" w14:textId="16CC6B2F" w:rsidR="00FB764B" w:rsidRPr="003D5D1B" w:rsidRDefault="00FB764B" w:rsidP="00FB764B">
            <w:pPr>
              <w:spacing w:after="0" w:line="240" w:lineRule="auto"/>
              <w:rPr>
                <w:sz w:val="16"/>
                <w:szCs w:val="16"/>
              </w:rPr>
            </w:pPr>
            <w:r w:rsidRPr="00B43AF7">
              <w:rPr>
                <w:sz w:val="16"/>
                <w:szCs w:val="16"/>
              </w:rPr>
              <w:t>Above</w:t>
            </w:r>
          </w:p>
        </w:tc>
        <w:tc>
          <w:tcPr>
            <w:tcW w:w="724" w:type="pct"/>
          </w:tcPr>
          <w:p w14:paraId="3718FDF7" w14:textId="1A771F81" w:rsidR="00FB764B" w:rsidRPr="003D5D1B" w:rsidRDefault="00FB764B" w:rsidP="00FB764B">
            <w:pPr>
              <w:spacing w:after="0" w:line="240" w:lineRule="auto"/>
              <w:rPr>
                <w:sz w:val="16"/>
                <w:szCs w:val="16"/>
              </w:rPr>
            </w:pPr>
            <w:r w:rsidRPr="00AF74C9">
              <w:rPr>
                <w:sz w:val="16"/>
                <w:szCs w:val="16"/>
              </w:rPr>
              <w:t>$519,224</w:t>
            </w:r>
          </w:p>
        </w:tc>
        <w:tc>
          <w:tcPr>
            <w:tcW w:w="530" w:type="pct"/>
          </w:tcPr>
          <w:p w14:paraId="5588001C" w14:textId="3AB48756" w:rsidR="00FB764B" w:rsidRPr="00FF462C" w:rsidRDefault="00FB764B" w:rsidP="00FB764B">
            <w:pPr>
              <w:spacing w:after="0" w:line="240" w:lineRule="auto"/>
            </w:pPr>
            <w:r w:rsidRPr="00FF462C">
              <w:t>$419,798</w:t>
            </w:r>
          </w:p>
        </w:tc>
      </w:tr>
      <w:tr w:rsidR="00FB764B" w:rsidRPr="003D5D1B" w14:paraId="5E0EC700" w14:textId="5C260248" w:rsidTr="00CC3499">
        <w:trPr>
          <w:trHeight w:val="55"/>
        </w:trPr>
        <w:tc>
          <w:tcPr>
            <w:tcW w:w="989" w:type="pct"/>
          </w:tcPr>
          <w:p w14:paraId="5BBA9D9B" w14:textId="77777777" w:rsidR="00FB764B" w:rsidRPr="003D5D1B" w:rsidRDefault="00FB764B" w:rsidP="00FB764B">
            <w:pPr>
              <w:spacing w:after="0" w:line="240" w:lineRule="auto"/>
              <w:rPr>
                <w:sz w:val="16"/>
                <w:szCs w:val="16"/>
              </w:rPr>
            </w:pPr>
            <w:r w:rsidRPr="003D5D1B">
              <w:rPr>
                <w:sz w:val="16"/>
                <w:szCs w:val="16"/>
              </w:rPr>
              <w:t>Student dormitories</w:t>
            </w:r>
          </w:p>
        </w:tc>
        <w:tc>
          <w:tcPr>
            <w:tcW w:w="699" w:type="pct"/>
          </w:tcPr>
          <w:p w14:paraId="213D2CE2" w14:textId="77777777" w:rsidR="00FB764B" w:rsidRPr="003D5D1B" w:rsidRDefault="00FB764B" w:rsidP="00FB764B">
            <w:pPr>
              <w:spacing w:after="0" w:line="240" w:lineRule="auto"/>
              <w:rPr>
                <w:sz w:val="16"/>
                <w:szCs w:val="16"/>
              </w:rPr>
            </w:pPr>
            <w:r w:rsidRPr="003D5D1B">
              <w:rPr>
                <w:sz w:val="16"/>
                <w:szCs w:val="16"/>
              </w:rPr>
              <w:t>40,189</w:t>
            </w:r>
          </w:p>
        </w:tc>
        <w:tc>
          <w:tcPr>
            <w:tcW w:w="798" w:type="pct"/>
          </w:tcPr>
          <w:p w14:paraId="42EFB151" w14:textId="77777777" w:rsidR="00FB764B" w:rsidRPr="003D5D1B" w:rsidRDefault="00FB764B" w:rsidP="00FB764B">
            <w:pPr>
              <w:spacing w:after="0" w:line="240" w:lineRule="auto"/>
              <w:ind w:right="414"/>
              <w:rPr>
                <w:sz w:val="16"/>
                <w:szCs w:val="16"/>
              </w:rPr>
            </w:pPr>
            <w:r w:rsidRPr="003D5D1B">
              <w:rPr>
                <w:sz w:val="16"/>
                <w:szCs w:val="16"/>
              </w:rPr>
              <w:t>95%</w:t>
            </w:r>
          </w:p>
        </w:tc>
        <w:tc>
          <w:tcPr>
            <w:tcW w:w="602" w:type="pct"/>
          </w:tcPr>
          <w:p w14:paraId="00725AC1" w14:textId="77777777" w:rsidR="00FB764B" w:rsidRPr="003D5D1B" w:rsidRDefault="00FB764B" w:rsidP="00FB764B">
            <w:pPr>
              <w:spacing w:after="0" w:line="240" w:lineRule="auto"/>
              <w:rPr>
                <w:sz w:val="16"/>
                <w:szCs w:val="16"/>
              </w:rPr>
            </w:pPr>
            <w:r w:rsidRPr="003D5D1B">
              <w:rPr>
                <w:sz w:val="16"/>
                <w:szCs w:val="16"/>
              </w:rPr>
              <w:t xml:space="preserve">2 </w:t>
            </w:r>
          </w:p>
        </w:tc>
        <w:tc>
          <w:tcPr>
            <w:tcW w:w="658" w:type="pct"/>
          </w:tcPr>
          <w:p w14:paraId="3E1047EC" w14:textId="3B3896E2" w:rsidR="00FB764B" w:rsidRPr="003D5D1B" w:rsidRDefault="00FB764B" w:rsidP="00FB764B">
            <w:pPr>
              <w:spacing w:after="0" w:line="240" w:lineRule="auto"/>
              <w:rPr>
                <w:sz w:val="16"/>
                <w:szCs w:val="16"/>
              </w:rPr>
            </w:pPr>
            <w:r w:rsidRPr="00B43AF7">
              <w:rPr>
                <w:sz w:val="16"/>
                <w:szCs w:val="16"/>
              </w:rPr>
              <w:t>Above</w:t>
            </w:r>
          </w:p>
        </w:tc>
        <w:tc>
          <w:tcPr>
            <w:tcW w:w="724" w:type="pct"/>
          </w:tcPr>
          <w:p w14:paraId="11A41037" w14:textId="1270CD9B" w:rsidR="00FB764B" w:rsidRPr="003D5D1B" w:rsidRDefault="00FB764B" w:rsidP="00FB764B">
            <w:pPr>
              <w:spacing w:after="0" w:line="240" w:lineRule="auto"/>
              <w:rPr>
                <w:sz w:val="16"/>
                <w:szCs w:val="16"/>
              </w:rPr>
            </w:pPr>
            <w:r w:rsidRPr="00AF74C9">
              <w:rPr>
                <w:sz w:val="16"/>
                <w:szCs w:val="16"/>
              </w:rPr>
              <w:t>$4,195</w:t>
            </w:r>
          </w:p>
        </w:tc>
        <w:tc>
          <w:tcPr>
            <w:tcW w:w="530" w:type="pct"/>
          </w:tcPr>
          <w:p w14:paraId="2CE3F5C3" w14:textId="3AB8C682" w:rsidR="00FB764B" w:rsidRPr="00FF462C" w:rsidRDefault="00FB764B" w:rsidP="00FB764B">
            <w:pPr>
              <w:spacing w:after="0" w:line="240" w:lineRule="auto"/>
            </w:pPr>
            <w:r w:rsidRPr="00FF462C">
              <w:t>$3,379</w:t>
            </w:r>
          </w:p>
        </w:tc>
      </w:tr>
      <w:tr w:rsidR="00FB764B" w:rsidRPr="003D5D1B" w14:paraId="4F81FAAE" w14:textId="67FB032F" w:rsidTr="00CC3499">
        <w:trPr>
          <w:trHeight w:val="55"/>
        </w:trPr>
        <w:tc>
          <w:tcPr>
            <w:tcW w:w="989" w:type="pct"/>
          </w:tcPr>
          <w:p w14:paraId="77F52D9A" w14:textId="77777777" w:rsidR="00FB764B" w:rsidRPr="003D5D1B" w:rsidRDefault="00FB764B" w:rsidP="00FB764B">
            <w:pPr>
              <w:spacing w:after="0" w:line="240" w:lineRule="auto"/>
              <w:rPr>
                <w:sz w:val="16"/>
                <w:szCs w:val="16"/>
              </w:rPr>
            </w:pPr>
            <w:r w:rsidRPr="003D5D1B">
              <w:rPr>
                <w:sz w:val="16"/>
                <w:szCs w:val="16"/>
              </w:rPr>
              <w:t>Holiday camps</w:t>
            </w:r>
          </w:p>
        </w:tc>
        <w:tc>
          <w:tcPr>
            <w:tcW w:w="699" w:type="pct"/>
          </w:tcPr>
          <w:p w14:paraId="13E36EA6" w14:textId="77777777" w:rsidR="00FB764B" w:rsidRPr="003D5D1B" w:rsidRDefault="00FB764B" w:rsidP="00FB764B">
            <w:pPr>
              <w:spacing w:after="0" w:line="240" w:lineRule="auto"/>
              <w:rPr>
                <w:sz w:val="16"/>
                <w:szCs w:val="16"/>
              </w:rPr>
            </w:pPr>
            <w:r>
              <w:rPr>
                <w:sz w:val="16"/>
                <w:szCs w:val="16"/>
              </w:rPr>
              <w:t>2,274,231</w:t>
            </w:r>
          </w:p>
        </w:tc>
        <w:tc>
          <w:tcPr>
            <w:tcW w:w="798" w:type="pct"/>
          </w:tcPr>
          <w:p w14:paraId="171899F8" w14:textId="77777777" w:rsidR="00FB764B" w:rsidRPr="003D5D1B" w:rsidRDefault="00FB764B" w:rsidP="00FB764B">
            <w:pPr>
              <w:spacing w:after="0" w:line="240" w:lineRule="auto"/>
              <w:ind w:right="414"/>
              <w:rPr>
                <w:sz w:val="16"/>
                <w:szCs w:val="16"/>
              </w:rPr>
            </w:pPr>
            <w:r w:rsidRPr="003D5D1B">
              <w:rPr>
                <w:sz w:val="16"/>
                <w:szCs w:val="16"/>
              </w:rPr>
              <w:t>95%</w:t>
            </w:r>
          </w:p>
        </w:tc>
        <w:tc>
          <w:tcPr>
            <w:tcW w:w="602" w:type="pct"/>
          </w:tcPr>
          <w:p w14:paraId="25D77365" w14:textId="77777777" w:rsidR="00FB764B" w:rsidRPr="003D5D1B" w:rsidRDefault="00FB764B" w:rsidP="00FB764B">
            <w:pPr>
              <w:spacing w:after="0" w:line="240" w:lineRule="auto"/>
              <w:rPr>
                <w:sz w:val="16"/>
                <w:szCs w:val="16"/>
              </w:rPr>
            </w:pPr>
            <w:r w:rsidRPr="003D5D1B">
              <w:rPr>
                <w:sz w:val="16"/>
                <w:szCs w:val="16"/>
              </w:rPr>
              <w:t xml:space="preserve">2 </w:t>
            </w:r>
          </w:p>
        </w:tc>
        <w:tc>
          <w:tcPr>
            <w:tcW w:w="658" w:type="pct"/>
          </w:tcPr>
          <w:p w14:paraId="5572BB4A" w14:textId="050132E9" w:rsidR="00FB764B" w:rsidRPr="003D5D1B" w:rsidRDefault="00FB764B" w:rsidP="00FB764B">
            <w:pPr>
              <w:spacing w:after="0" w:line="240" w:lineRule="auto"/>
              <w:rPr>
                <w:sz w:val="16"/>
                <w:szCs w:val="16"/>
              </w:rPr>
            </w:pPr>
            <w:r w:rsidRPr="00B43AF7">
              <w:rPr>
                <w:sz w:val="16"/>
                <w:szCs w:val="16"/>
              </w:rPr>
              <w:t>Above</w:t>
            </w:r>
          </w:p>
        </w:tc>
        <w:tc>
          <w:tcPr>
            <w:tcW w:w="724" w:type="pct"/>
          </w:tcPr>
          <w:p w14:paraId="2D87D84E" w14:textId="1DD443E4" w:rsidR="00FB764B" w:rsidRPr="003D5D1B" w:rsidRDefault="00FB764B" w:rsidP="00FB764B">
            <w:pPr>
              <w:spacing w:after="0" w:line="240" w:lineRule="auto"/>
              <w:rPr>
                <w:sz w:val="16"/>
                <w:szCs w:val="16"/>
              </w:rPr>
            </w:pPr>
            <w:r w:rsidRPr="00AF74C9">
              <w:rPr>
                <w:sz w:val="16"/>
                <w:szCs w:val="16"/>
              </w:rPr>
              <w:t>$237,417</w:t>
            </w:r>
          </w:p>
        </w:tc>
        <w:tc>
          <w:tcPr>
            <w:tcW w:w="530" w:type="pct"/>
          </w:tcPr>
          <w:p w14:paraId="51BFB745" w14:textId="5DA44204" w:rsidR="00FB764B" w:rsidRPr="00FF462C" w:rsidRDefault="00FB764B" w:rsidP="00FB764B">
            <w:pPr>
              <w:spacing w:after="0" w:line="240" w:lineRule="auto"/>
            </w:pPr>
            <w:r w:rsidRPr="00FF462C">
              <w:t>$192,566</w:t>
            </w:r>
          </w:p>
        </w:tc>
      </w:tr>
      <w:tr w:rsidR="00FB764B" w:rsidRPr="003D5D1B" w14:paraId="77A6B1C9" w14:textId="5BCDC769" w:rsidTr="00CC3499">
        <w:trPr>
          <w:trHeight w:val="55"/>
        </w:trPr>
        <w:tc>
          <w:tcPr>
            <w:tcW w:w="989" w:type="pct"/>
          </w:tcPr>
          <w:p w14:paraId="487AD6F4" w14:textId="77777777" w:rsidR="00FB764B" w:rsidRPr="003D5D1B" w:rsidRDefault="00FB764B" w:rsidP="00FB764B">
            <w:pPr>
              <w:spacing w:after="0" w:line="240" w:lineRule="auto"/>
              <w:rPr>
                <w:sz w:val="16"/>
                <w:szCs w:val="16"/>
              </w:rPr>
            </w:pPr>
            <w:r w:rsidRPr="003D5D1B">
              <w:rPr>
                <w:sz w:val="16"/>
                <w:szCs w:val="16"/>
              </w:rPr>
              <w:t>Rooming houses</w:t>
            </w:r>
          </w:p>
        </w:tc>
        <w:tc>
          <w:tcPr>
            <w:tcW w:w="699" w:type="pct"/>
          </w:tcPr>
          <w:p w14:paraId="2B951E24" w14:textId="77777777" w:rsidR="00FB764B" w:rsidRPr="003D5D1B" w:rsidRDefault="00FB764B" w:rsidP="00FB764B">
            <w:pPr>
              <w:spacing w:after="0" w:line="240" w:lineRule="auto"/>
              <w:rPr>
                <w:sz w:val="16"/>
                <w:szCs w:val="16"/>
              </w:rPr>
            </w:pPr>
            <w:r w:rsidRPr="003D5D1B">
              <w:rPr>
                <w:sz w:val="16"/>
                <w:szCs w:val="16"/>
              </w:rPr>
              <w:t>141,447</w:t>
            </w:r>
          </w:p>
        </w:tc>
        <w:tc>
          <w:tcPr>
            <w:tcW w:w="798" w:type="pct"/>
          </w:tcPr>
          <w:p w14:paraId="12B21A35" w14:textId="77777777" w:rsidR="00FB764B" w:rsidRPr="003D5D1B" w:rsidRDefault="00FB764B" w:rsidP="00FB764B">
            <w:pPr>
              <w:spacing w:after="0" w:line="240" w:lineRule="auto"/>
              <w:rPr>
                <w:sz w:val="16"/>
                <w:szCs w:val="16"/>
              </w:rPr>
            </w:pPr>
            <w:r w:rsidRPr="003D5D1B">
              <w:rPr>
                <w:sz w:val="16"/>
                <w:szCs w:val="16"/>
              </w:rPr>
              <w:t>50%</w:t>
            </w:r>
          </w:p>
        </w:tc>
        <w:tc>
          <w:tcPr>
            <w:tcW w:w="602" w:type="pct"/>
          </w:tcPr>
          <w:p w14:paraId="55A40F89" w14:textId="77777777" w:rsidR="00FB764B" w:rsidRPr="003D5D1B" w:rsidRDefault="00FB764B" w:rsidP="00FB764B">
            <w:pPr>
              <w:spacing w:after="0" w:line="240" w:lineRule="auto"/>
              <w:rPr>
                <w:sz w:val="16"/>
                <w:szCs w:val="16"/>
              </w:rPr>
            </w:pPr>
            <w:r w:rsidRPr="003D5D1B">
              <w:rPr>
                <w:sz w:val="16"/>
                <w:szCs w:val="16"/>
              </w:rPr>
              <w:t xml:space="preserve">2 </w:t>
            </w:r>
          </w:p>
        </w:tc>
        <w:tc>
          <w:tcPr>
            <w:tcW w:w="658" w:type="pct"/>
          </w:tcPr>
          <w:p w14:paraId="11F4E206" w14:textId="1A0AC580" w:rsidR="00FB764B" w:rsidRPr="003D5D1B" w:rsidRDefault="00FB764B" w:rsidP="00FB764B">
            <w:pPr>
              <w:spacing w:after="0" w:line="240" w:lineRule="auto"/>
              <w:rPr>
                <w:sz w:val="16"/>
                <w:szCs w:val="16"/>
              </w:rPr>
            </w:pPr>
            <w:r w:rsidRPr="00B43AF7">
              <w:rPr>
                <w:sz w:val="16"/>
                <w:szCs w:val="16"/>
              </w:rPr>
              <w:t>Above</w:t>
            </w:r>
          </w:p>
        </w:tc>
        <w:tc>
          <w:tcPr>
            <w:tcW w:w="724" w:type="pct"/>
          </w:tcPr>
          <w:p w14:paraId="7A8FBF31" w14:textId="0E35A2E2" w:rsidR="00FB764B" w:rsidRPr="003D5D1B" w:rsidRDefault="00FB764B" w:rsidP="00FB764B">
            <w:pPr>
              <w:spacing w:after="0" w:line="240" w:lineRule="auto"/>
              <w:rPr>
                <w:sz w:val="16"/>
                <w:szCs w:val="16"/>
              </w:rPr>
            </w:pPr>
            <w:r w:rsidRPr="00AF74C9">
              <w:rPr>
                <w:sz w:val="16"/>
                <w:szCs w:val="16"/>
              </w:rPr>
              <w:t>$147,663</w:t>
            </w:r>
          </w:p>
        </w:tc>
        <w:tc>
          <w:tcPr>
            <w:tcW w:w="530" w:type="pct"/>
          </w:tcPr>
          <w:p w14:paraId="038A785F" w14:textId="018576AA" w:rsidR="00FB764B" w:rsidRPr="00FF462C" w:rsidRDefault="00FB764B" w:rsidP="00FB764B">
            <w:pPr>
              <w:spacing w:after="0" w:line="240" w:lineRule="auto"/>
            </w:pPr>
            <w:r w:rsidRPr="00FF462C">
              <w:t>$118,634</w:t>
            </w:r>
          </w:p>
        </w:tc>
      </w:tr>
      <w:tr w:rsidR="00FB48D2" w:rsidRPr="003D5D1B" w14:paraId="0649A143" w14:textId="7E5782C2" w:rsidTr="00CC3499">
        <w:trPr>
          <w:trHeight w:val="55"/>
        </w:trPr>
        <w:tc>
          <w:tcPr>
            <w:tcW w:w="989" w:type="pct"/>
          </w:tcPr>
          <w:p w14:paraId="50FF56F1" w14:textId="77777777" w:rsidR="00FB48D2" w:rsidRPr="003D5D1B" w:rsidRDefault="00FB48D2" w:rsidP="00246B9B">
            <w:pPr>
              <w:spacing w:after="0" w:line="240" w:lineRule="auto"/>
              <w:rPr>
                <w:b/>
                <w:sz w:val="16"/>
                <w:szCs w:val="16"/>
              </w:rPr>
            </w:pPr>
            <w:r w:rsidRPr="003D5D1B">
              <w:rPr>
                <w:b/>
                <w:sz w:val="16"/>
                <w:szCs w:val="16"/>
              </w:rPr>
              <w:t>Total Cost</w:t>
            </w:r>
          </w:p>
        </w:tc>
        <w:tc>
          <w:tcPr>
            <w:tcW w:w="699" w:type="pct"/>
          </w:tcPr>
          <w:p w14:paraId="6EB73D2E" w14:textId="77777777" w:rsidR="00FB48D2" w:rsidRPr="003D5D1B" w:rsidRDefault="00FB48D2" w:rsidP="00246B9B">
            <w:pPr>
              <w:spacing w:after="0" w:line="240" w:lineRule="auto"/>
              <w:jc w:val="center"/>
              <w:rPr>
                <w:sz w:val="16"/>
                <w:szCs w:val="16"/>
              </w:rPr>
            </w:pPr>
          </w:p>
        </w:tc>
        <w:tc>
          <w:tcPr>
            <w:tcW w:w="798" w:type="pct"/>
          </w:tcPr>
          <w:p w14:paraId="06B3018E" w14:textId="77777777" w:rsidR="00FB48D2" w:rsidRPr="003D5D1B" w:rsidRDefault="00FB48D2" w:rsidP="00246B9B">
            <w:pPr>
              <w:spacing w:after="0" w:line="240" w:lineRule="auto"/>
              <w:rPr>
                <w:sz w:val="16"/>
                <w:szCs w:val="16"/>
              </w:rPr>
            </w:pPr>
          </w:p>
        </w:tc>
        <w:tc>
          <w:tcPr>
            <w:tcW w:w="602" w:type="pct"/>
          </w:tcPr>
          <w:p w14:paraId="1C4F512C" w14:textId="77777777" w:rsidR="00FB48D2" w:rsidRPr="003D5D1B" w:rsidRDefault="00FB48D2" w:rsidP="00246B9B">
            <w:pPr>
              <w:spacing w:after="0" w:line="240" w:lineRule="auto"/>
              <w:rPr>
                <w:sz w:val="16"/>
                <w:szCs w:val="16"/>
              </w:rPr>
            </w:pPr>
          </w:p>
        </w:tc>
        <w:tc>
          <w:tcPr>
            <w:tcW w:w="658" w:type="pct"/>
          </w:tcPr>
          <w:p w14:paraId="29E9BB62" w14:textId="77777777" w:rsidR="00FB48D2" w:rsidRPr="003D5D1B" w:rsidRDefault="00FB48D2" w:rsidP="00246B9B">
            <w:pPr>
              <w:spacing w:after="0" w:line="240" w:lineRule="auto"/>
              <w:rPr>
                <w:b/>
                <w:sz w:val="16"/>
                <w:szCs w:val="16"/>
              </w:rPr>
            </w:pPr>
          </w:p>
        </w:tc>
        <w:tc>
          <w:tcPr>
            <w:tcW w:w="724" w:type="pct"/>
          </w:tcPr>
          <w:p w14:paraId="1882047C" w14:textId="77777777" w:rsidR="00FB764B" w:rsidRDefault="00FB48D2" w:rsidP="00246B9B">
            <w:pPr>
              <w:spacing w:after="0" w:line="240" w:lineRule="auto"/>
              <w:rPr>
                <w:b/>
                <w:sz w:val="16"/>
                <w:szCs w:val="16"/>
              </w:rPr>
            </w:pPr>
            <w:r w:rsidRPr="003D5D1B">
              <w:rPr>
                <w:b/>
                <w:sz w:val="16"/>
                <w:szCs w:val="16"/>
              </w:rPr>
              <w:t>$</w:t>
            </w:r>
            <w:r w:rsidR="00AF74C9">
              <w:rPr>
                <w:b/>
                <w:sz w:val="16"/>
                <w:szCs w:val="16"/>
              </w:rPr>
              <w:t>4</w:t>
            </w:r>
            <w:r w:rsidRPr="003D5D1B">
              <w:rPr>
                <w:b/>
                <w:sz w:val="16"/>
                <w:szCs w:val="16"/>
              </w:rPr>
              <w:t>.</w:t>
            </w:r>
            <w:r w:rsidR="00AF74C9">
              <w:rPr>
                <w:b/>
                <w:sz w:val="16"/>
                <w:szCs w:val="16"/>
              </w:rPr>
              <w:t>1</w:t>
            </w:r>
            <w:r w:rsidRPr="003D5D1B">
              <w:rPr>
                <w:b/>
                <w:sz w:val="16"/>
                <w:szCs w:val="16"/>
              </w:rPr>
              <w:t xml:space="preserve"> </w:t>
            </w:r>
          </w:p>
          <w:p w14:paraId="06C67380" w14:textId="3011088E" w:rsidR="00FB48D2" w:rsidRPr="003D5D1B" w:rsidRDefault="00FB48D2" w:rsidP="00246B9B">
            <w:pPr>
              <w:spacing w:after="0" w:line="240" w:lineRule="auto"/>
              <w:rPr>
                <w:b/>
                <w:sz w:val="16"/>
                <w:szCs w:val="16"/>
              </w:rPr>
            </w:pPr>
            <w:r w:rsidRPr="003D5D1B">
              <w:rPr>
                <w:b/>
                <w:sz w:val="16"/>
                <w:szCs w:val="16"/>
              </w:rPr>
              <w:t>million</w:t>
            </w:r>
          </w:p>
        </w:tc>
        <w:tc>
          <w:tcPr>
            <w:tcW w:w="530" w:type="pct"/>
          </w:tcPr>
          <w:p w14:paraId="0E2029DA" w14:textId="07FAED2C" w:rsidR="00532DFC" w:rsidRPr="003D5D1B" w:rsidRDefault="00532DFC">
            <w:pPr>
              <w:spacing w:after="0" w:line="240" w:lineRule="auto"/>
              <w:rPr>
                <w:b/>
                <w:sz w:val="16"/>
                <w:szCs w:val="16"/>
              </w:rPr>
            </w:pPr>
            <w:r w:rsidRPr="003D5D1B">
              <w:rPr>
                <w:b/>
                <w:sz w:val="16"/>
                <w:szCs w:val="16"/>
              </w:rPr>
              <w:t>$</w:t>
            </w:r>
            <w:r w:rsidR="00840222">
              <w:rPr>
                <w:b/>
                <w:sz w:val="16"/>
                <w:szCs w:val="16"/>
              </w:rPr>
              <w:t>3</w:t>
            </w:r>
            <w:r w:rsidRPr="003D5D1B">
              <w:rPr>
                <w:b/>
                <w:sz w:val="16"/>
                <w:szCs w:val="16"/>
              </w:rPr>
              <w:t>.</w:t>
            </w:r>
            <w:r w:rsidR="00840222">
              <w:rPr>
                <w:b/>
                <w:sz w:val="16"/>
                <w:szCs w:val="16"/>
              </w:rPr>
              <w:t>3</w:t>
            </w:r>
            <w:r w:rsidRPr="003D5D1B">
              <w:rPr>
                <w:b/>
                <w:sz w:val="16"/>
                <w:szCs w:val="16"/>
              </w:rPr>
              <w:t xml:space="preserve"> million</w:t>
            </w:r>
          </w:p>
        </w:tc>
      </w:tr>
    </w:tbl>
    <w:p w14:paraId="51BC3DD0" w14:textId="77777777" w:rsidR="00FB48D2" w:rsidRPr="003D5D1B" w:rsidRDefault="00FB48D2" w:rsidP="00FB48D2"/>
    <w:p w14:paraId="3D9C306D" w14:textId="324E7342" w:rsidR="00FB48D2" w:rsidRPr="00B330F0" w:rsidRDefault="00FB48D2" w:rsidP="00FB48D2">
      <w:pPr>
        <w:pStyle w:val="Heading4"/>
      </w:pPr>
      <w:r w:rsidRPr="003D5D1B">
        <w:t>Adhering to maximum occu</w:t>
      </w:r>
      <w:r w:rsidRPr="00B330F0">
        <w:t>pation rules</w:t>
      </w:r>
    </w:p>
    <w:p w14:paraId="2BFA9399" w14:textId="54E22954" w:rsidR="00FB48D2" w:rsidRPr="00B330F0" w:rsidRDefault="00FB48D2" w:rsidP="00FB48D2">
      <w:pPr>
        <w:rPr>
          <w:color w:val="000000" w:themeColor="text1"/>
        </w:rPr>
      </w:pPr>
      <w:r w:rsidRPr="00B330F0">
        <w:rPr>
          <w:color w:val="000000" w:themeColor="text1"/>
        </w:rPr>
        <w:t>Under Option 1, the proprietor must comply with regulations in relation to the maximum number of persons accommodated in each bedroom.</w:t>
      </w:r>
      <w:r w:rsidRPr="00B330F0">
        <w:rPr>
          <w:rStyle w:val="FootnoteReference"/>
          <w:color w:val="000000" w:themeColor="text1"/>
        </w:rPr>
        <w:footnoteReference w:id="83"/>
      </w:r>
      <w:r w:rsidRPr="00B330F0">
        <w:rPr>
          <w:color w:val="000000" w:themeColor="text1"/>
        </w:rPr>
        <w:t xml:space="preserve"> This may reduce revenue for some proprietors because the number of occupants paying rent is capped. It may also reduce the supply of affordable accommodation</w:t>
      </w:r>
      <w:r w:rsidR="00810F42" w:rsidRPr="00B330F0">
        <w:rPr>
          <w:rStyle w:val="FootnoteReference"/>
          <w:color w:val="000000" w:themeColor="text1"/>
        </w:rPr>
        <w:footnoteReference w:id="84"/>
      </w:r>
      <w:r w:rsidRPr="00B330F0">
        <w:rPr>
          <w:color w:val="000000" w:themeColor="text1"/>
        </w:rPr>
        <w:t xml:space="preserve"> (discussed further in section 4.</w:t>
      </w:r>
      <w:r w:rsidR="0036668D" w:rsidRPr="00B330F0">
        <w:rPr>
          <w:color w:val="000000" w:themeColor="text1"/>
        </w:rPr>
        <w:t>3</w:t>
      </w:r>
      <w:r w:rsidRPr="00B330F0">
        <w:rPr>
          <w:color w:val="000000" w:themeColor="text1"/>
        </w:rPr>
        <w:t>.</w:t>
      </w:r>
      <w:r w:rsidR="006A6E08">
        <w:rPr>
          <w:color w:val="000000" w:themeColor="text1"/>
        </w:rPr>
        <w:t>2</w:t>
      </w:r>
      <w:r w:rsidRPr="00B330F0">
        <w:rPr>
          <w:color w:val="000000" w:themeColor="text1"/>
        </w:rPr>
        <w:t xml:space="preserve">). </w:t>
      </w:r>
    </w:p>
    <w:p w14:paraId="46FD31CB" w14:textId="03584B78" w:rsidR="00FB48D2" w:rsidRPr="003D5D1B" w:rsidRDefault="00FB48D2" w:rsidP="00FB48D2">
      <w:pPr>
        <w:rPr>
          <w:sz w:val="20"/>
          <w:szCs w:val="20"/>
        </w:rPr>
      </w:pPr>
      <w:r w:rsidRPr="00B330F0">
        <w:rPr>
          <w:color w:val="000000" w:themeColor="text1"/>
        </w:rPr>
        <w:t>There is however limited data to quantify the extent of overcrowding that would occur in the absence of regulations. While ABS 2016 census data estimated</w:t>
      </w:r>
      <w:r w:rsidRPr="003D5D1B">
        <w:rPr>
          <w:color w:val="000000" w:themeColor="text1"/>
        </w:rPr>
        <w:t xml:space="preserve"> that 8,930</w:t>
      </w:r>
      <w:r w:rsidRPr="00BC3000">
        <w:rPr>
          <w:color w:val="000000" w:themeColor="text1"/>
        </w:rPr>
        <w:t xml:space="preserve"> Victorians resided in severely </w:t>
      </w:r>
      <w:r w:rsidRPr="003D5D1B">
        <w:rPr>
          <w:color w:val="000000" w:themeColor="text1"/>
        </w:rPr>
        <w:t>overcrowded accommodation (of all types),</w:t>
      </w:r>
      <w:r w:rsidRPr="00BC3000">
        <w:rPr>
          <w:rStyle w:val="FootnoteReference"/>
          <w:color w:val="000000" w:themeColor="text1"/>
        </w:rPr>
        <w:footnoteReference w:id="85"/>
      </w:r>
      <w:r w:rsidRPr="00BC3000">
        <w:rPr>
          <w:color w:val="000000" w:themeColor="text1"/>
        </w:rPr>
        <w:t xml:space="preserve"> it is not known how many people would be l</w:t>
      </w:r>
      <w:r w:rsidRPr="003D5D1B">
        <w:rPr>
          <w:color w:val="000000" w:themeColor="text1"/>
        </w:rPr>
        <w:t>iving</w:t>
      </w:r>
      <w:r w:rsidRPr="003D5D1B" w:rsidDel="0088608D">
        <w:rPr>
          <w:color w:val="000000" w:themeColor="text1"/>
        </w:rPr>
        <w:t xml:space="preserve"> </w:t>
      </w:r>
      <w:r w:rsidRPr="003D5D1B">
        <w:rPr>
          <w:color w:val="000000" w:themeColor="text1"/>
        </w:rPr>
        <w:t xml:space="preserve">in overcrowded conditions in prescribed accommodation in the absence of regulations or how many are living in accommodation that is non-compliant with the </w:t>
      </w:r>
      <w:r w:rsidR="0036668D">
        <w:rPr>
          <w:color w:val="000000" w:themeColor="text1"/>
        </w:rPr>
        <w:t>R</w:t>
      </w:r>
      <w:r w:rsidRPr="003D5D1B">
        <w:rPr>
          <w:color w:val="000000" w:themeColor="text1"/>
        </w:rPr>
        <w:t xml:space="preserve">egulations. This cost cannot be quantified and it is also difficult to estimate the size of the cost. </w:t>
      </w:r>
    </w:p>
    <w:p w14:paraId="7A6C1115" w14:textId="77777777" w:rsidR="00FB48D2" w:rsidRPr="003D5D1B" w:rsidRDefault="00FB48D2" w:rsidP="00FB48D2">
      <w:pPr>
        <w:pStyle w:val="Heading4"/>
      </w:pPr>
      <w:r w:rsidRPr="003D5D1B">
        <w:t>Maximum capacity of toilets, baths and basins</w:t>
      </w:r>
    </w:p>
    <w:p w14:paraId="1ED858C1" w14:textId="2739CC5E" w:rsidR="00FB48D2" w:rsidRDefault="00FB48D2" w:rsidP="00FB48D2">
      <w:pPr>
        <w:rPr>
          <w:rFonts w:eastAsiaTheme="minorEastAsia"/>
          <w:color w:val="000000" w:themeColor="text1"/>
        </w:rPr>
      </w:pPr>
      <w:r w:rsidRPr="003D5D1B">
        <w:rPr>
          <w:color w:val="000000" w:themeColor="text1"/>
        </w:rPr>
        <w:t>The proprietor must provide at least one toilet, one bath or shower and one basin for every 10 people (or part thereof) residing in prescribed accommodation.</w:t>
      </w:r>
      <w:r>
        <w:rPr>
          <w:rStyle w:val="FootnoteReference"/>
          <w:color w:val="000000" w:themeColor="text1"/>
        </w:rPr>
        <w:footnoteReference w:id="86"/>
      </w:r>
      <w:r w:rsidRPr="003D5D1B">
        <w:rPr>
          <w:color w:val="000000" w:themeColor="text1"/>
        </w:rPr>
        <w:t xml:space="preserve"> To comply with the Regulations proprietors would need to incur the cost of providing additional toilets, baths/showers or basins for every additional lot of 10 people (or part thereof). For an individual proprietor this cost could be significant, for example</w:t>
      </w:r>
      <w:r w:rsidR="005C0200">
        <w:rPr>
          <w:color w:val="000000" w:themeColor="text1"/>
        </w:rPr>
        <w:t xml:space="preserve">, the </w:t>
      </w:r>
      <w:r w:rsidRPr="003D5D1B">
        <w:rPr>
          <w:color w:val="000000" w:themeColor="text1"/>
        </w:rPr>
        <w:t>construction of a</w:t>
      </w:r>
      <w:r w:rsidR="005C0200">
        <w:rPr>
          <w:color w:val="000000" w:themeColor="text1"/>
        </w:rPr>
        <w:t>n additional</w:t>
      </w:r>
      <w:r w:rsidRPr="003D5D1B">
        <w:rPr>
          <w:color w:val="000000" w:themeColor="text1"/>
        </w:rPr>
        <w:t xml:space="preserve"> small bathroom (6.48</w:t>
      </w:r>
      <m:oMath>
        <m:sSup>
          <m:sSupPr>
            <m:ctrlPr>
              <w:rPr>
                <w:rFonts w:ascii="Cambria Math" w:hAnsi="Cambria Math"/>
                <w:iCs/>
                <w:color w:val="000000" w:themeColor="text1"/>
              </w:rPr>
            </m:ctrlPr>
          </m:sSupPr>
          <m:e>
            <m:r>
              <m:rPr>
                <m:sty m:val="p"/>
              </m:rPr>
              <w:rPr>
                <w:rFonts w:ascii="Cambria Math" w:hAnsi="Cambria Math"/>
                <w:color w:val="000000" w:themeColor="text1"/>
              </w:rPr>
              <m:t>m</m:t>
            </m:r>
          </m:e>
          <m:sup>
            <m:r>
              <m:rPr>
                <m:sty m:val="p"/>
              </m:rPr>
              <w:rPr>
                <w:rFonts w:ascii="Cambria Math" w:hAnsi="Cambria Math"/>
                <w:color w:val="000000" w:themeColor="text1"/>
              </w:rPr>
              <m:t>2</m:t>
            </m:r>
          </m:sup>
        </m:sSup>
      </m:oMath>
      <w:r w:rsidRPr="00BC3000">
        <w:rPr>
          <w:rFonts w:eastAsiaTheme="minorEastAsia"/>
          <w:color w:val="000000" w:themeColor="text1"/>
        </w:rPr>
        <w:t xml:space="preserve">) with basic </w:t>
      </w:r>
      <w:r w:rsidRPr="003D5D1B">
        <w:rPr>
          <w:rFonts w:eastAsiaTheme="minorEastAsia"/>
          <w:color w:val="000000" w:themeColor="text1"/>
        </w:rPr>
        <w:t>finishes and fittings was estimated to cost approximately $8,850</w:t>
      </w:r>
      <w:r w:rsidRPr="003D5D1B">
        <w:rPr>
          <w:rStyle w:val="FootnoteReference"/>
          <w:rFonts w:eastAsiaTheme="minorEastAsia"/>
          <w:color w:val="000000" w:themeColor="text1"/>
        </w:rPr>
        <w:footnoteReference w:id="87"/>
      </w:r>
      <w:r w:rsidRPr="003D5D1B">
        <w:rPr>
          <w:rFonts w:eastAsiaTheme="minorEastAsia"/>
          <w:color w:val="000000" w:themeColor="text1"/>
        </w:rPr>
        <w:t xml:space="preserve"> in 2017 or $9,</w:t>
      </w:r>
      <w:r w:rsidR="0036668D">
        <w:rPr>
          <w:rFonts w:eastAsiaTheme="minorEastAsia"/>
          <w:color w:val="000000" w:themeColor="text1"/>
        </w:rPr>
        <w:t>34</w:t>
      </w:r>
      <w:r w:rsidR="0036668D" w:rsidRPr="003D5D1B">
        <w:rPr>
          <w:rFonts w:eastAsiaTheme="minorEastAsia"/>
          <w:color w:val="000000" w:themeColor="text1"/>
        </w:rPr>
        <w:t xml:space="preserve">2 </w:t>
      </w:r>
      <w:r w:rsidRPr="003D5D1B">
        <w:rPr>
          <w:rFonts w:eastAsiaTheme="minorEastAsia"/>
          <w:color w:val="000000" w:themeColor="text1"/>
        </w:rPr>
        <w:t xml:space="preserve">in 2021 dollars. While there is no recent data on the degree of compliance with this Regulation, a 2011 Rooming house RIS found </w:t>
      </w:r>
      <w:r w:rsidRPr="00403B33">
        <w:rPr>
          <w:rFonts w:eastAsiaTheme="minorEastAsia"/>
        </w:rPr>
        <w:t xml:space="preserve">that 30% of rooming houses did not meet this requirement. Compliance </w:t>
      </w:r>
      <w:r w:rsidRPr="00403B33">
        <w:rPr>
          <w:rFonts w:eastAsiaTheme="minorEastAsia"/>
        </w:rPr>
        <w:lastRenderedPageBreak/>
        <w:t>for other types of prescribed accommodation</w:t>
      </w:r>
      <w:r>
        <w:rPr>
          <w:rFonts w:eastAsiaTheme="minorEastAsia"/>
        </w:rPr>
        <w:t xml:space="preserve"> is not available and estimates have been used</w:t>
      </w:r>
      <w:r w:rsidR="00B04317">
        <w:rPr>
          <w:rFonts w:eastAsiaTheme="minorEastAsia"/>
        </w:rPr>
        <w:t>, including an estimate of 100% compliance in hotels and motels</w:t>
      </w:r>
      <w:r>
        <w:rPr>
          <w:rFonts w:eastAsiaTheme="minorEastAsia"/>
        </w:rPr>
        <w:t xml:space="preserve">. </w:t>
      </w:r>
      <w:r w:rsidRPr="00403B33">
        <w:rPr>
          <w:rFonts w:eastAsiaTheme="minorEastAsia"/>
        </w:rPr>
        <w:t>Assuming 1 additional bathroom is required for each non-compliant</w:t>
      </w:r>
      <w:r w:rsidR="00F4397A">
        <w:rPr>
          <w:rFonts w:eastAsiaTheme="minorEastAsia"/>
        </w:rPr>
        <w:t xml:space="preserve"> new or existing</w:t>
      </w:r>
      <w:r w:rsidRPr="00403B33">
        <w:rPr>
          <w:rFonts w:eastAsiaTheme="minorEastAsia"/>
        </w:rPr>
        <w:t xml:space="preserve"> facility, the total cost is estimated at $</w:t>
      </w:r>
      <w:r w:rsidR="008D368F" w:rsidRPr="002C438D">
        <w:rPr>
          <w:rFonts w:eastAsiaTheme="minorEastAsia"/>
        </w:rPr>
        <w:t>8</w:t>
      </w:r>
      <w:r w:rsidRPr="00403B33">
        <w:rPr>
          <w:rFonts w:eastAsiaTheme="minorEastAsia"/>
        </w:rPr>
        <w:t>.</w:t>
      </w:r>
      <w:r w:rsidR="009C5D7E">
        <w:rPr>
          <w:rFonts w:eastAsiaTheme="minorEastAsia"/>
        </w:rPr>
        <w:t>0</w:t>
      </w:r>
      <w:r w:rsidR="008D368F" w:rsidRPr="008D368F">
        <w:rPr>
          <w:rFonts w:eastAsiaTheme="minorEastAsia"/>
        </w:rPr>
        <w:t xml:space="preserve"> </w:t>
      </w:r>
      <w:r w:rsidRPr="00403B33">
        <w:rPr>
          <w:rFonts w:eastAsiaTheme="minorEastAsia"/>
        </w:rPr>
        <w:t>million over 10 years</w:t>
      </w:r>
      <w:r w:rsidR="00F4397A">
        <w:rPr>
          <w:rFonts w:eastAsiaTheme="minorEastAsia"/>
        </w:rPr>
        <w:t xml:space="preserve"> (or $</w:t>
      </w:r>
      <w:r w:rsidR="008D368F">
        <w:rPr>
          <w:rFonts w:eastAsiaTheme="minorEastAsia"/>
        </w:rPr>
        <w:t>7.</w:t>
      </w:r>
      <w:r w:rsidR="009C5D7E">
        <w:rPr>
          <w:rFonts w:eastAsiaTheme="minorEastAsia"/>
        </w:rPr>
        <w:t>5</w:t>
      </w:r>
      <w:r w:rsidR="008D368F">
        <w:rPr>
          <w:rFonts w:eastAsiaTheme="minorEastAsia"/>
        </w:rPr>
        <w:t xml:space="preserve"> million</w:t>
      </w:r>
      <w:r w:rsidR="00F4397A">
        <w:rPr>
          <w:rFonts w:eastAsiaTheme="minorEastAsia"/>
        </w:rPr>
        <w:t xml:space="preserve"> in NPV)</w:t>
      </w:r>
      <w:r w:rsidRPr="00403B33">
        <w:rPr>
          <w:rFonts w:eastAsiaTheme="minorEastAsia"/>
        </w:rPr>
        <w:t xml:space="preserve">. Since the </w:t>
      </w:r>
      <w:r w:rsidR="00A04970">
        <w:rPr>
          <w:rFonts w:eastAsiaTheme="minorEastAsia"/>
        </w:rPr>
        <w:t>Public Health and Wellbeing Regulations 2009, (which have been remade as</w:t>
      </w:r>
      <w:r w:rsidRPr="00403B33">
        <w:rPr>
          <w:rFonts w:eastAsiaTheme="minorEastAsia"/>
        </w:rPr>
        <w:t xml:space="preserve"> the </w:t>
      </w:r>
      <w:r w:rsidR="00D22216">
        <w:rPr>
          <w:rFonts w:eastAsiaTheme="minorEastAsia"/>
        </w:rPr>
        <w:t>R</w:t>
      </w:r>
      <w:r w:rsidRPr="00403B33">
        <w:rPr>
          <w:rFonts w:eastAsiaTheme="minorEastAsia"/>
        </w:rPr>
        <w:t>egulations</w:t>
      </w:r>
      <w:r w:rsidR="00D22216">
        <w:rPr>
          <w:rFonts w:eastAsiaTheme="minorEastAsia"/>
        </w:rPr>
        <w:t>)</w:t>
      </w:r>
      <w:r w:rsidRPr="00403B33">
        <w:rPr>
          <w:rFonts w:eastAsiaTheme="minorEastAsia"/>
        </w:rPr>
        <w:t xml:space="preserve"> came into effect in </w:t>
      </w:r>
      <w:r w:rsidR="00D22216">
        <w:rPr>
          <w:rFonts w:eastAsiaTheme="minorEastAsia"/>
        </w:rPr>
        <w:t>January 2010</w:t>
      </w:r>
      <w:r w:rsidRPr="00403B33">
        <w:rPr>
          <w:rFonts w:eastAsiaTheme="minorEastAsia"/>
        </w:rPr>
        <w:t>, compliance with this requirement is likely to have increased so this is an upper bound cost estimate</w:t>
      </w:r>
      <w:r w:rsidR="000D1CD0">
        <w:rPr>
          <w:rFonts w:eastAsiaTheme="minorEastAsia"/>
        </w:rPr>
        <w:t xml:space="preserve"> (i.e. very likely to be higher </w:t>
      </w:r>
      <w:r w:rsidR="00E7257B">
        <w:rPr>
          <w:rFonts w:eastAsiaTheme="minorEastAsia"/>
        </w:rPr>
        <w:t>than actual costs)</w:t>
      </w:r>
      <w:r w:rsidRPr="00403B33">
        <w:rPr>
          <w:rFonts w:eastAsiaTheme="minorEastAsia"/>
        </w:rPr>
        <w:t xml:space="preserve">. </w:t>
      </w:r>
    </w:p>
    <w:p w14:paraId="6CD19CFB" w14:textId="39CA1C0A" w:rsidR="00FB48D2" w:rsidRPr="00BC3000" w:rsidRDefault="00FB48D2" w:rsidP="00FB48D2">
      <w:pPr>
        <w:pStyle w:val="Caption"/>
      </w:pPr>
      <w:r>
        <w:t xml:space="preserve">Table </w:t>
      </w:r>
      <w:r w:rsidR="004335F8">
        <w:fldChar w:fldCharType="begin"/>
      </w:r>
      <w:r w:rsidR="004335F8">
        <w:instrText xml:space="preserve"> STYLEREF 1 \s </w:instrText>
      </w:r>
      <w:r w:rsidR="004335F8">
        <w:fldChar w:fldCharType="separate"/>
      </w:r>
      <w:r w:rsidR="00795309">
        <w:rPr>
          <w:noProof/>
        </w:rPr>
        <w:t>4</w:t>
      </w:r>
      <w:r w:rsidR="004335F8">
        <w:fldChar w:fldCharType="end"/>
      </w:r>
      <w:r w:rsidR="004335F8">
        <w:noBreakHyphen/>
      </w:r>
      <w:r w:rsidR="004335F8">
        <w:fldChar w:fldCharType="begin"/>
      </w:r>
      <w:r w:rsidR="004335F8">
        <w:instrText xml:space="preserve"> SEQ Table \* ARABIC \s 1 </w:instrText>
      </w:r>
      <w:r w:rsidR="004335F8">
        <w:fldChar w:fldCharType="separate"/>
      </w:r>
      <w:r w:rsidR="00795309">
        <w:rPr>
          <w:noProof/>
        </w:rPr>
        <w:t>10</w:t>
      </w:r>
      <w:r w:rsidR="004335F8">
        <w:fldChar w:fldCharType="end"/>
      </w:r>
      <w:r>
        <w:t xml:space="preserve"> Cost of </w:t>
      </w:r>
      <w:r w:rsidRPr="00BC3000">
        <w:t>additional bathrooms</w:t>
      </w:r>
    </w:p>
    <w:tbl>
      <w:tblPr>
        <w:tblStyle w:val="Deloittetable"/>
        <w:tblW w:w="5000" w:type="pct"/>
        <w:tblLayout w:type="fixed"/>
        <w:tblLook w:val="04A0" w:firstRow="1" w:lastRow="0" w:firstColumn="1" w:lastColumn="0" w:noHBand="0" w:noVBand="1"/>
      </w:tblPr>
      <w:tblGrid>
        <w:gridCol w:w="1391"/>
        <w:gridCol w:w="972"/>
        <w:gridCol w:w="696"/>
        <w:gridCol w:w="1386"/>
        <w:gridCol w:w="973"/>
        <w:gridCol w:w="973"/>
        <w:gridCol w:w="1108"/>
        <w:gridCol w:w="1527"/>
      </w:tblGrid>
      <w:tr w:rsidR="005E7098" w:rsidRPr="003D5D1B" w14:paraId="1C9E5E12" w14:textId="04E564A8" w:rsidTr="00855643">
        <w:trPr>
          <w:cnfStyle w:val="100000000000" w:firstRow="1" w:lastRow="0" w:firstColumn="0" w:lastColumn="0" w:oddVBand="0" w:evenVBand="0" w:oddHBand="0" w:evenHBand="0" w:firstRowFirstColumn="0" w:firstRowLastColumn="0" w:lastRowFirstColumn="0" w:lastRowLastColumn="0"/>
          <w:trHeight w:val="1865"/>
        </w:trPr>
        <w:tc>
          <w:tcPr>
            <w:tcW w:w="770" w:type="pct"/>
          </w:tcPr>
          <w:p w14:paraId="40804437" w14:textId="77777777" w:rsidR="00FB48D2" w:rsidRPr="003D5D1B" w:rsidRDefault="00FB48D2" w:rsidP="00246B9B">
            <w:pPr>
              <w:rPr>
                <w:b/>
              </w:rPr>
            </w:pPr>
            <w:r w:rsidRPr="003D5D1B">
              <w:rPr>
                <w:b/>
              </w:rPr>
              <w:t>Type of premises</w:t>
            </w:r>
          </w:p>
        </w:tc>
        <w:tc>
          <w:tcPr>
            <w:tcW w:w="538" w:type="pct"/>
          </w:tcPr>
          <w:p w14:paraId="13C5D5B7" w14:textId="1EC334E1" w:rsidR="00FB48D2" w:rsidRPr="003D5D1B" w:rsidRDefault="00FB48D2" w:rsidP="00246B9B">
            <w:pPr>
              <w:rPr>
                <w:b/>
              </w:rPr>
            </w:pPr>
            <w:r w:rsidRPr="003D5D1B">
              <w:rPr>
                <w:b/>
              </w:rPr>
              <w:t xml:space="preserve">No. of </w:t>
            </w:r>
            <w:r w:rsidR="008D368F">
              <w:rPr>
                <w:b/>
              </w:rPr>
              <w:t xml:space="preserve">new &amp; existing </w:t>
            </w:r>
            <w:r w:rsidRPr="003D5D1B">
              <w:rPr>
                <w:b/>
              </w:rPr>
              <w:t>facilities 2021</w:t>
            </w:r>
          </w:p>
        </w:tc>
        <w:tc>
          <w:tcPr>
            <w:tcW w:w="385" w:type="pct"/>
          </w:tcPr>
          <w:p w14:paraId="23DE1941" w14:textId="2541C710" w:rsidR="008D368F" w:rsidRDefault="008D368F" w:rsidP="008D368F">
            <w:pPr>
              <w:rPr>
                <w:b/>
              </w:rPr>
            </w:pPr>
            <w:r>
              <w:rPr>
                <w:b/>
              </w:rPr>
              <w:t xml:space="preserve">No. </w:t>
            </w:r>
            <w:r w:rsidR="005D5E87">
              <w:rPr>
                <w:b/>
              </w:rPr>
              <w:t xml:space="preserve">of </w:t>
            </w:r>
            <w:r>
              <w:rPr>
                <w:b/>
              </w:rPr>
              <w:t>new facilities 2022-30</w:t>
            </w:r>
          </w:p>
        </w:tc>
        <w:tc>
          <w:tcPr>
            <w:tcW w:w="768" w:type="pct"/>
          </w:tcPr>
          <w:p w14:paraId="27A477E4" w14:textId="60E09C6E" w:rsidR="00FB48D2" w:rsidRPr="003D5D1B" w:rsidRDefault="00FB48D2" w:rsidP="002C438D">
            <w:pPr>
              <w:ind w:right="137"/>
              <w:rPr>
                <w:b/>
              </w:rPr>
            </w:pPr>
            <w:r w:rsidRPr="003D5D1B">
              <w:rPr>
                <w:b/>
              </w:rPr>
              <w:t>Estimated % that would not meet this requirement under the Base Case</w:t>
            </w:r>
          </w:p>
        </w:tc>
        <w:tc>
          <w:tcPr>
            <w:tcW w:w="539" w:type="pct"/>
          </w:tcPr>
          <w:p w14:paraId="6B983852" w14:textId="77777777" w:rsidR="00FB48D2" w:rsidRPr="003D5D1B" w:rsidRDefault="00FB48D2" w:rsidP="00246B9B">
            <w:pPr>
              <w:rPr>
                <w:b/>
              </w:rPr>
            </w:pPr>
            <w:r w:rsidRPr="003D5D1B">
              <w:rPr>
                <w:b/>
              </w:rPr>
              <w:t>No. of bathrooms required for each facility to become compliant</w:t>
            </w:r>
          </w:p>
        </w:tc>
        <w:tc>
          <w:tcPr>
            <w:tcW w:w="539" w:type="pct"/>
          </w:tcPr>
          <w:p w14:paraId="49B5A177" w14:textId="77777777" w:rsidR="00FB48D2" w:rsidRPr="003D5D1B" w:rsidRDefault="00FB48D2" w:rsidP="00246B9B">
            <w:pPr>
              <w:rPr>
                <w:b/>
              </w:rPr>
            </w:pPr>
            <w:r w:rsidRPr="003D5D1B">
              <w:rPr>
                <w:b/>
              </w:rPr>
              <w:t>Cost per bathroom</w:t>
            </w:r>
          </w:p>
        </w:tc>
        <w:tc>
          <w:tcPr>
            <w:tcW w:w="614" w:type="pct"/>
          </w:tcPr>
          <w:p w14:paraId="58003FD9" w14:textId="111A7FEE" w:rsidR="00FB48D2" w:rsidRPr="003D5D1B" w:rsidRDefault="008D368F" w:rsidP="002C438D">
            <w:pPr>
              <w:ind w:right="265"/>
              <w:rPr>
                <w:b/>
              </w:rPr>
            </w:pPr>
            <w:r w:rsidRPr="003D5D1B">
              <w:rPr>
                <w:b/>
              </w:rPr>
              <w:t>Total cost</w:t>
            </w:r>
            <w:r>
              <w:rPr>
                <w:b/>
              </w:rPr>
              <w:t xml:space="preserve"> 2021-30 </w:t>
            </w:r>
          </w:p>
        </w:tc>
        <w:tc>
          <w:tcPr>
            <w:tcW w:w="846" w:type="pct"/>
          </w:tcPr>
          <w:p w14:paraId="3869CE58" w14:textId="66B15969" w:rsidR="008D368F" w:rsidRPr="003D5D1B" w:rsidRDefault="008D368F">
            <w:pPr>
              <w:rPr>
                <w:b/>
              </w:rPr>
            </w:pPr>
            <w:r w:rsidRPr="003D5D1B">
              <w:rPr>
                <w:b/>
              </w:rPr>
              <w:t>Total cost</w:t>
            </w:r>
            <w:r>
              <w:rPr>
                <w:b/>
              </w:rPr>
              <w:t xml:space="preserve"> 2021-30 </w:t>
            </w:r>
            <w:r w:rsidR="009E784D">
              <w:rPr>
                <w:b/>
              </w:rPr>
              <w:t xml:space="preserve"> </w:t>
            </w:r>
            <w:r>
              <w:rPr>
                <w:b/>
              </w:rPr>
              <w:t xml:space="preserve">NPV </w:t>
            </w:r>
          </w:p>
        </w:tc>
      </w:tr>
      <w:tr w:rsidR="00F272F6" w:rsidRPr="003D5D1B" w14:paraId="7FE8D49E" w14:textId="21BF2243" w:rsidTr="00855643">
        <w:trPr>
          <w:trHeight w:val="114"/>
        </w:trPr>
        <w:tc>
          <w:tcPr>
            <w:tcW w:w="770" w:type="pct"/>
          </w:tcPr>
          <w:p w14:paraId="028BA425" w14:textId="317FF56B" w:rsidR="00F272F6" w:rsidRPr="003D5D1B" w:rsidRDefault="00F272F6" w:rsidP="00F272F6">
            <w:pPr>
              <w:pStyle w:val="ListBullet"/>
              <w:numPr>
                <w:ilvl w:val="0"/>
                <w:numId w:val="0"/>
              </w:numPr>
              <w:spacing w:after="0" w:line="240" w:lineRule="auto"/>
            </w:pPr>
            <w:r w:rsidRPr="003D5D1B">
              <w:t>Residential accommodation</w:t>
            </w:r>
          </w:p>
        </w:tc>
        <w:tc>
          <w:tcPr>
            <w:tcW w:w="538" w:type="pct"/>
          </w:tcPr>
          <w:p w14:paraId="4224DD7B" w14:textId="18C116C7" w:rsidR="00F272F6" w:rsidRPr="003D5D1B" w:rsidRDefault="00F272F6" w:rsidP="00F272F6">
            <w:pPr>
              <w:spacing w:after="0" w:line="240" w:lineRule="auto"/>
            </w:pPr>
            <w:r>
              <w:t>1,634</w:t>
            </w:r>
          </w:p>
        </w:tc>
        <w:tc>
          <w:tcPr>
            <w:tcW w:w="385" w:type="pct"/>
          </w:tcPr>
          <w:p w14:paraId="2E14948F" w14:textId="08112E30" w:rsidR="00F272F6" w:rsidRDefault="00F272F6" w:rsidP="00F272F6">
            <w:pPr>
              <w:spacing w:after="0" w:line="240" w:lineRule="auto"/>
            </w:pPr>
            <w:r>
              <w:t>367</w:t>
            </w:r>
          </w:p>
        </w:tc>
        <w:tc>
          <w:tcPr>
            <w:tcW w:w="768" w:type="pct"/>
          </w:tcPr>
          <w:p w14:paraId="1B51A0D0" w14:textId="1B307C13" w:rsidR="00F272F6" w:rsidRPr="003D5D1B" w:rsidRDefault="00F272F6" w:rsidP="00F272F6">
            <w:pPr>
              <w:spacing w:after="0" w:line="240" w:lineRule="auto"/>
            </w:pPr>
            <w:r w:rsidRPr="003D5D1B">
              <w:t>7.5%</w:t>
            </w:r>
          </w:p>
        </w:tc>
        <w:tc>
          <w:tcPr>
            <w:tcW w:w="539" w:type="pct"/>
          </w:tcPr>
          <w:p w14:paraId="25930FF9" w14:textId="77777777" w:rsidR="00F272F6" w:rsidRPr="003D5D1B" w:rsidRDefault="00F272F6" w:rsidP="00F272F6">
            <w:pPr>
              <w:spacing w:after="0" w:line="240" w:lineRule="auto"/>
            </w:pPr>
            <w:r w:rsidRPr="003D5D1B">
              <w:t>1</w:t>
            </w:r>
          </w:p>
        </w:tc>
        <w:tc>
          <w:tcPr>
            <w:tcW w:w="539" w:type="pct"/>
          </w:tcPr>
          <w:p w14:paraId="15D89714" w14:textId="7AC0003F" w:rsidR="00F272F6" w:rsidRPr="003D5D1B" w:rsidRDefault="00F272F6" w:rsidP="00F272F6">
            <w:pPr>
              <w:spacing w:after="0" w:line="240" w:lineRule="auto"/>
            </w:pPr>
            <w:r w:rsidRPr="003D5D1B">
              <w:t>$9,</w:t>
            </w:r>
            <w:r>
              <w:t>342</w:t>
            </w:r>
          </w:p>
        </w:tc>
        <w:tc>
          <w:tcPr>
            <w:tcW w:w="614" w:type="pct"/>
          </w:tcPr>
          <w:p w14:paraId="3128A904" w14:textId="70B76BD9" w:rsidR="00F272F6" w:rsidRPr="00F272F6" w:rsidRDefault="00F272F6" w:rsidP="00F272F6">
            <w:pPr>
              <w:spacing w:after="0" w:line="240" w:lineRule="auto"/>
            </w:pPr>
            <w:r w:rsidRPr="00F272F6">
              <w:rPr>
                <w:lang w:val="en-GB"/>
              </w:rPr>
              <w:t>$1,431,089</w:t>
            </w:r>
          </w:p>
        </w:tc>
        <w:tc>
          <w:tcPr>
            <w:tcW w:w="846" w:type="pct"/>
          </w:tcPr>
          <w:p w14:paraId="54B42A20" w14:textId="70E237B4" w:rsidR="00F272F6" w:rsidRPr="00F272F6" w:rsidRDefault="00F272F6" w:rsidP="00F272F6">
            <w:pPr>
              <w:spacing w:after="0" w:line="240" w:lineRule="auto"/>
            </w:pPr>
            <w:r w:rsidRPr="00F272F6">
              <w:rPr>
                <w:lang w:val="en-GB"/>
              </w:rPr>
              <w:t>$1,326,743</w:t>
            </w:r>
          </w:p>
        </w:tc>
      </w:tr>
      <w:tr w:rsidR="00F272F6" w:rsidRPr="003D5D1B" w14:paraId="45AF3A4F" w14:textId="5B92A7AF" w:rsidTr="00855643">
        <w:trPr>
          <w:trHeight w:val="114"/>
        </w:trPr>
        <w:tc>
          <w:tcPr>
            <w:tcW w:w="770" w:type="pct"/>
          </w:tcPr>
          <w:p w14:paraId="274ADBF1" w14:textId="4D026B7B" w:rsidR="00F272F6" w:rsidRDefault="00F272F6" w:rsidP="00F272F6">
            <w:pPr>
              <w:spacing w:after="0" w:line="240" w:lineRule="auto"/>
            </w:pPr>
            <w:r w:rsidRPr="003D5D1B">
              <w:t xml:space="preserve">Hotels and </w:t>
            </w:r>
          </w:p>
          <w:p w14:paraId="2231AD42" w14:textId="646239A8" w:rsidR="00F272F6" w:rsidRPr="003D5D1B" w:rsidRDefault="00F272F6" w:rsidP="00F272F6">
            <w:pPr>
              <w:spacing w:after="0" w:line="240" w:lineRule="auto"/>
            </w:pPr>
            <w:r w:rsidRPr="003D5D1B">
              <w:t>motels</w:t>
            </w:r>
          </w:p>
        </w:tc>
        <w:tc>
          <w:tcPr>
            <w:tcW w:w="538" w:type="pct"/>
          </w:tcPr>
          <w:p w14:paraId="66D07A31" w14:textId="5992046E" w:rsidR="00F272F6" w:rsidRPr="003D5D1B" w:rsidRDefault="00F272F6" w:rsidP="00F272F6">
            <w:pPr>
              <w:spacing w:after="0" w:line="240" w:lineRule="auto"/>
            </w:pPr>
            <w:r w:rsidRPr="00771E9D">
              <w:t>1,379</w:t>
            </w:r>
          </w:p>
        </w:tc>
        <w:tc>
          <w:tcPr>
            <w:tcW w:w="385" w:type="pct"/>
          </w:tcPr>
          <w:p w14:paraId="0B08D513" w14:textId="42E27B9B" w:rsidR="00F272F6" w:rsidRDefault="00F272F6" w:rsidP="00F272F6">
            <w:pPr>
              <w:spacing w:after="0" w:line="240" w:lineRule="auto"/>
            </w:pPr>
            <w:r>
              <w:t>210</w:t>
            </w:r>
          </w:p>
        </w:tc>
        <w:tc>
          <w:tcPr>
            <w:tcW w:w="768" w:type="pct"/>
          </w:tcPr>
          <w:p w14:paraId="66EC9300" w14:textId="4F5F0327" w:rsidR="00F272F6" w:rsidRPr="003D5D1B" w:rsidRDefault="00F272F6" w:rsidP="00F272F6">
            <w:pPr>
              <w:spacing w:after="0" w:line="240" w:lineRule="auto"/>
            </w:pPr>
            <w:r w:rsidRPr="003D5D1B">
              <w:t>0%</w:t>
            </w:r>
          </w:p>
        </w:tc>
        <w:tc>
          <w:tcPr>
            <w:tcW w:w="539" w:type="pct"/>
          </w:tcPr>
          <w:p w14:paraId="1CD041BE" w14:textId="77777777" w:rsidR="00F272F6" w:rsidRPr="003D5D1B" w:rsidRDefault="00F272F6" w:rsidP="00F272F6">
            <w:pPr>
              <w:spacing w:after="0" w:line="240" w:lineRule="auto"/>
            </w:pPr>
            <w:r w:rsidRPr="003D5D1B">
              <w:t>n/a</w:t>
            </w:r>
          </w:p>
        </w:tc>
        <w:tc>
          <w:tcPr>
            <w:tcW w:w="539" w:type="pct"/>
          </w:tcPr>
          <w:p w14:paraId="7C76C839" w14:textId="51E41F2B" w:rsidR="00F272F6" w:rsidRPr="003D5D1B" w:rsidRDefault="00F272F6" w:rsidP="00F272F6">
            <w:pPr>
              <w:spacing w:after="0" w:line="240" w:lineRule="auto"/>
            </w:pPr>
            <w:r>
              <w:t>As above</w:t>
            </w:r>
          </w:p>
        </w:tc>
        <w:tc>
          <w:tcPr>
            <w:tcW w:w="614" w:type="pct"/>
          </w:tcPr>
          <w:p w14:paraId="73EC275E" w14:textId="56A8E2D2" w:rsidR="00F272F6" w:rsidRPr="00F272F6" w:rsidRDefault="00F272F6" w:rsidP="00F272F6">
            <w:pPr>
              <w:spacing w:after="0" w:line="240" w:lineRule="auto"/>
            </w:pPr>
            <w:r w:rsidRPr="00F272F6">
              <w:rPr>
                <w:lang w:val="en-GB"/>
              </w:rPr>
              <w:t>$0</w:t>
            </w:r>
          </w:p>
        </w:tc>
        <w:tc>
          <w:tcPr>
            <w:tcW w:w="846" w:type="pct"/>
          </w:tcPr>
          <w:p w14:paraId="38620BB1" w14:textId="7CF7E468" w:rsidR="00F272F6" w:rsidRPr="00F272F6" w:rsidRDefault="00F272F6" w:rsidP="00F272F6">
            <w:pPr>
              <w:spacing w:after="0" w:line="240" w:lineRule="auto"/>
            </w:pPr>
            <w:r w:rsidRPr="00F272F6">
              <w:rPr>
                <w:lang w:val="en-GB"/>
              </w:rPr>
              <w:t>$0</w:t>
            </w:r>
          </w:p>
        </w:tc>
      </w:tr>
      <w:tr w:rsidR="00F272F6" w:rsidRPr="003D5D1B" w14:paraId="1A614B44" w14:textId="1D12744E" w:rsidTr="00855643">
        <w:trPr>
          <w:trHeight w:val="114"/>
        </w:trPr>
        <w:tc>
          <w:tcPr>
            <w:tcW w:w="770" w:type="pct"/>
          </w:tcPr>
          <w:p w14:paraId="6E5CB799" w14:textId="76859025" w:rsidR="00F272F6" w:rsidRPr="003D5D1B" w:rsidRDefault="00F272F6" w:rsidP="00F272F6">
            <w:pPr>
              <w:pStyle w:val="ListBullet"/>
              <w:numPr>
                <w:ilvl w:val="0"/>
                <w:numId w:val="0"/>
              </w:numPr>
              <w:spacing w:after="0" w:line="240" w:lineRule="auto"/>
            </w:pPr>
            <w:r w:rsidRPr="003D5D1B">
              <w:t>Hostels</w:t>
            </w:r>
          </w:p>
        </w:tc>
        <w:tc>
          <w:tcPr>
            <w:tcW w:w="538" w:type="pct"/>
          </w:tcPr>
          <w:p w14:paraId="75FC4CAF" w14:textId="6B1ED9BF" w:rsidR="00F272F6" w:rsidRPr="003D5D1B" w:rsidRDefault="00F272F6" w:rsidP="00F272F6">
            <w:pPr>
              <w:spacing w:after="0" w:line="240" w:lineRule="auto"/>
            </w:pPr>
            <w:r w:rsidRPr="00771E9D">
              <w:t>213</w:t>
            </w:r>
          </w:p>
        </w:tc>
        <w:tc>
          <w:tcPr>
            <w:tcW w:w="385" w:type="pct"/>
          </w:tcPr>
          <w:p w14:paraId="27CD697B" w14:textId="16B24FC0" w:rsidR="00F272F6" w:rsidRDefault="00F272F6" w:rsidP="00F272F6">
            <w:pPr>
              <w:spacing w:after="0" w:line="240" w:lineRule="auto"/>
            </w:pPr>
            <w:r>
              <w:t>18</w:t>
            </w:r>
          </w:p>
        </w:tc>
        <w:tc>
          <w:tcPr>
            <w:tcW w:w="768" w:type="pct"/>
          </w:tcPr>
          <w:p w14:paraId="6B16C930" w14:textId="4207296F" w:rsidR="00F272F6" w:rsidRPr="003D5D1B" w:rsidRDefault="00F272F6" w:rsidP="00F272F6">
            <w:pPr>
              <w:spacing w:after="0" w:line="240" w:lineRule="auto"/>
            </w:pPr>
            <w:r w:rsidRPr="003D5D1B">
              <w:t>30%</w:t>
            </w:r>
          </w:p>
        </w:tc>
        <w:tc>
          <w:tcPr>
            <w:tcW w:w="539" w:type="pct"/>
          </w:tcPr>
          <w:p w14:paraId="64311AC4" w14:textId="77777777" w:rsidR="00F272F6" w:rsidRPr="003D5D1B" w:rsidRDefault="00F272F6" w:rsidP="00F272F6">
            <w:pPr>
              <w:spacing w:after="0" w:line="240" w:lineRule="auto"/>
            </w:pPr>
            <w:r w:rsidRPr="003D5D1B">
              <w:t>1</w:t>
            </w:r>
          </w:p>
        </w:tc>
        <w:tc>
          <w:tcPr>
            <w:tcW w:w="539" w:type="pct"/>
          </w:tcPr>
          <w:p w14:paraId="4ADCB36F" w14:textId="2B0D753E" w:rsidR="00F272F6" w:rsidRPr="003D5D1B" w:rsidRDefault="00F272F6" w:rsidP="00F272F6">
            <w:pPr>
              <w:spacing w:after="0" w:line="240" w:lineRule="auto"/>
            </w:pPr>
            <w:r w:rsidRPr="00F006F0">
              <w:t>As above</w:t>
            </w:r>
          </w:p>
        </w:tc>
        <w:tc>
          <w:tcPr>
            <w:tcW w:w="614" w:type="pct"/>
          </w:tcPr>
          <w:p w14:paraId="0FDC8830" w14:textId="53E93AF4" w:rsidR="00F272F6" w:rsidRPr="00F272F6" w:rsidRDefault="00F272F6" w:rsidP="00F272F6">
            <w:pPr>
              <w:spacing w:after="0" w:line="240" w:lineRule="auto"/>
            </w:pPr>
            <w:r w:rsidRPr="00F272F6">
              <w:rPr>
                <w:lang w:val="en-GB"/>
              </w:rPr>
              <w:t>$653,005</w:t>
            </w:r>
          </w:p>
        </w:tc>
        <w:tc>
          <w:tcPr>
            <w:tcW w:w="846" w:type="pct"/>
          </w:tcPr>
          <w:p w14:paraId="05A09951" w14:textId="235E5F95" w:rsidR="00F272F6" w:rsidRPr="00F272F6" w:rsidRDefault="00F272F6" w:rsidP="00F272F6">
            <w:pPr>
              <w:spacing w:after="0" w:line="240" w:lineRule="auto"/>
            </w:pPr>
            <w:r w:rsidRPr="00F272F6">
              <w:rPr>
                <w:lang w:val="en-GB"/>
              </w:rPr>
              <w:t>$618,505</w:t>
            </w:r>
          </w:p>
        </w:tc>
      </w:tr>
      <w:tr w:rsidR="00F272F6" w:rsidRPr="003D5D1B" w14:paraId="7495402E" w14:textId="2A66479F" w:rsidTr="00855643">
        <w:trPr>
          <w:trHeight w:val="114"/>
        </w:trPr>
        <w:tc>
          <w:tcPr>
            <w:tcW w:w="770" w:type="pct"/>
          </w:tcPr>
          <w:p w14:paraId="21914187" w14:textId="4B9161B6" w:rsidR="00F272F6" w:rsidRPr="003D5D1B" w:rsidRDefault="00F272F6" w:rsidP="00F272F6">
            <w:pPr>
              <w:pStyle w:val="ListBullet"/>
              <w:numPr>
                <w:ilvl w:val="0"/>
                <w:numId w:val="0"/>
              </w:numPr>
              <w:spacing w:after="0" w:line="240" w:lineRule="auto"/>
            </w:pPr>
            <w:r w:rsidRPr="003D5D1B">
              <w:t>Student dormitories</w:t>
            </w:r>
          </w:p>
        </w:tc>
        <w:tc>
          <w:tcPr>
            <w:tcW w:w="538" w:type="pct"/>
          </w:tcPr>
          <w:p w14:paraId="5C8B9901" w14:textId="6E1EA40D" w:rsidR="00F272F6" w:rsidRPr="003D5D1B" w:rsidRDefault="00F272F6" w:rsidP="00F272F6">
            <w:pPr>
              <w:spacing w:after="0" w:line="240" w:lineRule="auto"/>
            </w:pPr>
            <w:r w:rsidRPr="00771E9D">
              <w:t>182</w:t>
            </w:r>
          </w:p>
        </w:tc>
        <w:tc>
          <w:tcPr>
            <w:tcW w:w="385" w:type="pct"/>
          </w:tcPr>
          <w:p w14:paraId="4B15E9F2" w14:textId="24C17D0D" w:rsidR="00F272F6" w:rsidRDefault="00F272F6" w:rsidP="00F272F6">
            <w:pPr>
              <w:spacing w:after="0" w:line="240" w:lineRule="auto"/>
            </w:pPr>
            <w:r>
              <w:t>36</w:t>
            </w:r>
          </w:p>
        </w:tc>
        <w:tc>
          <w:tcPr>
            <w:tcW w:w="768" w:type="pct"/>
          </w:tcPr>
          <w:p w14:paraId="7279A7B5" w14:textId="0CCDB7EE" w:rsidR="00F272F6" w:rsidRPr="003D5D1B" w:rsidRDefault="00F272F6" w:rsidP="00F272F6">
            <w:pPr>
              <w:spacing w:after="0" w:line="240" w:lineRule="auto"/>
            </w:pPr>
            <w:r w:rsidRPr="003D5D1B">
              <w:t>15%</w:t>
            </w:r>
          </w:p>
        </w:tc>
        <w:tc>
          <w:tcPr>
            <w:tcW w:w="539" w:type="pct"/>
          </w:tcPr>
          <w:p w14:paraId="4023BD9F" w14:textId="77777777" w:rsidR="00F272F6" w:rsidRPr="003D5D1B" w:rsidRDefault="00F272F6" w:rsidP="00F272F6">
            <w:pPr>
              <w:spacing w:after="0" w:line="240" w:lineRule="auto"/>
            </w:pPr>
            <w:r w:rsidRPr="003D5D1B">
              <w:t>1</w:t>
            </w:r>
          </w:p>
        </w:tc>
        <w:tc>
          <w:tcPr>
            <w:tcW w:w="539" w:type="pct"/>
          </w:tcPr>
          <w:p w14:paraId="362E41C6" w14:textId="2FB99D6E" w:rsidR="00F272F6" w:rsidRPr="003D5D1B" w:rsidRDefault="00F272F6" w:rsidP="00F272F6">
            <w:pPr>
              <w:spacing w:after="0" w:line="240" w:lineRule="auto"/>
            </w:pPr>
            <w:r w:rsidRPr="00F006F0">
              <w:t>As above</w:t>
            </w:r>
          </w:p>
        </w:tc>
        <w:tc>
          <w:tcPr>
            <w:tcW w:w="614" w:type="pct"/>
          </w:tcPr>
          <w:p w14:paraId="279E0792" w14:textId="662F9E63" w:rsidR="00F272F6" w:rsidRPr="00F272F6" w:rsidRDefault="00F272F6" w:rsidP="00F272F6">
            <w:pPr>
              <w:spacing w:after="0" w:line="240" w:lineRule="auto"/>
            </w:pPr>
            <w:r w:rsidRPr="00F272F6">
              <w:rPr>
                <w:lang w:val="en-GB"/>
              </w:rPr>
              <w:t>$310,299</w:t>
            </w:r>
          </w:p>
        </w:tc>
        <w:tc>
          <w:tcPr>
            <w:tcW w:w="846" w:type="pct"/>
          </w:tcPr>
          <w:p w14:paraId="57905B89" w14:textId="57B811D8" w:rsidR="00F272F6" w:rsidRPr="00F272F6" w:rsidRDefault="00F272F6" w:rsidP="00F272F6">
            <w:pPr>
              <w:spacing w:after="0" w:line="240" w:lineRule="auto"/>
            </w:pPr>
            <w:r w:rsidRPr="00F272F6">
              <w:rPr>
                <w:lang w:val="en-GB"/>
              </w:rPr>
              <w:t>$288,781</w:t>
            </w:r>
          </w:p>
        </w:tc>
      </w:tr>
      <w:tr w:rsidR="00F272F6" w:rsidRPr="003D5D1B" w14:paraId="3C648785" w14:textId="10BA0813" w:rsidTr="00855643">
        <w:trPr>
          <w:trHeight w:val="114"/>
        </w:trPr>
        <w:tc>
          <w:tcPr>
            <w:tcW w:w="770" w:type="pct"/>
          </w:tcPr>
          <w:p w14:paraId="1CCC243E" w14:textId="4C14DEE7" w:rsidR="00F272F6" w:rsidRPr="003D5D1B" w:rsidRDefault="00F272F6" w:rsidP="00F272F6">
            <w:pPr>
              <w:spacing w:after="0" w:line="240" w:lineRule="auto"/>
            </w:pPr>
            <w:r w:rsidRPr="003D5D1B">
              <w:t>Holiday camps</w:t>
            </w:r>
          </w:p>
        </w:tc>
        <w:tc>
          <w:tcPr>
            <w:tcW w:w="538" w:type="pct"/>
          </w:tcPr>
          <w:p w14:paraId="5E9717FE" w14:textId="14E44F81" w:rsidR="00F272F6" w:rsidRPr="003D5D1B" w:rsidRDefault="00F272F6" w:rsidP="00F272F6">
            <w:pPr>
              <w:spacing w:after="0" w:line="240" w:lineRule="auto"/>
            </w:pPr>
            <w:r w:rsidRPr="00771E9D">
              <w:t>315</w:t>
            </w:r>
          </w:p>
        </w:tc>
        <w:tc>
          <w:tcPr>
            <w:tcW w:w="385" w:type="pct"/>
          </w:tcPr>
          <w:p w14:paraId="2E11F366" w14:textId="7B795B7C" w:rsidR="00F272F6" w:rsidRDefault="00F272F6" w:rsidP="00F272F6">
            <w:pPr>
              <w:spacing w:after="0" w:line="240" w:lineRule="auto"/>
            </w:pPr>
            <w:r>
              <w:t>0</w:t>
            </w:r>
          </w:p>
        </w:tc>
        <w:tc>
          <w:tcPr>
            <w:tcW w:w="768" w:type="pct"/>
          </w:tcPr>
          <w:p w14:paraId="65805153" w14:textId="59911650" w:rsidR="00F272F6" w:rsidRPr="003D5D1B" w:rsidRDefault="00F272F6" w:rsidP="00F272F6">
            <w:pPr>
              <w:spacing w:after="0" w:line="240" w:lineRule="auto"/>
            </w:pPr>
            <w:r w:rsidRPr="003D5D1B">
              <w:t>15%</w:t>
            </w:r>
          </w:p>
        </w:tc>
        <w:tc>
          <w:tcPr>
            <w:tcW w:w="539" w:type="pct"/>
          </w:tcPr>
          <w:p w14:paraId="06BCC621" w14:textId="77777777" w:rsidR="00F272F6" w:rsidRPr="003D5D1B" w:rsidRDefault="00F272F6" w:rsidP="00F272F6">
            <w:pPr>
              <w:spacing w:after="0" w:line="240" w:lineRule="auto"/>
            </w:pPr>
            <w:r w:rsidRPr="003D5D1B">
              <w:t>1</w:t>
            </w:r>
          </w:p>
        </w:tc>
        <w:tc>
          <w:tcPr>
            <w:tcW w:w="539" w:type="pct"/>
          </w:tcPr>
          <w:p w14:paraId="1309A5D3" w14:textId="71594FB3" w:rsidR="00F272F6" w:rsidRPr="003D5D1B" w:rsidRDefault="00F272F6" w:rsidP="00F272F6">
            <w:pPr>
              <w:spacing w:after="0" w:line="240" w:lineRule="auto"/>
            </w:pPr>
            <w:r w:rsidRPr="00F006F0">
              <w:t>As above</w:t>
            </w:r>
          </w:p>
        </w:tc>
        <w:tc>
          <w:tcPr>
            <w:tcW w:w="614" w:type="pct"/>
          </w:tcPr>
          <w:p w14:paraId="742B4E37" w14:textId="0A89E9BC" w:rsidR="00F272F6" w:rsidRPr="00F272F6" w:rsidRDefault="00F272F6" w:rsidP="00F272F6">
            <w:pPr>
              <w:spacing w:after="0" w:line="240" w:lineRule="auto"/>
            </w:pPr>
            <w:r w:rsidRPr="00F272F6">
              <w:rPr>
                <w:lang w:val="en-GB"/>
              </w:rPr>
              <w:t>$441,401</w:t>
            </w:r>
          </w:p>
        </w:tc>
        <w:tc>
          <w:tcPr>
            <w:tcW w:w="846" w:type="pct"/>
          </w:tcPr>
          <w:p w14:paraId="383F1792" w14:textId="1DEA99A4" w:rsidR="00F272F6" w:rsidRPr="00F272F6" w:rsidRDefault="00F272F6" w:rsidP="00F272F6">
            <w:pPr>
              <w:spacing w:after="0" w:line="240" w:lineRule="auto"/>
            </w:pPr>
            <w:r w:rsidRPr="00F272F6">
              <w:rPr>
                <w:lang w:val="en-GB"/>
              </w:rPr>
              <w:t>$424,424</w:t>
            </w:r>
          </w:p>
        </w:tc>
      </w:tr>
      <w:tr w:rsidR="00F272F6" w:rsidRPr="003D5D1B" w14:paraId="6C7CDD4D" w14:textId="6B9DB997" w:rsidTr="00855643">
        <w:trPr>
          <w:trHeight w:val="114"/>
        </w:trPr>
        <w:tc>
          <w:tcPr>
            <w:tcW w:w="770" w:type="pct"/>
          </w:tcPr>
          <w:p w14:paraId="404FBB2B" w14:textId="142D0377" w:rsidR="00F272F6" w:rsidRDefault="00F272F6" w:rsidP="00F272F6">
            <w:pPr>
              <w:spacing w:after="0" w:line="240" w:lineRule="auto"/>
            </w:pPr>
            <w:r w:rsidRPr="003D5D1B">
              <w:t xml:space="preserve">Rooming </w:t>
            </w:r>
          </w:p>
          <w:p w14:paraId="77AFD6C0" w14:textId="7DE47454" w:rsidR="00F272F6" w:rsidRPr="003D5D1B" w:rsidRDefault="00F272F6" w:rsidP="00F272F6">
            <w:pPr>
              <w:spacing w:after="0" w:line="240" w:lineRule="auto"/>
            </w:pPr>
            <w:r w:rsidRPr="003D5D1B">
              <w:t>houses</w:t>
            </w:r>
          </w:p>
        </w:tc>
        <w:tc>
          <w:tcPr>
            <w:tcW w:w="538" w:type="pct"/>
          </w:tcPr>
          <w:p w14:paraId="2FCE70FF" w14:textId="20AF45AE" w:rsidR="00F272F6" w:rsidRPr="003D5D1B" w:rsidRDefault="00F272F6" w:rsidP="00F272F6">
            <w:pPr>
              <w:spacing w:after="0" w:line="240" w:lineRule="auto"/>
            </w:pPr>
            <w:r w:rsidRPr="00771E9D">
              <w:t>1,425</w:t>
            </w:r>
          </w:p>
        </w:tc>
        <w:tc>
          <w:tcPr>
            <w:tcW w:w="385" w:type="pct"/>
          </w:tcPr>
          <w:p w14:paraId="2BA28E79" w14:textId="1757018F" w:rsidR="00F272F6" w:rsidRDefault="00F272F6" w:rsidP="00F272F6">
            <w:pPr>
              <w:spacing w:after="0" w:line="240" w:lineRule="auto"/>
            </w:pPr>
            <w:r>
              <w:t>390</w:t>
            </w:r>
          </w:p>
        </w:tc>
        <w:tc>
          <w:tcPr>
            <w:tcW w:w="768" w:type="pct"/>
          </w:tcPr>
          <w:p w14:paraId="1DD1BA2F" w14:textId="37935EA4" w:rsidR="00F272F6" w:rsidRPr="003D5D1B" w:rsidRDefault="00F272F6" w:rsidP="00F272F6">
            <w:pPr>
              <w:spacing w:after="0" w:line="240" w:lineRule="auto"/>
            </w:pPr>
            <w:r w:rsidRPr="003D5D1B">
              <w:t>30%</w:t>
            </w:r>
          </w:p>
        </w:tc>
        <w:tc>
          <w:tcPr>
            <w:tcW w:w="539" w:type="pct"/>
          </w:tcPr>
          <w:p w14:paraId="11E064DC" w14:textId="77777777" w:rsidR="00F272F6" w:rsidRPr="003D5D1B" w:rsidRDefault="00F272F6" w:rsidP="00F272F6">
            <w:pPr>
              <w:spacing w:after="0" w:line="240" w:lineRule="auto"/>
            </w:pPr>
            <w:r w:rsidRPr="003D5D1B">
              <w:t>1</w:t>
            </w:r>
          </w:p>
        </w:tc>
        <w:tc>
          <w:tcPr>
            <w:tcW w:w="539" w:type="pct"/>
          </w:tcPr>
          <w:p w14:paraId="6889FFD8" w14:textId="28519CAE" w:rsidR="00F272F6" w:rsidRPr="003D5D1B" w:rsidRDefault="00F272F6" w:rsidP="00F272F6">
            <w:pPr>
              <w:spacing w:after="0" w:line="240" w:lineRule="auto"/>
            </w:pPr>
            <w:r w:rsidRPr="00F006F0">
              <w:t>As above</w:t>
            </w:r>
          </w:p>
        </w:tc>
        <w:tc>
          <w:tcPr>
            <w:tcW w:w="614" w:type="pct"/>
          </w:tcPr>
          <w:p w14:paraId="1128FCF4" w14:textId="2B36BA9F" w:rsidR="00F272F6" w:rsidRPr="00F272F6" w:rsidRDefault="00F272F6" w:rsidP="00F272F6">
            <w:pPr>
              <w:spacing w:after="0" w:line="240" w:lineRule="auto"/>
            </w:pPr>
            <w:r w:rsidRPr="00F272F6">
              <w:rPr>
                <w:lang w:val="en-GB"/>
              </w:rPr>
              <w:t>$5,205,947</w:t>
            </w:r>
          </w:p>
        </w:tc>
        <w:tc>
          <w:tcPr>
            <w:tcW w:w="846" w:type="pct"/>
          </w:tcPr>
          <w:p w14:paraId="130F46D3" w14:textId="2A0B724F" w:rsidR="00F272F6" w:rsidRPr="00F272F6" w:rsidRDefault="00F272F6" w:rsidP="00F272F6">
            <w:pPr>
              <w:spacing w:after="0" w:line="240" w:lineRule="auto"/>
            </w:pPr>
            <w:r w:rsidRPr="00F272F6">
              <w:rPr>
                <w:lang w:val="en-GB"/>
              </w:rPr>
              <w:t>$4,795,894</w:t>
            </w:r>
          </w:p>
        </w:tc>
      </w:tr>
      <w:tr w:rsidR="00F272F6" w:rsidRPr="003D5D1B" w14:paraId="4CF9EA25" w14:textId="2BFFE552" w:rsidTr="00855643">
        <w:trPr>
          <w:trHeight w:val="114"/>
        </w:trPr>
        <w:tc>
          <w:tcPr>
            <w:tcW w:w="770" w:type="pct"/>
          </w:tcPr>
          <w:p w14:paraId="0D42C9D0" w14:textId="77777777" w:rsidR="00F272F6" w:rsidRPr="003D5D1B" w:rsidDel="00DF3C43" w:rsidRDefault="00F272F6" w:rsidP="00F272F6">
            <w:pPr>
              <w:spacing w:after="0" w:line="240" w:lineRule="auto"/>
              <w:rPr>
                <w:b/>
              </w:rPr>
            </w:pPr>
            <w:r w:rsidRPr="003D5D1B">
              <w:rPr>
                <w:b/>
              </w:rPr>
              <w:t>Total cost</w:t>
            </w:r>
          </w:p>
        </w:tc>
        <w:tc>
          <w:tcPr>
            <w:tcW w:w="538" w:type="pct"/>
          </w:tcPr>
          <w:p w14:paraId="5644E756" w14:textId="77777777" w:rsidR="00F272F6" w:rsidRPr="003D5D1B" w:rsidRDefault="00F272F6" w:rsidP="00F272F6">
            <w:pPr>
              <w:spacing w:after="0" w:line="240" w:lineRule="auto"/>
            </w:pPr>
          </w:p>
        </w:tc>
        <w:tc>
          <w:tcPr>
            <w:tcW w:w="385" w:type="pct"/>
          </w:tcPr>
          <w:p w14:paraId="1EC72FB4" w14:textId="79404927" w:rsidR="00F272F6" w:rsidRPr="003D5D1B" w:rsidDel="00DF3C43" w:rsidRDefault="00F272F6" w:rsidP="00F272F6">
            <w:pPr>
              <w:spacing w:after="0" w:line="240" w:lineRule="auto"/>
            </w:pPr>
          </w:p>
        </w:tc>
        <w:tc>
          <w:tcPr>
            <w:tcW w:w="768" w:type="pct"/>
          </w:tcPr>
          <w:p w14:paraId="2C6B9F9E" w14:textId="5F0A074E" w:rsidR="00F272F6" w:rsidRPr="003D5D1B" w:rsidDel="00DF3C43" w:rsidRDefault="00F272F6" w:rsidP="00F272F6">
            <w:pPr>
              <w:spacing w:after="0" w:line="240" w:lineRule="auto"/>
            </w:pPr>
          </w:p>
        </w:tc>
        <w:tc>
          <w:tcPr>
            <w:tcW w:w="539" w:type="pct"/>
          </w:tcPr>
          <w:p w14:paraId="37D72DEA" w14:textId="77777777" w:rsidR="00F272F6" w:rsidRPr="003D5D1B" w:rsidRDefault="00F272F6" w:rsidP="00F272F6">
            <w:pPr>
              <w:spacing w:after="0" w:line="240" w:lineRule="auto"/>
            </w:pPr>
          </w:p>
        </w:tc>
        <w:tc>
          <w:tcPr>
            <w:tcW w:w="539" w:type="pct"/>
          </w:tcPr>
          <w:p w14:paraId="550948B7" w14:textId="347E06AA" w:rsidR="00F272F6" w:rsidRPr="002C438D" w:rsidRDefault="00F272F6" w:rsidP="00F272F6">
            <w:pPr>
              <w:spacing w:after="0" w:line="240" w:lineRule="auto"/>
              <w:rPr>
                <w:b/>
              </w:rPr>
            </w:pPr>
          </w:p>
        </w:tc>
        <w:tc>
          <w:tcPr>
            <w:tcW w:w="614" w:type="pct"/>
          </w:tcPr>
          <w:p w14:paraId="689E2A45" w14:textId="77777777" w:rsidR="00F272F6" w:rsidRPr="00F272F6" w:rsidRDefault="00F272F6" w:rsidP="00F272F6">
            <w:pPr>
              <w:spacing w:after="0" w:line="240" w:lineRule="auto"/>
              <w:rPr>
                <w:b/>
                <w:lang w:val="en-GB"/>
              </w:rPr>
            </w:pPr>
            <w:r w:rsidRPr="00F272F6">
              <w:rPr>
                <w:b/>
                <w:lang w:val="en-GB"/>
              </w:rPr>
              <w:t xml:space="preserve">$8.0 </w:t>
            </w:r>
          </w:p>
          <w:p w14:paraId="60378519" w14:textId="16C882A5" w:rsidR="00F272F6" w:rsidRPr="00F272F6" w:rsidRDefault="00F272F6" w:rsidP="00F272F6">
            <w:pPr>
              <w:spacing w:after="0" w:line="240" w:lineRule="auto"/>
              <w:rPr>
                <w:b/>
              </w:rPr>
            </w:pPr>
            <w:r w:rsidRPr="00F272F6">
              <w:rPr>
                <w:b/>
                <w:lang w:val="en-GB"/>
              </w:rPr>
              <w:t xml:space="preserve">million </w:t>
            </w:r>
          </w:p>
        </w:tc>
        <w:tc>
          <w:tcPr>
            <w:tcW w:w="846" w:type="pct"/>
          </w:tcPr>
          <w:p w14:paraId="56D2161B" w14:textId="6EE6EA11" w:rsidR="00F272F6" w:rsidRPr="00F272F6" w:rsidRDefault="00F272F6" w:rsidP="00F272F6">
            <w:pPr>
              <w:spacing w:after="0" w:line="240" w:lineRule="auto"/>
              <w:rPr>
                <w:b/>
              </w:rPr>
            </w:pPr>
            <w:r w:rsidRPr="00F272F6">
              <w:rPr>
                <w:b/>
                <w:lang w:val="en-GB"/>
              </w:rPr>
              <w:t>$7.5 million</w:t>
            </w:r>
          </w:p>
        </w:tc>
      </w:tr>
    </w:tbl>
    <w:p w14:paraId="1F9F529F" w14:textId="694E9F5E" w:rsidR="000B52DB" w:rsidRDefault="000B52DB" w:rsidP="000B52DB">
      <w:pPr>
        <w:pStyle w:val="FootnoteText"/>
      </w:pPr>
      <w:bookmarkStart w:id="177" w:name="_Hlk50021118"/>
      <w:r>
        <w:t xml:space="preserve">Note it is assumed that additional costs are incurred by some proprietors in FY21 upon the introduction of the Regulations, but thereafter </w:t>
      </w:r>
      <w:r w:rsidR="00F4397A">
        <w:t xml:space="preserve">only some new </w:t>
      </w:r>
      <w:r>
        <w:t xml:space="preserve">businesses </w:t>
      </w:r>
      <w:r w:rsidR="00F4397A">
        <w:t xml:space="preserve">incur this cost. </w:t>
      </w:r>
      <w:bookmarkEnd w:id="177"/>
      <w:r w:rsidR="00F4397A">
        <w:t xml:space="preserve">The proportion of businesses that would not meet this requirement under the Base Case is assumed to be constant over time. </w:t>
      </w:r>
    </w:p>
    <w:p w14:paraId="3E31561C" w14:textId="77777777" w:rsidR="000B52DB" w:rsidRDefault="000B52DB" w:rsidP="000B52DB">
      <w:pPr>
        <w:pStyle w:val="FootnoteText"/>
      </w:pPr>
    </w:p>
    <w:p w14:paraId="35A7B0D8" w14:textId="77777777" w:rsidR="00FB48D2" w:rsidRPr="003D5D1B" w:rsidRDefault="00FB48D2" w:rsidP="00FB48D2">
      <w:pPr>
        <w:pStyle w:val="Heading4"/>
      </w:pPr>
      <w:r w:rsidRPr="003D5D1B">
        <w:t xml:space="preserve">Maintenance and cleanliness </w:t>
      </w:r>
    </w:p>
    <w:p w14:paraId="7D381DD0" w14:textId="77777777" w:rsidR="00FB48D2" w:rsidRPr="003D5D1B" w:rsidRDefault="00FB48D2" w:rsidP="00FB48D2">
      <w:pPr>
        <w:rPr>
          <w:color w:val="000000" w:themeColor="text1"/>
        </w:rPr>
      </w:pPr>
      <w:r w:rsidRPr="003D5D1B">
        <w:rPr>
          <w:color w:val="000000" w:themeColor="text1"/>
        </w:rPr>
        <w:t>The proprietor must maintain the prescribed accommodation and ensure the property is in good working order, in a clean, sanitary and hygienic condition and in a good state of repair.</w:t>
      </w:r>
      <w:r>
        <w:rPr>
          <w:rStyle w:val="FootnoteReference"/>
          <w:color w:val="000000" w:themeColor="text1"/>
        </w:rPr>
        <w:footnoteReference w:id="88"/>
      </w:r>
      <w:r w:rsidRPr="003D5D1B">
        <w:rPr>
          <w:color w:val="000000" w:themeColor="text1"/>
        </w:rPr>
        <w:t xml:space="preserve"> Some types of prescribed accommodation are more likely to reduce maintenance costs under the Base Case compared to others. For example, due to lower margins and weaker self-regulation incentives and market forces, rooming houses are more likely to reduce maintenance compared to luxury hotels. </w:t>
      </w:r>
    </w:p>
    <w:p w14:paraId="6CDCC279" w14:textId="6E897A3F" w:rsidR="00FB48D2" w:rsidRPr="003D5D1B" w:rsidRDefault="00FB48D2" w:rsidP="00FB48D2">
      <w:pPr>
        <w:rPr>
          <w:color w:val="000000" w:themeColor="text1"/>
        </w:rPr>
      </w:pPr>
      <w:r w:rsidRPr="003D5D1B">
        <w:rPr>
          <w:color w:val="000000" w:themeColor="text1"/>
        </w:rPr>
        <w:t>In 2011, it was estimated that a representative rooming house should spend approximately $3,000</w:t>
      </w:r>
      <w:r w:rsidRPr="00BC3000">
        <w:rPr>
          <w:color w:val="000000" w:themeColor="text1"/>
        </w:rPr>
        <w:t xml:space="preserve"> p.a. on maintenance,</w:t>
      </w:r>
      <w:r w:rsidRPr="00BC3000">
        <w:rPr>
          <w:rStyle w:val="FootnoteReference"/>
          <w:color w:val="000000" w:themeColor="text1"/>
        </w:rPr>
        <w:footnoteReference w:id="89"/>
      </w:r>
      <w:r w:rsidRPr="00BC3000">
        <w:rPr>
          <w:color w:val="000000" w:themeColor="text1"/>
        </w:rPr>
        <w:t xml:space="preserve"> or approximately </w:t>
      </w:r>
      <w:r w:rsidRPr="003D5D1B">
        <w:rPr>
          <w:color w:val="000000" w:themeColor="text1"/>
        </w:rPr>
        <w:t>$3,570</w:t>
      </w:r>
      <w:r w:rsidRPr="00BC3000">
        <w:rPr>
          <w:color w:val="000000" w:themeColor="text1"/>
        </w:rPr>
        <w:t xml:space="preserve"> p.a. </w:t>
      </w:r>
      <w:r w:rsidRPr="003D5D1B">
        <w:rPr>
          <w:color w:val="000000" w:themeColor="text1"/>
        </w:rPr>
        <w:t>following inflation.</w:t>
      </w:r>
      <w:r w:rsidRPr="00BC3000">
        <w:rPr>
          <w:rStyle w:val="FootnoteReference"/>
          <w:color w:val="000000" w:themeColor="text1"/>
        </w:rPr>
        <w:footnoteReference w:id="90"/>
      </w:r>
      <w:r w:rsidRPr="00BC3000">
        <w:rPr>
          <w:color w:val="000000" w:themeColor="text1"/>
        </w:rPr>
        <w:t xml:space="preserve"> It also estima</w:t>
      </w:r>
      <w:r w:rsidRPr="003D5D1B">
        <w:rPr>
          <w:color w:val="000000" w:themeColor="text1"/>
        </w:rPr>
        <w:t>tes that the cost of maintenance for a large rooming house is $7,500 p.a.</w:t>
      </w:r>
      <w:r w:rsidRPr="00BC3000">
        <w:rPr>
          <w:color w:val="000000" w:themeColor="text1"/>
        </w:rPr>
        <w:t xml:space="preserve"> (or </w:t>
      </w:r>
      <w:r w:rsidRPr="003D5D1B">
        <w:rPr>
          <w:color w:val="000000" w:themeColor="text1"/>
        </w:rPr>
        <w:t>$</w:t>
      </w:r>
      <w:r w:rsidR="00E9511E">
        <w:rPr>
          <w:color w:val="000000" w:themeColor="text1"/>
        </w:rPr>
        <w:t>8</w:t>
      </w:r>
      <w:r w:rsidRPr="003D5D1B">
        <w:rPr>
          <w:color w:val="000000" w:themeColor="text1"/>
        </w:rPr>
        <w:t>,</w:t>
      </w:r>
      <w:r w:rsidR="00E9511E">
        <w:rPr>
          <w:color w:val="000000" w:themeColor="text1"/>
        </w:rPr>
        <w:t>924</w:t>
      </w:r>
      <w:r w:rsidRPr="00BC3000">
        <w:rPr>
          <w:color w:val="000000" w:themeColor="text1"/>
        </w:rPr>
        <w:t xml:space="preserve"> in 2021 dollars). In </w:t>
      </w:r>
      <w:r w:rsidRPr="00BC3000">
        <w:rPr>
          <w:color w:val="000000" w:themeColor="text1"/>
        </w:rPr>
        <w:lastRenderedPageBreak/>
        <w:t xml:space="preserve">the absence of </w:t>
      </w:r>
      <w:r w:rsidRPr="003D5D1B">
        <w:rPr>
          <w:color w:val="000000" w:themeColor="text1"/>
        </w:rPr>
        <w:t>more data, it is assumed</w:t>
      </w:r>
      <w:r w:rsidR="0017208C">
        <w:rPr>
          <w:color w:val="000000" w:themeColor="text1"/>
        </w:rPr>
        <w:t xml:space="preserve"> for the purpose of estimating costs in </w:t>
      </w:r>
      <w:r w:rsidR="00EC4E53">
        <w:rPr>
          <w:color w:val="000000" w:themeColor="text1"/>
        </w:rPr>
        <w:t xml:space="preserve">the </w:t>
      </w:r>
      <w:r w:rsidR="0017208C">
        <w:rPr>
          <w:color w:val="000000" w:themeColor="text1"/>
        </w:rPr>
        <w:t xml:space="preserve">RIS </w:t>
      </w:r>
      <w:r w:rsidRPr="003D5D1B">
        <w:rPr>
          <w:color w:val="000000" w:themeColor="text1"/>
        </w:rPr>
        <w:t xml:space="preserve">that this maintenance cost for large rooming houses is applicable to hostels and student dormitories. </w:t>
      </w:r>
      <w:r w:rsidR="0017208C">
        <w:rPr>
          <w:color w:val="000000" w:themeColor="text1"/>
        </w:rPr>
        <w:t>However</w:t>
      </w:r>
      <w:r w:rsidR="00AB068E">
        <w:rPr>
          <w:color w:val="000000" w:themeColor="text1"/>
        </w:rPr>
        <w:t>,</w:t>
      </w:r>
      <w:r w:rsidR="0017208C">
        <w:rPr>
          <w:color w:val="000000" w:themeColor="text1"/>
        </w:rPr>
        <w:t xml:space="preserve"> it is noted that this is considered a high estimate of costs (i.e. upper bound estimate) because it is likely to include maintenance costs not related to public health. </w:t>
      </w:r>
      <w:r w:rsidRPr="003D5D1B">
        <w:rPr>
          <w:color w:val="000000" w:themeColor="text1"/>
        </w:rPr>
        <w:t xml:space="preserve">Residential accommodation is expected to have the same maintenance costs </w:t>
      </w:r>
      <w:r w:rsidR="000B52DB">
        <w:rPr>
          <w:color w:val="000000" w:themeColor="text1"/>
        </w:rPr>
        <w:t>as</w:t>
      </w:r>
      <w:r w:rsidR="000B52DB" w:rsidRPr="003D5D1B">
        <w:rPr>
          <w:color w:val="000000" w:themeColor="text1"/>
        </w:rPr>
        <w:t xml:space="preserve"> </w:t>
      </w:r>
      <w:r w:rsidRPr="003D5D1B">
        <w:rPr>
          <w:color w:val="000000" w:themeColor="text1"/>
        </w:rPr>
        <w:t>rooming houses. The maintenance cost for hotels, motels and holiday camps is estimated using a 2007 survey on hotels maintenance which found that 3-star hotels on average spend $1,164</w:t>
      </w:r>
      <w:r w:rsidRPr="00BC3000">
        <w:rPr>
          <w:color w:val="000000" w:themeColor="text1"/>
        </w:rPr>
        <w:t xml:space="preserve"> on maintenance per room (i.e. </w:t>
      </w:r>
      <w:r w:rsidRPr="003D5D1B">
        <w:rPr>
          <w:color w:val="000000" w:themeColor="text1"/>
        </w:rPr>
        <w:t>$1,536</w:t>
      </w:r>
      <w:r w:rsidRPr="00BC3000">
        <w:rPr>
          <w:color w:val="000000" w:themeColor="text1"/>
        </w:rPr>
        <w:t xml:space="preserve"> in 2021 dollars).</w:t>
      </w:r>
      <w:r w:rsidRPr="00BC3000">
        <w:rPr>
          <w:rStyle w:val="FootnoteReference"/>
          <w:color w:val="000000" w:themeColor="text1"/>
        </w:rPr>
        <w:footnoteReference w:id="91"/>
      </w:r>
      <w:r w:rsidRPr="00BC3000">
        <w:rPr>
          <w:color w:val="000000" w:themeColor="text1"/>
        </w:rPr>
        <w:t xml:space="preserve"> The average Victorian hotel has 51 rooms while the average Victorian holiday camp has </w:t>
      </w:r>
      <w:r w:rsidRPr="003D5D1B">
        <w:rPr>
          <w:color w:val="000000" w:themeColor="text1"/>
        </w:rPr>
        <w:t>37 rooms (see section 4.2.3) resulting in maintenance costs of $78,323</w:t>
      </w:r>
      <w:r w:rsidRPr="00BC3000">
        <w:rPr>
          <w:color w:val="000000" w:themeColor="text1"/>
        </w:rPr>
        <w:t xml:space="preserve"> and </w:t>
      </w:r>
      <w:r w:rsidRPr="003D5D1B">
        <w:rPr>
          <w:color w:val="000000" w:themeColor="text1"/>
        </w:rPr>
        <w:t>$56,669</w:t>
      </w:r>
      <w:r w:rsidRPr="00BC3000">
        <w:rPr>
          <w:color w:val="000000" w:themeColor="text1"/>
        </w:rPr>
        <w:t xml:space="preserve"> per facility </w:t>
      </w:r>
      <w:r w:rsidRPr="003D5D1B">
        <w:rPr>
          <w:color w:val="000000" w:themeColor="text1"/>
        </w:rPr>
        <w:t xml:space="preserve">p.a. respectfully. </w:t>
      </w:r>
    </w:p>
    <w:p w14:paraId="6C1D9D5B" w14:textId="65D7813A" w:rsidR="00FB48D2" w:rsidRDefault="00FB48D2" w:rsidP="00FB48D2">
      <w:pPr>
        <w:rPr>
          <w:color w:val="000000" w:themeColor="text1"/>
        </w:rPr>
      </w:pPr>
      <w:r w:rsidRPr="003D5D1B">
        <w:rPr>
          <w:color w:val="000000" w:themeColor="text1"/>
        </w:rPr>
        <w:t>It is assumed that all types of prescribed accommodation require extra maintenance in Option 1 relative to the Base Case. Maintenance costs are estimated at $40.</w:t>
      </w:r>
      <w:r w:rsidR="00BA7328">
        <w:rPr>
          <w:color w:val="000000" w:themeColor="text1"/>
        </w:rPr>
        <w:t>6</w:t>
      </w:r>
      <w:r w:rsidRPr="00BC3000">
        <w:rPr>
          <w:color w:val="000000" w:themeColor="text1"/>
        </w:rPr>
        <w:t xml:space="preserve"> million over 10 years</w:t>
      </w:r>
      <w:r w:rsidR="006530B3">
        <w:rPr>
          <w:color w:val="000000" w:themeColor="text1"/>
        </w:rPr>
        <w:t xml:space="preserve"> (or $32.8 million in NPV)</w:t>
      </w:r>
      <w:r w:rsidRPr="00BC3000">
        <w:rPr>
          <w:color w:val="000000" w:themeColor="text1"/>
        </w:rPr>
        <w:t>.</w:t>
      </w:r>
      <w:r>
        <w:rPr>
          <w:color w:val="000000" w:themeColor="text1"/>
        </w:rPr>
        <w:t xml:space="preserve"> This is likely to be an overestimate because the Regulations are only concerned with maintenance specifically related to public health and wellbeing, while maintenance cost estimates are likely to include the cost of all maintenance. </w:t>
      </w:r>
      <w:r w:rsidR="00D54D67">
        <w:rPr>
          <w:color w:val="000000" w:themeColor="text1"/>
        </w:rPr>
        <w:t xml:space="preserve">Maintenance costs are subject to sensitivity analysis in Appendix F. </w:t>
      </w:r>
      <w:r>
        <w:rPr>
          <w:color w:val="000000" w:themeColor="text1"/>
        </w:rPr>
        <w:t xml:space="preserve">  </w:t>
      </w:r>
    </w:p>
    <w:p w14:paraId="472AA092" w14:textId="13D50B51" w:rsidR="00FB48D2" w:rsidRPr="003D5D1B" w:rsidRDefault="00FB48D2" w:rsidP="00FB48D2">
      <w:pPr>
        <w:pStyle w:val="Caption"/>
      </w:pPr>
      <w:r w:rsidRPr="003D5D1B">
        <w:t xml:space="preserve">Table </w:t>
      </w:r>
      <w:r w:rsidR="004335F8">
        <w:fldChar w:fldCharType="begin"/>
      </w:r>
      <w:r w:rsidR="004335F8">
        <w:instrText xml:space="preserve"> STYLEREF 1 \s </w:instrText>
      </w:r>
      <w:r w:rsidR="004335F8">
        <w:fldChar w:fldCharType="separate"/>
      </w:r>
      <w:r w:rsidR="00795309">
        <w:rPr>
          <w:noProof/>
        </w:rPr>
        <w:t>4</w:t>
      </w:r>
      <w:r w:rsidR="004335F8">
        <w:fldChar w:fldCharType="end"/>
      </w:r>
      <w:r w:rsidR="004335F8">
        <w:noBreakHyphen/>
      </w:r>
      <w:r w:rsidR="004335F8">
        <w:fldChar w:fldCharType="begin"/>
      </w:r>
      <w:r w:rsidR="004335F8">
        <w:instrText xml:space="preserve"> SEQ Table \* ARABIC \s 1 </w:instrText>
      </w:r>
      <w:r w:rsidR="004335F8">
        <w:fldChar w:fldCharType="separate"/>
      </w:r>
      <w:r w:rsidR="00795309">
        <w:rPr>
          <w:noProof/>
        </w:rPr>
        <w:t>11</w:t>
      </w:r>
      <w:r w:rsidR="004335F8">
        <w:fldChar w:fldCharType="end"/>
      </w:r>
      <w:r w:rsidRPr="00BC3000">
        <w:t xml:space="preserve"> Cost of additional maintenance</w:t>
      </w:r>
    </w:p>
    <w:tbl>
      <w:tblPr>
        <w:tblStyle w:val="Deloittetable"/>
        <w:tblW w:w="5066" w:type="pct"/>
        <w:tblLayout w:type="fixed"/>
        <w:tblLook w:val="04A0" w:firstRow="1" w:lastRow="0" w:firstColumn="1" w:lastColumn="0" w:noHBand="0" w:noVBand="1"/>
      </w:tblPr>
      <w:tblGrid>
        <w:gridCol w:w="1400"/>
        <w:gridCol w:w="1091"/>
        <w:gridCol w:w="862"/>
        <w:gridCol w:w="1187"/>
        <w:gridCol w:w="1110"/>
        <w:gridCol w:w="1088"/>
        <w:gridCol w:w="1200"/>
        <w:gridCol w:w="1207"/>
      </w:tblGrid>
      <w:tr w:rsidR="00855643" w:rsidRPr="003D5D1B" w14:paraId="75A05C0D" w14:textId="15BD09A5" w:rsidTr="00855643">
        <w:trPr>
          <w:cnfStyle w:val="100000000000" w:firstRow="1" w:lastRow="0" w:firstColumn="0" w:lastColumn="0" w:oddVBand="0" w:evenVBand="0" w:oddHBand="0" w:evenHBand="0" w:firstRowFirstColumn="0" w:firstRowLastColumn="0" w:lastRowFirstColumn="0" w:lastRowLastColumn="0"/>
        </w:trPr>
        <w:tc>
          <w:tcPr>
            <w:tcW w:w="765" w:type="pct"/>
            <w:tcBorders>
              <w:top w:val="single" w:sz="18" w:space="0" w:color="62B5E5" w:themeColor="accent3"/>
            </w:tcBorders>
          </w:tcPr>
          <w:p w14:paraId="495EEC43" w14:textId="7CE63804" w:rsidR="00F272F6" w:rsidRPr="00F272F6" w:rsidRDefault="00F272F6" w:rsidP="00246B9B">
            <w:pPr>
              <w:rPr>
                <w:b/>
              </w:rPr>
            </w:pPr>
            <w:r w:rsidRPr="00F272F6">
              <w:rPr>
                <w:b/>
              </w:rPr>
              <w:t>Type of premises</w:t>
            </w:r>
          </w:p>
        </w:tc>
        <w:tc>
          <w:tcPr>
            <w:tcW w:w="596" w:type="pct"/>
            <w:tcBorders>
              <w:top w:val="single" w:sz="18" w:space="0" w:color="62B5E5" w:themeColor="accent3"/>
            </w:tcBorders>
          </w:tcPr>
          <w:p w14:paraId="599A9D68" w14:textId="19EA199A" w:rsidR="00F272F6" w:rsidRPr="00F272F6" w:rsidRDefault="00F272F6" w:rsidP="00246B9B">
            <w:pPr>
              <w:rPr>
                <w:b/>
                <w:lang w:val="en-GB"/>
              </w:rPr>
            </w:pPr>
            <w:r w:rsidRPr="00F272F6">
              <w:rPr>
                <w:b/>
                <w:lang w:val="en-GB"/>
              </w:rPr>
              <w:t>No. of new &amp; existing facilities 2021</w:t>
            </w:r>
          </w:p>
        </w:tc>
        <w:tc>
          <w:tcPr>
            <w:tcW w:w="471" w:type="pct"/>
            <w:tcBorders>
              <w:top w:val="single" w:sz="18" w:space="0" w:color="62B5E5" w:themeColor="accent3"/>
            </w:tcBorders>
          </w:tcPr>
          <w:p w14:paraId="5757DB70" w14:textId="4362D197" w:rsidR="00F272F6" w:rsidRPr="003D5D1B" w:rsidRDefault="00F272F6" w:rsidP="00246B9B">
            <w:pPr>
              <w:rPr>
                <w:b/>
              </w:rPr>
            </w:pPr>
            <w:r w:rsidRPr="00F272F6">
              <w:rPr>
                <w:b/>
              </w:rPr>
              <w:t>No. of new facilities 2022-30</w:t>
            </w:r>
          </w:p>
        </w:tc>
        <w:tc>
          <w:tcPr>
            <w:tcW w:w="649" w:type="pct"/>
            <w:tcBorders>
              <w:top w:val="single" w:sz="18" w:space="0" w:color="62B5E5" w:themeColor="accent3"/>
            </w:tcBorders>
          </w:tcPr>
          <w:p w14:paraId="1B957B2C" w14:textId="6F66D720" w:rsidR="00F272F6" w:rsidRPr="003D5D1B" w:rsidRDefault="00F272F6" w:rsidP="00246B9B">
            <w:pPr>
              <w:rPr>
                <w:b/>
              </w:rPr>
            </w:pPr>
            <w:r w:rsidRPr="003D5D1B">
              <w:rPr>
                <w:b/>
              </w:rPr>
              <w:t xml:space="preserve">Estimated </w:t>
            </w:r>
            <w:r>
              <w:rPr>
                <w:b/>
              </w:rPr>
              <w:t xml:space="preserve">   </w:t>
            </w:r>
            <w:r w:rsidRPr="003D5D1B">
              <w:rPr>
                <w:b/>
              </w:rPr>
              <w:t>% facilities that would not meet this requirement under the Base Case</w:t>
            </w:r>
          </w:p>
        </w:tc>
        <w:tc>
          <w:tcPr>
            <w:tcW w:w="607" w:type="pct"/>
            <w:tcBorders>
              <w:top w:val="single" w:sz="18" w:space="0" w:color="62B5E5" w:themeColor="accent3"/>
            </w:tcBorders>
          </w:tcPr>
          <w:p w14:paraId="50A2F909" w14:textId="5E78C112" w:rsidR="00F272F6" w:rsidRPr="003D5D1B" w:rsidRDefault="00F272F6" w:rsidP="00246B9B">
            <w:pPr>
              <w:rPr>
                <w:b/>
              </w:rPr>
            </w:pPr>
            <w:r w:rsidRPr="003D5D1B">
              <w:rPr>
                <w:b/>
              </w:rPr>
              <w:t>Estimated</w:t>
            </w:r>
            <w:r>
              <w:rPr>
                <w:b/>
              </w:rPr>
              <w:t xml:space="preserve"> </w:t>
            </w:r>
            <w:r w:rsidRPr="003D5D1B">
              <w:rPr>
                <w:b/>
              </w:rPr>
              <w:t xml:space="preserve"> </w:t>
            </w:r>
            <w:r>
              <w:rPr>
                <w:b/>
              </w:rPr>
              <w:t xml:space="preserve"> </w:t>
            </w:r>
            <w:r w:rsidRPr="003D5D1B">
              <w:rPr>
                <w:b/>
              </w:rPr>
              <w:t xml:space="preserve">% of </w:t>
            </w:r>
            <w:r>
              <w:rPr>
                <w:b/>
              </w:rPr>
              <w:t xml:space="preserve">   Option 1 </w:t>
            </w:r>
            <w:r w:rsidRPr="003D5D1B">
              <w:rPr>
                <w:b/>
              </w:rPr>
              <w:t>maintenance</w:t>
            </w:r>
            <w:r>
              <w:rPr>
                <w:b/>
              </w:rPr>
              <w:t xml:space="preserve"> spend</w:t>
            </w:r>
            <w:r w:rsidRPr="003D5D1B">
              <w:rPr>
                <w:b/>
              </w:rPr>
              <w:t xml:space="preserve"> incurred under the Base Case</w:t>
            </w:r>
          </w:p>
        </w:tc>
        <w:tc>
          <w:tcPr>
            <w:tcW w:w="595" w:type="pct"/>
            <w:tcBorders>
              <w:top w:val="single" w:sz="18" w:space="0" w:color="62B5E5" w:themeColor="accent3"/>
            </w:tcBorders>
          </w:tcPr>
          <w:p w14:paraId="1738B500" w14:textId="2A0B65D6" w:rsidR="00F272F6" w:rsidRPr="003D5D1B" w:rsidRDefault="00F272F6" w:rsidP="00246B9B">
            <w:pPr>
              <w:rPr>
                <w:b/>
              </w:rPr>
            </w:pPr>
            <w:r w:rsidRPr="003D5D1B">
              <w:rPr>
                <w:b/>
              </w:rPr>
              <w:t xml:space="preserve">Annual maintenance </w:t>
            </w:r>
            <w:r>
              <w:rPr>
                <w:b/>
              </w:rPr>
              <w:t>expenditure</w:t>
            </w:r>
            <w:r w:rsidRPr="003D5D1B">
              <w:rPr>
                <w:b/>
              </w:rPr>
              <w:t xml:space="preserve"> per facility (p.a.)</w:t>
            </w:r>
            <w:r>
              <w:rPr>
                <w:b/>
              </w:rPr>
              <w:t xml:space="preserve"> under Option 1</w:t>
            </w:r>
          </w:p>
        </w:tc>
        <w:tc>
          <w:tcPr>
            <w:tcW w:w="656" w:type="pct"/>
            <w:tcBorders>
              <w:top w:val="single" w:sz="18" w:space="0" w:color="62B5E5" w:themeColor="accent3"/>
            </w:tcBorders>
          </w:tcPr>
          <w:p w14:paraId="75847599" w14:textId="70652E7A" w:rsidR="00F272F6" w:rsidRPr="003D5D1B" w:rsidRDefault="00F272F6" w:rsidP="00246B9B">
            <w:pPr>
              <w:rPr>
                <w:b/>
              </w:rPr>
            </w:pPr>
            <w:r w:rsidRPr="003D5D1B">
              <w:rPr>
                <w:b/>
              </w:rPr>
              <w:t>Total cost</w:t>
            </w:r>
            <w:r>
              <w:rPr>
                <w:b/>
              </w:rPr>
              <w:t xml:space="preserve"> 2021-30 </w:t>
            </w:r>
          </w:p>
        </w:tc>
        <w:tc>
          <w:tcPr>
            <w:tcW w:w="660" w:type="pct"/>
            <w:tcBorders>
              <w:top w:val="single" w:sz="18" w:space="0" w:color="62B5E5" w:themeColor="accent3"/>
            </w:tcBorders>
          </w:tcPr>
          <w:p w14:paraId="44FA6090" w14:textId="74B4EE7C" w:rsidR="00F272F6" w:rsidRPr="003D5D1B" w:rsidRDefault="00F272F6" w:rsidP="00246B9B">
            <w:pPr>
              <w:rPr>
                <w:b/>
              </w:rPr>
            </w:pPr>
            <w:r w:rsidRPr="003D5D1B">
              <w:rPr>
                <w:b/>
              </w:rPr>
              <w:t>Total cost</w:t>
            </w:r>
            <w:r>
              <w:rPr>
                <w:b/>
              </w:rPr>
              <w:t xml:space="preserve"> 2021-30 NPV</w:t>
            </w:r>
          </w:p>
        </w:tc>
      </w:tr>
      <w:tr w:rsidR="00855643" w:rsidRPr="003D5D1B" w14:paraId="6DAECC79" w14:textId="67686253" w:rsidTr="00855643">
        <w:tc>
          <w:tcPr>
            <w:tcW w:w="765" w:type="pct"/>
          </w:tcPr>
          <w:p w14:paraId="1E1DF6C7" w14:textId="33DF4E10" w:rsidR="00F272F6" w:rsidRPr="003D5D1B" w:rsidRDefault="00F272F6" w:rsidP="00F272F6">
            <w:pPr>
              <w:spacing w:after="0"/>
              <w:rPr>
                <w:b/>
              </w:rPr>
            </w:pPr>
            <w:r w:rsidRPr="003D5D1B">
              <w:t>Residential accommodation</w:t>
            </w:r>
          </w:p>
        </w:tc>
        <w:tc>
          <w:tcPr>
            <w:tcW w:w="596" w:type="pct"/>
          </w:tcPr>
          <w:p w14:paraId="7E90FC0B" w14:textId="48AF5A2C" w:rsidR="00F272F6" w:rsidRPr="003D5D1B" w:rsidRDefault="00F272F6" w:rsidP="00F272F6">
            <w:pPr>
              <w:spacing w:after="0"/>
              <w:rPr>
                <w:b/>
              </w:rPr>
            </w:pPr>
            <w:r w:rsidRPr="003D5D1B">
              <w:t>1,634</w:t>
            </w:r>
          </w:p>
        </w:tc>
        <w:tc>
          <w:tcPr>
            <w:tcW w:w="471" w:type="pct"/>
          </w:tcPr>
          <w:p w14:paraId="05437DE5" w14:textId="2A2622DD" w:rsidR="00F272F6" w:rsidRPr="003D5D1B" w:rsidRDefault="00F272F6" w:rsidP="00F272F6">
            <w:pPr>
              <w:spacing w:after="0"/>
            </w:pPr>
            <w:r w:rsidRPr="005D1F72">
              <w:t>367</w:t>
            </w:r>
          </w:p>
        </w:tc>
        <w:tc>
          <w:tcPr>
            <w:tcW w:w="649" w:type="pct"/>
          </w:tcPr>
          <w:p w14:paraId="1B222457" w14:textId="60ED28CF" w:rsidR="00F272F6" w:rsidRPr="003D5D1B" w:rsidRDefault="00F272F6" w:rsidP="00F272F6">
            <w:pPr>
              <w:spacing w:after="0"/>
              <w:rPr>
                <w:b/>
              </w:rPr>
            </w:pPr>
            <w:r w:rsidRPr="003D5D1B">
              <w:t>7.5%</w:t>
            </w:r>
          </w:p>
        </w:tc>
        <w:tc>
          <w:tcPr>
            <w:tcW w:w="607" w:type="pct"/>
          </w:tcPr>
          <w:p w14:paraId="07D8D847" w14:textId="6FA6D766" w:rsidR="00F272F6" w:rsidRPr="003D5D1B" w:rsidRDefault="00F272F6" w:rsidP="00F272F6">
            <w:pPr>
              <w:spacing w:after="0"/>
              <w:rPr>
                <w:b/>
              </w:rPr>
            </w:pPr>
            <w:r w:rsidRPr="003D5D1B">
              <w:t>50%</w:t>
            </w:r>
          </w:p>
        </w:tc>
        <w:tc>
          <w:tcPr>
            <w:tcW w:w="595" w:type="pct"/>
          </w:tcPr>
          <w:p w14:paraId="24EDD7E3" w14:textId="6EA2563E" w:rsidR="00F272F6" w:rsidRPr="003D5D1B" w:rsidRDefault="00F272F6" w:rsidP="00F272F6">
            <w:pPr>
              <w:spacing w:after="0"/>
              <w:rPr>
                <w:b/>
              </w:rPr>
            </w:pPr>
            <w:r w:rsidRPr="003D5D1B">
              <w:t>$3,570</w:t>
            </w:r>
          </w:p>
        </w:tc>
        <w:tc>
          <w:tcPr>
            <w:tcW w:w="656" w:type="pct"/>
          </w:tcPr>
          <w:p w14:paraId="537FECDD" w14:textId="3B37AF35" w:rsidR="00F272F6" w:rsidRPr="003D5D1B" w:rsidRDefault="00F272F6" w:rsidP="00F272F6">
            <w:pPr>
              <w:spacing w:after="0"/>
              <w:rPr>
                <w:b/>
              </w:rPr>
            </w:pPr>
            <w:r w:rsidRPr="001C1E04">
              <w:t>$2,451,826</w:t>
            </w:r>
          </w:p>
        </w:tc>
        <w:tc>
          <w:tcPr>
            <w:tcW w:w="660" w:type="pct"/>
          </w:tcPr>
          <w:p w14:paraId="2018EE29" w14:textId="7386B803" w:rsidR="00F272F6" w:rsidRPr="00D13AE9" w:rsidRDefault="00F272F6" w:rsidP="00F272F6">
            <w:pPr>
              <w:spacing w:after="0"/>
            </w:pPr>
            <w:r w:rsidRPr="00D13AE9">
              <w:t>$1,972,782</w:t>
            </w:r>
          </w:p>
        </w:tc>
      </w:tr>
      <w:tr w:rsidR="00855643" w:rsidRPr="003D5D1B" w14:paraId="497EAAD7" w14:textId="158C9D30" w:rsidTr="00855643">
        <w:tc>
          <w:tcPr>
            <w:tcW w:w="765" w:type="pct"/>
          </w:tcPr>
          <w:p w14:paraId="03F3BD2B" w14:textId="77777777" w:rsidR="00F272F6" w:rsidRDefault="00F272F6" w:rsidP="00F272F6">
            <w:pPr>
              <w:spacing w:after="0"/>
            </w:pPr>
            <w:r w:rsidRPr="003D5D1B">
              <w:t xml:space="preserve">Hotels and </w:t>
            </w:r>
          </w:p>
          <w:p w14:paraId="70F72FC4" w14:textId="013907FA" w:rsidR="00F272F6" w:rsidRDefault="00F272F6" w:rsidP="00F272F6">
            <w:pPr>
              <w:spacing w:after="0"/>
              <w:rPr>
                <w:b/>
              </w:rPr>
            </w:pPr>
            <w:r w:rsidRPr="003D5D1B">
              <w:t>motels</w:t>
            </w:r>
          </w:p>
        </w:tc>
        <w:tc>
          <w:tcPr>
            <w:tcW w:w="596" w:type="pct"/>
          </w:tcPr>
          <w:p w14:paraId="55F073C1" w14:textId="480858E3" w:rsidR="00F272F6" w:rsidRPr="003D5D1B" w:rsidRDefault="00F272F6" w:rsidP="00F272F6">
            <w:pPr>
              <w:spacing w:after="0"/>
              <w:rPr>
                <w:b/>
              </w:rPr>
            </w:pPr>
            <w:r w:rsidRPr="003D5D1B">
              <w:t>1,379</w:t>
            </w:r>
          </w:p>
        </w:tc>
        <w:tc>
          <w:tcPr>
            <w:tcW w:w="471" w:type="pct"/>
          </w:tcPr>
          <w:p w14:paraId="46B10B68" w14:textId="6A65E9E2" w:rsidR="00F272F6" w:rsidRPr="003D5D1B" w:rsidRDefault="00F272F6" w:rsidP="00F272F6">
            <w:pPr>
              <w:spacing w:after="0"/>
            </w:pPr>
            <w:r w:rsidRPr="005D1F72">
              <w:t>210</w:t>
            </w:r>
          </w:p>
        </w:tc>
        <w:tc>
          <w:tcPr>
            <w:tcW w:w="649" w:type="pct"/>
          </w:tcPr>
          <w:p w14:paraId="04958F34" w14:textId="6C279CA3" w:rsidR="00F272F6" w:rsidRPr="003D5D1B" w:rsidRDefault="00F272F6" w:rsidP="00F272F6">
            <w:pPr>
              <w:spacing w:after="0"/>
              <w:rPr>
                <w:b/>
              </w:rPr>
            </w:pPr>
            <w:r w:rsidRPr="003D5D1B">
              <w:t>2%</w:t>
            </w:r>
          </w:p>
        </w:tc>
        <w:tc>
          <w:tcPr>
            <w:tcW w:w="607" w:type="pct"/>
          </w:tcPr>
          <w:p w14:paraId="78A37A6E" w14:textId="503EF882" w:rsidR="00F272F6" w:rsidRPr="003D5D1B" w:rsidRDefault="00F272F6" w:rsidP="00F272F6">
            <w:pPr>
              <w:spacing w:after="0"/>
              <w:rPr>
                <w:b/>
              </w:rPr>
            </w:pPr>
            <w:r w:rsidRPr="003D5D1B">
              <w:t>50%</w:t>
            </w:r>
          </w:p>
        </w:tc>
        <w:tc>
          <w:tcPr>
            <w:tcW w:w="595" w:type="pct"/>
          </w:tcPr>
          <w:p w14:paraId="329CC52C" w14:textId="1AD063C8" w:rsidR="00F272F6" w:rsidRPr="003D5D1B" w:rsidRDefault="00F272F6" w:rsidP="00F272F6">
            <w:pPr>
              <w:spacing w:after="0"/>
              <w:rPr>
                <w:b/>
              </w:rPr>
            </w:pPr>
            <w:r w:rsidRPr="003D5D1B">
              <w:t>$78,323</w:t>
            </w:r>
          </w:p>
        </w:tc>
        <w:tc>
          <w:tcPr>
            <w:tcW w:w="656" w:type="pct"/>
          </w:tcPr>
          <w:p w14:paraId="43450286" w14:textId="6F691E20" w:rsidR="00F272F6" w:rsidRDefault="00F272F6" w:rsidP="00F272F6">
            <w:pPr>
              <w:spacing w:after="0"/>
              <w:rPr>
                <w:b/>
              </w:rPr>
            </w:pPr>
            <w:r w:rsidRPr="001C1E04">
              <w:t>$11,695,881</w:t>
            </w:r>
          </w:p>
        </w:tc>
        <w:tc>
          <w:tcPr>
            <w:tcW w:w="660" w:type="pct"/>
          </w:tcPr>
          <w:p w14:paraId="1D5E5E72" w14:textId="4BBAC566" w:rsidR="00F272F6" w:rsidRPr="00D13AE9" w:rsidRDefault="00F272F6" w:rsidP="00F272F6">
            <w:pPr>
              <w:spacing w:after="0"/>
            </w:pPr>
            <w:r w:rsidRPr="00D13AE9">
              <w:t>$9,433,235</w:t>
            </w:r>
          </w:p>
        </w:tc>
      </w:tr>
      <w:tr w:rsidR="00855643" w:rsidRPr="003D5D1B" w14:paraId="47FEA155" w14:textId="33F53EF1" w:rsidTr="00855643">
        <w:tc>
          <w:tcPr>
            <w:tcW w:w="765" w:type="pct"/>
          </w:tcPr>
          <w:p w14:paraId="3722D101" w14:textId="36476870" w:rsidR="00F272F6" w:rsidRDefault="00F272F6" w:rsidP="00F272F6">
            <w:pPr>
              <w:spacing w:after="0"/>
              <w:rPr>
                <w:b/>
              </w:rPr>
            </w:pPr>
            <w:r w:rsidRPr="003D5D1B">
              <w:t>Hostels</w:t>
            </w:r>
          </w:p>
        </w:tc>
        <w:tc>
          <w:tcPr>
            <w:tcW w:w="596" w:type="pct"/>
          </w:tcPr>
          <w:p w14:paraId="4DB8E1BD" w14:textId="76D9CBC1" w:rsidR="00F272F6" w:rsidRPr="003D5D1B" w:rsidRDefault="00F272F6" w:rsidP="00F272F6">
            <w:pPr>
              <w:spacing w:after="0"/>
              <w:rPr>
                <w:b/>
              </w:rPr>
            </w:pPr>
            <w:r w:rsidRPr="003D5D1B">
              <w:t>213</w:t>
            </w:r>
          </w:p>
        </w:tc>
        <w:tc>
          <w:tcPr>
            <w:tcW w:w="471" w:type="pct"/>
          </w:tcPr>
          <w:p w14:paraId="2B86CA0D" w14:textId="0925922C" w:rsidR="00F272F6" w:rsidRPr="003D5D1B" w:rsidRDefault="00F272F6" w:rsidP="00F272F6">
            <w:pPr>
              <w:spacing w:after="0"/>
            </w:pPr>
            <w:r w:rsidRPr="005D1F72">
              <w:t>18</w:t>
            </w:r>
          </w:p>
        </w:tc>
        <w:tc>
          <w:tcPr>
            <w:tcW w:w="649" w:type="pct"/>
          </w:tcPr>
          <w:p w14:paraId="48B8E959" w14:textId="21F0BCC6" w:rsidR="00F272F6" w:rsidRPr="003D5D1B" w:rsidRDefault="00F272F6" w:rsidP="00F272F6">
            <w:pPr>
              <w:spacing w:after="0"/>
              <w:rPr>
                <w:b/>
              </w:rPr>
            </w:pPr>
            <w:r w:rsidRPr="003D5D1B">
              <w:t>30%</w:t>
            </w:r>
          </w:p>
        </w:tc>
        <w:tc>
          <w:tcPr>
            <w:tcW w:w="607" w:type="pct"/>
          </w:tcPr>
          <w:p w14:paraId="78DCE56D" w14:textId="40FC2E0A" w:rsidR="00F272F6" w:rsidRPr="003D5D1B" w:rsidRDefault="00F272F6" w:rsidP="00F272F6">
            <w:pPr>
              <w:spacing w:after="0"/>
              <w:rPr>
                <w:b/>
              </w:rPr>
            </w:pPr>
            <w:r w:rsidRPr="003D5D1B">
              <w:t>50%</w:t>
            </w:r>
          </w:p>
        </w:tc>
        <w:tc>
          <w:tcPr>
            <w:tcW w:w="595" w:type="pct"/>
          </w:tcPr>
          <w:p w14:paraId="4D5A8E98" w14:textId="257F0236" w:rsidR="00F272F6" w:rsidRPr="003D5D1B" w:rsidRDefault="00F272F6" w:rsidP="00F272F6">
            <w:pPr>
              <w:spacing w:after="0"/>
              <w:rPr>
                <w:b/>
              </w:rPr>
            </w:pPr>
            <w:r w:rsidRPr="003D5D1B">
              <w:t>$9,125</w:t>
            </w:r>
          </w:p>
        </w:tc>
        <w:tc>
          <w:tcPr>
            <w:tcW w:w="656" w:type="pct"/>
          </w:tcPr>
          <w:p w14:paraId="261D2AC5" w14:textId="3CE0340B" w:rsidR="00F272F6" w:rsidRDefault="00F272F6" w:rsidP="00F272F6">
            <w:pPr>
              <w:spacing w:after="0"/>
              <w:rPr>
                <w:b/>
              </w:rPr>
            </w:pPr>
            <w:r w:rsidRPr="001C1E04">
              <w:t>$2,984,877</w:t>
            </w:r>
          </w:p>
        </w:tc>
        <w:tc>
          <w:tcPr>
            <w:tcW w:w="660" w:type="pct"/>
          </w:tcPr>
          <w:p w14:paraId="0914AC32" w14:textId="71090B50" w:rsidR="00F272F6" w:rsidRPr="00D13AE9" w:rsidRDefault="00F272F6" w:rsidP="00F272F6">
            <w:pPr>
              <w:spacing w:after="0"/>
            </w:pPr>
            <w:r w:rsidRPr="00D13AE9">
              <w:t>$2,413,303</w:t>
            </w:r>
          </w:p>
        </w:tc>
      </w:tr>
      <w:tr w:rsidR="00855643" w:rsidRPr="003D5D1B" w14:paraId="57611CFF" w14:textId="32707973" w:rsidTr="00855643">
        <w:tc>
          <w:tcPr>
            <w:tcW w:w="765" w:type="pct"/>
          </w:tcPr>
          <w:p w14:paraId="58004DC8" w14:textId="720C3B73" w:rsidR="00F272F6" w:rsidRDefault="00F272F6" w:rsidP="00F272F6">
            <w:pPr>
              <w:spacing w:after="0"/>
              <w:rPr>
                <w:b/>
              </w:rPr>
            </w:pPr>
            <w:r w:rsidRPr="003D5D1B">
              <w:t>Student dormitories</w:t>
            </w:r>
          </w:p>
        </w:tc>
        <w:tc>
          <w:tcPr>
            <w:tcW w:w="596" w:type="pct"/>
          </w:tcPr>
          <w:p w14:paraId="1EB4DBFB" w14:textId="2DB52FE1" w:rsidR="00F272F6" w:rsidRPr="003D5D1B" w:rsidRDefault="00F272F6" w:rsidP="00F272F6">
            <w:pPr>
              <w:spacing w:after="0"/>
              <w:rPr>
                <w:b/>
              </w:rPr>
            </w:pPr>
            <w:r w:rsidRPr="003D5D1B">
              <w:t>182</w:t>
            </w:r>
          </w:p>
        </w:tc>
        <w:tc>
          <w:tcPr>
            <w:tcW w:w="471" w:type="pct"/>
          </w:tcPr>
          <w:p w14:paraId="503AEC44" w14:textId="2A3E4281" w:rsidR="00F272F6" w:rsidRPr="003D5D1B" w:rsidRDefault="00F272F6" w:rsidP="00F272F6">
            <w:pPr>
              <w:spacing w:after="0"/>
            </w:pPr>
            <w:r w:rsidRPr="005D1F72">
              <w:t>36</w:t>
            </w:r>
          </w:p>
        </w:tc>
        <w:tc>
          <w:tcPr>
            <w:tcW w:w="649" w:type="pct"/>
          </w:tcPr>
          <w:p w14:paraId="1B67FC5C" w14:textId="515BF7B6" w:rsidR="00F272F6" w:rsidRPr="003D5D1B" w:rsidRDefault="00F272F6" w:rsidP="00F272F6">
            <w:pPr>
              <w:spacing w:after="0"/>
              <w:rPr>
                <w:b/>
              </w:rPr>
            </w:pPr>
            <w:r w:rsidRPr="003D5D1B">
              <w:t>15%</w:t>
            </w:r>
          </w:p>
        </w:tc>
        <w:tc>
          <w:tcPr>
            <w:tcW w:w="607" w:type="pct"/>
          </w:tcPr>
          <w:p w14:paraId="7F491688" w14:textId="1C51F5E6" w:rsidR="00F272F6" w:rsidRPr="003D5D1B" w:rsidRDefault="00F272F6" w:rsidP="00F272F6">
            <w:pPr>
              <w:spacing w:after="0"/>
              <w:rPr>
                <w:b/>
              </w:rPr>
            </w:pPr>
            <w:r w:rsidRPr="003D5D1B">
              <w:t>50%</w:t>
            </w:r>
          </w:p>
        </w:tc>
        <w:tc>
          <w:tcPr>
            <w:tcW w:w="595" w:type="pct"/>
          </w:tcPr>
          <w:p w14:paraId="31F259B1" w14:textId="0F532D28" w:rsidR="00F272F6" w:rsidRPr="003D5D1B" w:rsidRDefault="00F272F6" w:rsidP="00F272F6">
            <w:pPr>
              <w:spacing w:after="0"/>
              <w:rPr>
                <w:b/>
              </w:rPr>
            </w:pPr>
            <w:r w:rsidRPr="003D5D1B">
              <w:t>$9,125</w:t>
            </w:r>
          </w:p>
        </w:tc>
        <w:tc>
          <w:tcPr>
            <w:tcW w:w="656" w:type="pct"/>
          </w:tcPr>
          <w:p w14:paraId="39679F90" w14:textId="30A2D683" w:rsidR="00F272F6" w:rsidRDefault="00F272F6" w:rsidP="00F272F6">
            <w:pPr>
              <w:spacing w:after="0"/>
              <w:rPr>
                <w:b/>
              </w:rPr>
            </w:pPr>
            <w:r w:rsidRPr="001C1E04">
              <w:t>$1,344,945</w:t>
            </w:r>
          </w:p>
        </w:tc>
        <w:tc>
          <w:tcPr>
            <w:tcW w:w="660" w:type="pct"/>
          </w:tcPr>
          <w:p w14:paraId="49655C73" w14:textId="45F5B6DE" w:rsidR="00F272F6" w:rsidRPr="00D13AE9" w:rsidRDefault="00F272F6" w:rsidP="00F272F6">
            <w:pPr>
              <w:spacing w:after="0"/>
            </w:pPr>
            <w:r w:rsidRPr="00D13AE9">
              <w:t>$1,083,132</w:t>
            </w:r>
          </w:p>
        </w:tc>
      </w:tr>
      <w:tr w:rsidR="00855643" w:rsidRPr="003D5D1B" w14:paraId="7CFBEFED" w14:textId="66A3B5AE" w:rsidTr="00855643">
        <w:tc>
          <w:tcPr>
            <w:tcW w:w="765" w:type="pct"/>
          </w:tcPr>
          <w:p w14:paraId="7774EDEF" w14:textId="125BCB86" w:rsidR="00F272F6" w:rsidRPr="003D5D1B" w:rsidRDefault="00F272F6" w:rsidP="00F272F6">
            <w:pPr>
              <w:spacing w:after="0"/>
              <w:rPr>
                <w:b/>
              </w:rPr>
            </w:pPr>
            <w:r w:rsidRPr="003D5D1B">
              <w:t>Holiday camps</w:t>
            </w:r>
          </w:p>
        </w:tc>
        <w:tc>
          <w:tcPr>
            <w:tcW w:w="596" w:type="pct"/>
          </w:tcPr>
          <w:p w14:paraId="5BD8EF92" w14:textId="739BE042" w:rsidR="00F272F6" w:rsidRPr="003D5D1B" w:rsidRDefault="00F272F6" w:rsidP="00F272F6">
            <w:pPr>
              <w:spacing w:after="0"/>
              <w:rPr>
                <w:b/>
              </w:rPr>
            </w:pPr>
            <w:r w:rsidRPr="003D5D1B">
              <w:t>315</w:t>
            </w:r>
          </w:p>
        </w:tc>
        <w:tc>
          <w:tcPr>
            <w:tcW w:w="471" w:type="pct"/>
          </w:tcPr>
          <w:p w14:paraId="1ABBFA08" w14:textId="17B95313" w:rsidR="00F272F6" w:rsidRPr="003D5D1B" w:rsidRDefault="00F272F6" w:rsidP="00F272F6">
            <w:pPr>
              <w:spacing w:after="0"/>
            </w:pPr>
            <w:r w:rsidRPr="005D1F72">
              <w:t>0</w:t>
            </w:r>
          </w:p>
        </w:tc>
        <w:tc>
          <w:tcPr>
            <w:tcW w:w="649" w:type="pct"/>
          </w:tcPr>
          <w:p w14:paraId="2C6B96B9" w14:textId="502E4939" w:rsidR="00F272F6" w:rsidRPr="003D5D1B" w:rsidRDefault="00F272F6" w:rsidP="00F272F6">
            <w:pPr>
              <w:spacing w:after="0"/>
              <w:rPr>
                <w:b/>
              </w:rPr>
            </w:pPr>
            <w:r w:rsidRPr="003D5D1B">
              <w:t>15%</w:t>
            </w:r>
          </w:p>
        </w:tc>
        <w:tc>
          <w:tcPr>
            <w:tcW w:w="607" w:type="pct"/>
          </w:tcPr>
          <w:p w14:paraId="3681F327" w14:textId="4F7007F2" w:rsidR="00F272F6" w:rsidRPr="003D5D1B" w:rsidRDefault="00F272F6" w:rsidP="00F272F6">
            <w:pPr>
              <w:spacing w:after="0"/>
              <w:rPr>
                <w:b/>
              </w:rPr>
            </w:pPr>
            <w:r w:rsidRPr="003D5D1B">
              <w:t>50%</w:t>
            </w:r>
          </w:p>
        </w:tc>
        <w:tc>
          <w:tcPr>
            <w:tcW w:w="595" w:type="pct"/>
          </w:tcPr>
          <w:p w14:paraId="3259DEA2" w14:textId="17ED9BCB" w:rsidR="00F272F6" w:rsidRPr="003D5D1B" w:rsidRDefault="00F272F6" w:rsidP="00F272F6">
            <w:pPr>
              <w:spacing w:after="0"/>
              <w:rPr>
                <w:b/>
              </w:rPr>
            </w:pPr>
            <w:r w:rsidRPr="003D5D1B">
              <w:t>$56,669</w:t>
            </w:r>
          </w:p>
        </w:tc>
        <w:tc>
          <w:tcPr>
            <w:tcW w:w="656" w:type="pct"/>
          </w:tcPr>
          <w:p w14:paraId="3CBEC0EC" w14:textId="00D2A542" w:rsidR="00F272F6" w:rsidRPr="003D5D1B" w:rsidRDefault="00F272F6" w:rsidP="00F272F6">
            <w:pPr>
              <w:spacing w:after="0"/>
              <w:rPr>
                <w:b/>
              </w:rPr>
            </w:pPr>
            <w:r w:rsidRPr="001C1E04">
              <w:t>$13,387,956</w:t>
            </w:r>
          </w:p>
        </w:tc>
        <w:tc>
          <w:tcPr>
            <w:tcW w:w="660" w:type="pct"/>
          </w:tcPr>
          <w:p w14:paraId="184BD8EC" w14:textId="7A76CC95" w:rsidR="00F272F6" w:rsidRPr="00D13AE9" w:rsidRDefault="00F272F6" w:rsidP="00855643">
            <w:pPr>
              <w:spacing w:after="0"/>
              <w:ind w:right="-73"/>
            </w:pPr>
            <w:r w:rsidRPr="00D13AE9">
              <w:t>$10,858,832</w:t>
            </w:r>
          </w:p>
        </w:tc>
      </w:tr>
      <w:tr w:rsidR="00855643" w:rsidRPr="003D5D1B" w14:paraId="5902104A" w14:textId="56163DBE" w:rsidTr="00855643">
        <w:tc>
          <w:tcPr>
            <w:tcW w:w="765" w:type="pct"/>
          </w:tcPr>
          <w:p w14:paraId="579C7B90" w14:textId="77777777" w:rsidR="00F272F6" w:rsidRDefault="00F272F6" w:rsidP="00F272F6">
            <w:pPr>
              <w:spacing w:after="0"/>
            </w:pPr>
            <w:r w:rsidRPr="003D5D1B">
              <w:t xml:space="preserve">Rooming </w:t>
            </w:r>
          </w:p>
          <w:p w14:paraId="5FE3C9D0" w14:textId="38ACC8B4" w:rsidR="00F272F6" w:rsidRDefault="00F272F6" w:rsidP="00F272F6">
            <w:pPr>
              <w:spacing w:after="0"/>
            </w:pPr>
            <w:r w:rsidRPr="003D5D1B">
              <w:t>houses</w:t>
            </w:r>
          </w:p>
        </w:tc>
        <w:tc>
          <w:tcPr>
            <w:tcW w:w="596" w:type="pct"/>
          </w:tcPr>
          <w:p w14:paraId="40C22CCB" w14:textId="6F02D0F4" w:rsidR="00F272F6" w:rsidRPr="003D5D1B" w:rsidRDefault="00F272F6" w:rsidP="00F272F6">
            <w:pPr>
              <w:spacing w:after="0"/>
            </w:pPr>
            <w:r w:rsidRPr="003D5D1B">
              <w:t>1,425</w:t>
            </w:r>
          </w:p>
        </w:tc>
        <w:tc>
          <w:tcPr>
            <w:tcW w:w="471" w:type="pct"/>
          </w:tcPr>
          <w:p w14:paraId="586E632C" w14:textId="1E39F303" w:rsidR="00F272F6" w:rsidRPr="003D5D1B" w:rsidRDefault="00F272F6" w:rsidP="00F272F6">
            <w:pPr>
              <w:spacing w:after="0"/>
            </w:pPr>
            <w:r w:rsidRPr="005D1F72">
              <w:t>390</w:t>
            </w:r>
          </w:p>
        </w:tc>
        <w:tc>
          <w:tcPr>
            <w:tcW w:w="649" w:type="pct"/>
          </w:tcPr>
          <w:p w14:paraId="743D47BA" w14:textId="0E4717F2" w:rsidR="00F272F6" w:rsidRPr="003D5D1B" w:rsidRDefault="00F272F6" w:rsidP="00F272F6">
            <w:pPr>
              <w:spacing w:after="0"/>
            </w:pPr>
            <w:r w:rsidRPr="003D5D1B">
              <w:t>30%</w:t>
            </w:r>
          </w:p>
        </w:tc>
        <w:tc>
          <w:tcPr>
            <w:tcW w:w="607" w:type="pct"/>
          </w:tcPr>
          <w:p w14:paraId="6DF59E8F" w14:textId="4134B42B" w:rsidR="00F272F6" w:rsidRPr="003D5D1B" w:rsidRDefault="00F272F6" w:rsidP="00F272F6">
            <w:pPr>
              <w:spacing w:after="0"/>
            </w:pPr>
            <w:r w:rsidRPr="003D5D1B">
              <w:t>50%</w:t>
            </w:r>
          </w:p>
        </w:tc>
        <w:tc>
          <w:tcPr>
            <w:tcW w:w="595" w:type="pct"/>
          </w:tcPr>
          <w:p w14:paraId="02D0B4B0" w14:textId="1DF0B0BC" w:rsidR="00F272F6" w:rsidRPr="003D5D1B" w:rsidRDefault="00F272F6" w:rsidP="00F272F6">
            <w:pPr>
              <w:spacing w:after="0"/>
            </w:pPr>
            <w:r w:rsidRPr="003D5D1B">
              <w:t>$3,570</w:t>
            </w:r>
          </w:p>
        </w:tc>
        <w:tc>
          <w:tcPr>
            <w:tcW w:w="656" w:type="pct"/>
          </w:tcPr>
          <w:p w14:paraId="1BB0643C" w14:textId="409CECFC" w:rsidR="00F272F6" w:rsidRPr="001C1E04" w:rsidRDefault="00F272F6" w:rsidP="00F272F6">
            <w:pPr>
              <w:spacing w:after="0"/>
            </w:pPr>
            <w:r w:rsidRPr="001C1E04">
              <w:t>$8,744,130</w:t>
            </w:r>
          </w:p>
        </w:tc>
        <w:tc>
          <w:tcPr>
            <w:tcW w:w="660" w:type="pct"/>
          </w:tcPr>
          <w:p w14:paraId="6F5D6784" w14:textId="20BC9867" w:rsidR="00F272F6" w:rsidRPr="00D13AE9" w:rsidRDefault="00F272F6" w:rsidP="00F272F6">
            <w:pPr>
              <w:spacing w:after="0"/>
            </w:pPr>
            <w:r w:rsidRPr="00D13AE9">
              <w:t>$7,025,148</w:t>
            </w:r>
          </w:p>
        </w:tc>
      </w:tr>
      <w:tr w:rsidR="00855643" w:rsidRPr="003D5D1B" w14:paraId="3315E9F8" w14:textId="334C06DD" w:rsidTr="00855643">
        <w:tc>
          <w:tcPr>
            <w:tcW w:w="765" w:type="pct"/>
          </w:tcPr>
          <w:p w14:paraId="6605B58F" w14:textId="20D3A4BB" w:rsidR="00F272F6" w:rsidRDefault="00F272F6" w:rsidP="00F0077F">
            <w:pPr>
              <w:spacing w:after="0"/>
            </w:pPr>
            <w:r w:rsidRPr="003D5D1B">
              <w:rPr>
                <w:b/>
              </w:rPr>
              <w:t>Total cost</w:t>
            </w:r>
          </w:p>
        </w:tc>
        <w:tc>
          <w:tcPr>
            <w:tcW w:w="596" w:type="pct"/>
          </w:tcPr>
          <w:p w14:paraId="04130F3C" w14:textId="77777777" w:rsidR="00F272F6" w:rsidRPr="003D5D1B" w:rsidRDefault="00F272F6" w:rsidP="00F0077F">
            <w:pPr>
              <w:spacing w:after="0"/>
            </w:pPr>
          </w:p>
        </w:tc>
        <w:tc>
          <w:tcPr>
            <w:tcW w:w="471" w:type="pct"/>
          </w:tcPr>
          <w:p w14:paraId="60C840FE" w14:textId="77777777" w:rsidR="00F272F6" w:rsidRPr="003D5D1B" w:rsidRDefault="00F272F6" w:rsidP="00F0077F">
            <w:pPr>
              <w:spacing w:after="0"/>
            </w:pPr>
          </w:p>
        </w:tc>
        <w:tc>
          <w:tcPr>
            <w:tcW w:w="649" w:type="pct"/>
          </w:tcPr>
          <w:p w14:paraId="6A3C33EE" w14:textId="3BE524F9" w:rsidR="00F272F6" w:rsidRPr="003D5D1B" w:rsidRDefault="00F272F6" w:rsidP="00F0077F">
            <w:pPr>
              <w:spacing w:after="0"/>
            </w:pPr>
          </w:p>
        </w:tc>
        <w:tc>
          <w:tcPr>
            <w:tcW w:w="607" w:type="pct"/>
          </w:tcPr>
          <w:p w14:paraId="22A12813" w14:textId="77777777" w:rsidR="00F272F6" w:rsidRPr="003D5D1B" w:rsidRDefault="00F272F6" w:rsidP="00F0077F">
            <w:pPr>
              <w:spacing w:after="0"/>
            </w:pPr>
          </w:p>
        </w:tc>
        <w:tc>
          <w:tcPr>
            <w:tcW w:w="595" w:type="pct"/>
          </w:tcPr>
          <w:p w14:paraId="1B8B28FC" w14:textId="77777777" w:rsidR="00F272F6" w:rsidRPr="003D5D1B" w:rsidRDefault="00F272F6" w:rsidP="00F0077F">
            <w:pPr>
              <w:spacing w:after="0"/>
            </w:pPr>
          </w:p>
        </w:tc>
        <w:tc>
          <w:tcPr>
            <w:tcW w:w="656" w:type="pct"/>
          </w:tcPr>
          <w:p w14:paraId="50CDBD24" w14:textId="77777777" w:rsidR="00F272F6" w:rsidRDefault="00F272F6" w:rsidP="00F0077F">
            <w:pPr>
              <w:spacing w:after="0"/>
              <w:rPr>
                <w:b/>
              </w:rPr>
            </w:pPr>
            <w:r w:rsidRPr="003D5D1B">
              <w:rPr>
                <w:b/>
              </w:rPr>
              <w:t>$40.</w:t>
            </w:r>
            <w:r>
              <w:rPr>
                <w:b/>
              </w:rPr>
              <w:t>6</w:t>
            </w:r>
            <w:r w:rsidRPr="003D5D1B">
              <w:rPr>
                <w:b/>
              </w:rPr>
              <w:t xml:space="preserve"> </w:t>
            </w:r>
          </w:p>
          <w:p w14:paraId="44B01B58" w14:textId="4E132DB8" w:rsidR="00F272F6" w:rsidRDefault="00F272F6" w:rsidP="00F0077F">
            <w:pPr>
              <w:spacing w:after="0"/>
            </w:pPr>
            <w:r w:rsidRPr="003D5D1B">
              <w:rPr>
                <w:b/>
              </w:rPr>
              <w:t>million</w:t>
            </w:r>
          </w:p>
        </w:tc>
        <w:tc>
          <w:tcPr>
            <w:tcW w:w="660" w:type="pct"/>
          </w:tcPr>
          <w:p w14:paraId="0EF0C512" w14:textId="48DF904F" w:rsidR="00F272F6" w:rsidRDefault="00F272F6" w:rsidP="00F0077F">
            <w:pPr>
              <w:spacing w:after="0"/>
              <w:rPr>
                <w:b/>
              </w:rPr>
            </w:pPr>
            <w:r>
              <w:rPr>
                <w:b/>
              </w:rPr>
              <w:t>$32.8 million</w:t>
            </w:r>
          </w:p>
        </w:tc>
      </w:tr>
    </w:tbl>
    <w:p w14:paraId="5E425632" w14:textId="5295D0A4" w:rsidR="00AE1B32" w:rsidRDefault="00AE1B32" w:rsidP="00AE1B32">
      <w:pPr>
        <w:pStyle w:val="FootnoteText"/>
      </w:pPr>
      <w:r>
        <w:t xml:space="preserve">Column 3 represents the proportion of total facilities that </w:t>
      </w:r>
      <w:r w:rsidR="00CA0CDA">
        <w:t xml:space="preserve">do </w:t>
      </w:r>
      <w:r w:rsidR="008F587F">
        <w:t xml:space="preserve">not take adequate maintenance </w:t>
      </w:r>
      <w:r>
        <w:t xml:space="preserve">under the Base Case and require additional maintenance under Option 1. Column 4 represents the proportion of Option 1’s annual maintenance costs which are </w:t>
      </w:r>
      <w:r w:rsidR="00CA0CDA">
        <w:t>assumed to be</w:t>
      </w:r>
      <w:r>
        <w:t xml:space="preserve"> already incurred by non-compliant facilities under the Base Case</w:t>
      </w:r>
      <w:r w:rsidR="00CA0CDA">
        <w:t xml:space="preserve"> i.e. reflecting that non-compl</w:t>
      </w:r>
      <w:r w:rsidR="008F587F">
        <w:t xml:space="preserve">iance </w:t>
      </w:r>
      <w:r w:rsidR="0020133D">
        <w:t xml:space="preserve">does not mean </w:t>
      </w:r>
      <w:r w:rsidR="00582893">
        <w:t>$0 maintenance is undertaken.</w:t>
      </w:r>
      <w:r w:rsidR="008F587F" w:rsidDel="008F587F">
        <w:t xml:space="preserve"> </w:t>
      </w:r>
    </w:p>
    <w:p w14:paraId="6D04939A" w14:textId="5C91A8DD" w:rsidR="00FB48D2" w:rsidRPr="003D5D1B" w:rsidRDefault="00FB48D2" w:rsidP="00F0077F">
      <w:pPr>
        <w:pStyle w:val="FootnoteText"/>
      </w:pPr>
    </w:p>
    <w:p w14:paraId="639F5F59" w14:textId="77777777" w:rsidR="00FB48D2" w:rsidRPr="003D5D1B" w:rsidRDefault="00FB48D2" w:rsidP="00FB48D2">
      <w:pPr>
        <w:pStyle w:val="Heading4"/>
      </w:pPr>
      <w:r w:rsidRPr="003D5D1B">
        <w:lastRenderedPageBreak/>
        <w:t>Water supply and waste water disposal</w:t>
      </w:r>
    </w:p>
    <w:p w14:paraId="7419C274" w14:textId="77777777" w:rsidR="00FB48D2" w:rsidRPr="003D5D1B" w:rsidRDefault="00FB48D2" w:rsidP="00FB48D2">
      <w:pPr>
        <w:rPr>
          <w:color w:val="000000" w:themeColor="text1"/>
        </w:rPr>
      </w:pPr>
      <w:r w:rsidRPr="003D5D1B">
        <w:rPr>
          <w:color w:val="000000" w:themeColor="text1"/>
        </w:rPr>
        <w:t>The proprietor must:</w:t>
      </w:r>
    </w:p>
    <w:p w14:paraId="1B45D647" w14:textId="77777777" w:rsidR="00FB48D2" w:rsidRPr="003D5D1B" w:rsidRDefault="00FB48D2" w:rsidP="00FB48D2">
      <w:pPr>
        <w:pStyle w:val="ListBullet"/>
        <w:numPr>
          <w:ilvl w:val="0"/>
          <w:numId w:val="87"/>
        </w:numPr>
        <w:spacing w:after="0"/>
        <w:ind w:left="720"/>
        <w:rPr>
          <w:rFonts w:asciiTheme="minorHAnsi" w:hAnsiTheme="minorHAnsi"/>
        </w:rPr>
      </w:pPr>
      <w:r w:rsidRPr="003D5D1B">
        <w:rPr>
          <w:rFonts w:asciiTheme="minorHAnsi" w:hAnsiTheme="minorHAnsi"/>
          <w:szCs w:val="18"/>
        </w:rPr>
        <w:t>Provide a continuous and adequate supply of water to all toilet, bathing, kitchen, laundry and drinking water facilities. This includes hot water to all bathing, laundry and kitchen facilities.</w:t>
      </w:r>
      <w:r>
        <w:rPr>
          <w:rStyle w:val="FootnoteReference"/>
          <w:rFonts w:asciiTheme="minorHAnsi" w:hAnsiTheme="minorHAnsi"/>
          <w:szCs w:val="18"/>
        </w:rPr>
        <w:footnoteReference w:id="92"/>
      </w:r>
    </w:p>
    <w:p w14:paraId="613A1844" w14:textId="77777777" w:rsidR="00FB48D2" w:rsidRPr="003D5D1B" w:rsidRDefault="00FB48D2" w:rsidP="00FB48D2">
      <w:pPr>
        <w:pStyle w:val="ListBullet"/>
        <w:numPr>
          <w:ilvl w:val="0"/>
          <w:numId w:val="87"/>
        </w:numPr>
        <w:spacing w:after="120"/>
        <w:ind w:left="720"/>
        <w:rPr>
          <w:rFonts w:asciiTheme="minorHAnsi" w:hAnsiTheme="minorHAnsi"/>
        </w:rPr>
      </w:pPr>
      <w:r w:rsidRPr="003D5D1B">
        <w:rPr>
          <w:rFonts w:asciiTheme="minorHAnsi" w:hAnsiTheme="minorHAnsi"/>
          <w:szCs w:val="18"/>
        </w:rPr>
        <w:t>Ensure that all sewage and waste water is discharged to a reticulated sewerage system or to an appropriate wastewater treatment system.</w:t>
      </w:r>
      <w:r>
        <w:rPr>
          <w:rStyle w:val="FootnoteReference"/>
          <w:rFonts w:asciiTheme="minorHAnsi" w:hAnsiTheme="minorHAnsi"/>
          <w:szCs w:val="18"/>
        </w:rPr>
        <w:footnoteReference w:id="93"/>
      </w:r>
    </w:p>
    <w:p w14:paraId="0CC1C492" w14:textId="6AD789E7" w:rsidR="00FB48D2" w:rsidRPr="003D5D1B" w:rsidRDefault="00FB48D2" w:rsidP="00FB48D2">
      <w:r w:rsidRPr="003D5D1B">
        <w:t xml:space="preserve">It is assumed that the cost of these requirements will be negligible as these facilities will be provided in the Base Case as part of the normal course of business by all proprietors. Council planning requirements and the </w:t>
      </w:r>
      <w:r>
        <w:t xml:space="preserve">common </w:t>
      </w:r>
      <w:r w:rsidRPr="003D5D1B">
        <w:t xml:space="preserve">provision of reticulated water and sewerage services will </w:t>
      </w:r>
      <w:r w:rsidR="00D42FA4">
        <w:t xml:space="preserve">generally </w:t>
      </w:r>
      <w:r w:rsidRPr="003D5D1B">
        <w:t>ensure this is the case</w:t>
      </w:r>
      <w:r w:rsidR="00D42FA4">
        <w:t>, although there might be small exceptions such as holiday camps</w:t>
      </w:r>
      <w:r w:rsidRPr="003D5D1B">
        <w:t xml:space="preserve">. </w:t>
      </w:r>
    </w:p>
    <w:p w14:paraId="009EBCAE" w14:textId="77777777" w:rsidR="00FB48D2" w:rsidRPr="003D5D1B" w:rsidRDefault="00FB48D2" w:rsidP="00FB48D2">
      <w:pPr>
        <w:pStyle w:val="Heading4"/>
      </w:pPr>
      <w:r w:rsidRPr="003D5D1B">
        <w:t>Garbage disposal</w:t>
      </w:r>
    </w:p>
    <w:p w14:paraId="64B9160E" w14:textId="36469E5B" w:rsidR="00FB48D2" w:rsidRDefault="00FB48D2" w:rsidP="00FB48D2">
      <w:r w:rsidRPr="003D5D1B">
        <w:rPr>
          <w:color w:val="000000" w:themeColor="text1"/>
        </w:rPr>
        <w:t>The proprietor must provide sufficient vermin-proof bins for the collection and storage of all rubbish</w:t>
      </w:r>
      <w:r>
        <w:rPr>
          <w:color w:val="000000" w:themeColor="text1"/>
        </w:rPr>
        <w:t>,</w:t>
      </w:r>
      <w:r w:rsidRPr="003D5D1B">
        <w:rPr>
          <w:color w:val="000000" w:themeColor="text1"/>
        </w:rPr>
        <w:t xml:space="preserve"> </w:t>
      </w:r>
      <w:r>
        <w:rPr>
          <w:color w:val="000000" w:themeColor="text1"/>
        </w:rPr>
        <w:t>ensure the receptacles are regularly cleaned</w:t>
      </w:r>
      <w:r>
        <w:rPr>
          <w:rStyle w:val="FootnoteReference"/>
          <w:color w:val="000000" w:themeColor="text1"/>
        </w:rPr>
        <w:footnoteReference w:id="94"/>
      </w:r>
      <w:r>
        <w:rPr>
          <w:color w:val="000000" w:themeColor="text1"/>
        </w:rPr>
        <w:t xml:space="preserve"> </w:t>
      </w:r>
      <w:r w:rsidRPr="003D5D1B">
        <w:rPr>
          <w:color w:val="000000" w:themeColor="text1"/>
        </w:rPr>
        <w:t xml:space="preserve">and ensure that all refuse is regularly removed by a refuse collection </w:t>
      </w:r>
      <w:r w:rsidRPr="003D5D1B">
        <w:t>service</w:t>
      </w:r>
      <w:r>
        <w:rPr>
          <w:rStyle w:val="FootnoteReference"/>
        </w:rPr>
        <w:footnoteReference w:id="95"/>
      </w:r>
      <w:r w:rsidRPr="003D5D1B">
        <w:t>. It is assumed that the vast majority of businesses will provide bins in the absence of these regulations.</w:t>
      </w:r>
    </w:p>
    <w:p w14:paraId="4E35E3A5" w14:textId="3FA95639" w:rsidR="00B5164A" w:rsidRDefault="00B5164A" w:rsidP="00A171B9">
      <w:pPr>
        <w:pStyle w:val="Heading4"/>
      </w:pPr>
      <w:r>
        <w:t>Council fees</w:t>
      </w:r>
    </w:p>
    <w:p w14:paraId="72A5C5F3" w14:textId="77777777" w:rsidR="00B975D5" w:rsidRPr="00B330F0" w:rsidRDefault="00E9511E">
      <w:r w:rsidRPr="003D5D1B">
        <w:t>Proprietors also pay fees to Councils to lodge registration and renewal applications</w:t>
      </w:r>
      <w:r>
        <w:t xml:space="preserve">. These fees </w:t>
      </w:r>
      <w:r w:rsidR="00B975D5">
        <w:t>recover all (or some of) the costs</w:t>
      </w:r>
      <w:r>
        <w:t xml:space="preserve"> </w:t>
      </w:r>
      <w:r w:rsidR="00B975D5">
        <w:t>incurred by</w:t>
      </w:r>
      <w:r>
        <w:t xml:space="preserve"> Council</w:t>
      </w:r>
      <w:r w:rsidR="00B975D5">
        <w:t>s</w:t>
      </w:r>
      <w:r>
        <w:t xml:space="preserve"> </w:t>
      </w:r>
      <w:r w:rsidR="00B975D5">
        <w:t xml:space="preserve">to ensure compliance with the Regulations. Each Council has its own fee structure and bespoke set of fees, and the extent to which these fees recover the costs of monitoring and enforcement </w:t>
      </w:r>
      <w:r w:rsidR="00B975D5" w:rsidRPr="00B330F0">
        <w:t xml:space="preserve">activities is unknown. </w:t>
      </w:r>
    </w:p>
    <w:p w14:paraId="6D81E91F" w14:textId="5785D7EA" w:rsidR="00736A2E" w:rsidRDefault="00B975D5">
      <w:r w:rsidRPr="00A171B9">
        <w:t>This analysis assumes that Council fees fully cost recover all monitoring and enforcement activities incurred by Councils. For simplicity, monitoring and enforcement activities are costed using time rather than unique fee structures, but fees should equal the cost of monitoring and enforcement activities given the 100% cost recovery assumption. Since fees are paid by proprietors, the cost of monitoring and enforcement activities undertaken by Councils are in-turn incurred by businesses through the fees they pay</w:t>
      </w:r>
      <w:r w:rsidR="004647C6" w:rsidRPr="00A171B9">
        <w:t>, so in our analysis this is includ</w:t>
      </w:r>
      <w:r w:rsidR="0003350B" w:rsidRPr="00A171B9">
        <w:t>ed</w:t>
      </w:r>
      <w:r w:rsidR="004647C6" w:rsidRPr="00A171B9">
        <w:t xml:space="preserve"> </w:t>
      </w:r>
      <w:r w:rsidR="000167B2" w:rsidRPr="00A171B9">
        <w:t>as a business cost</w:t>
      </w:r>
      <w:r w:rsidRPr="00A171B9">
        <w:t>. It is estimated that businesses incur $</w:t>
      </w:r>
      <w:r w:rsidR="001C1E04" w:rsidRPr="00A171B9">
        <w:t>15</w:t>
      </w:r>
      <w:r w:rsidRPr="00A171B9">
        <w:t xml:space="preserve"> million in fees over 10 years</w:t>
      </w:r>
      <w:r w:rsidR="00736A2E">
        <w:t xml:space="preserve"> </w:t>
      </w:r>
      <w:r w:rsidR="003959A7" w:rsidRPr="003959A7">
        <w:t>(or $12.1 million in NPV)</w:t>
      </w:r>
      <w:r w:rsidR="003959A7">
        <w:t xml:space="preserve"> </w:t>
      </w:r>
      <w:r w:rsidR="00736A2E">
        <w:t>as outlined below.</w:t>
      </w:r>
    </w:p>
    <w:p w14:paraId="58258187" w14:textId="77777777" w:rsidR="00736A2E" w:rsidRPr="00717904" w:rsidRDefault="00736A2E" w:rsidP="00717904">
      <w:pPr>
        <w:rPr>
          <w:b/>
        </w:rPr>
      </w:pPr>
      <w:r w:rsidRPr="00A171B9">
        <w:rPr>
          <w:b/>
        </w:rPr>
        <w:t>Assessing registration</w:t>
      </w:r>
      <w:r w:rsidR="00B975D5" w:rsidRPr="00A171B9">
        <w:rPr>
          <w:b/>
        </w:rPr>
        <w:t xml:space="preserve"> </w:t>
      </w:r>
      <w:r w:rsidR="00B975D5" w:rsidRPr="00A171B9" w:rsidDel="00C9616C">
        <w:rPr>
          <w:b/>
        </w:rPr>
        <w:t xml:space="preserve">and </w:t>
      </w:r>
      <w:r w:rsidRPr="00A171B9">
        <w:rPr>
          <w:b/>
        </w:rPr>
        <w:t>renewal applications</w:t>
      </w:r>
    </w:p>
    <w:p w14:paraId="31E6FB2D" w14:textId="6A12C18F" w:rsidR="00736A2E" w:rsidRPr="00B330F0" w:rsidRDefault="00736A2E" w:rsidP="00736A2E">
      <w:r w:rsidRPr="00B330F0">
        <w:t>The PHWA requires Councils to assess registration and renewal applications for prescribed accommodation facilities located within their municipal district. In Option 1, Councils incur additional resourcing costs to review and approve these applications (</w:t>
      </w:r>
      <w:r w:rsidR="00B975D5" w:rsidRPr="00B330F0" w:rsidDel="00C9616C">
        <w:t xml:space="preserve">this </w:t>
      </w:r>
      <w:r w:rsidRPr="00B330F0">
        <w:t>does not include follow up and inspection time). It</w:t>
      </w:r>
      <w:r w:rsidR="00B975D5" w:rsidRPr="00B330F0" w:rsidDel="00C9616C">
        <w:t xml:space="preserve"> is</w:t>
      </w:r>
      <w:r w:rsidR="00B975D5" w:rsidRPr="00B330F0" w:rsidDel="004D1FE5">
        <w:t xml:space="preserve"> </w:t>
      </w:r>
      <w:r w:rsidRPr="00B330F0">
        <w:t xml:space="preserve">estimated that on average it takes 30 minutes to review a renewal application and 1 hour for a registration application. Registration applications take longer to review because additional once-off content is included within the application. A wage rate for councils of $85.53 per hour is used </w:t>
      </w:r>
      <w:r w:rsidR="004D1FE5" w:rsidRPr="00B330F0">
        <w:t>(see</w:t>
      </w:r>
      <w:r w:rsidR="00B975D5" w:rsidRPr="00B330F0">
        <w:t xml:space="preserve"> section 4.</w:t>
      </w:r>
      <w:r w:rsidRPr="00B330F0">
        <w:t>2.4). With 1,245 registration applications and 55,723 renewal applications, the cost under Option 1 is $2.5 million over the life of the Regulations</w:t>
      </w:r>
      <w:r w:rsidR="00795609">
        <w:t xml:space="preserve"> (or $2.0 million in NPV)</w:t>
      </w:r>
      <w:r w:rsidRPr="00B330F0">
        <w:t>.</w:t>
      </w:r>
      <w:r w:rsidRPr="00B330F0">
        <w:rPr>
          <w:rStyle w:val="FootnoteReference"/>
        </w:rPr>
        <w:footnoteReference w:id="96"/>
      </w:r>
      <w:r w:rsidRPr="00B330F0">
        <w:t xml:space="preserve"> </w:t>
      </w:r>
    </w:p>
    <w:p w14:paraId="053EACBE" w14:textId="543A342C" w:rsidR="00736A2E" w:rsidRPr="00B330F0" w:rsidRDefault="00736A2E" w:rsidP="00736A2E">
      <w:pPr>
        <w:pStyle w:val="Caption"/>
      </w:pPr>
      <w:r w:rsidRPr="00B330F0">
        <w:lastRenderedPageBreak/>
        <w:t xml:space="preserve">Table </w:t>
      </w:r>
      <w:r w:rsidR="004335F8">
        <w:fldChar w:fldCharType="begin"/>
      </w:r>
      <w:r w:rsidR="004335F8">
        <w:instrText xml:space="preserve"> STYLEREF 1 \s </w:instrText>
      </w:r>
      <w:r w:rsidR="004335F8">
        <w:fldChar w:fldCharType="separate"/>
      </w:r>
      <w:r w:rsidR="00795309">
        <w:rPr>
          <w:noProof/>
        </w:rPr>
        <w:t>4</w:t>
      </w:r>
      <w:r w:rsidR="004335F8">
        <w:fldChar w:fldCharType="end"/>
      </w:r>
      <w:r w:rsidR="004335F8">
        <w:noBreakHyphen/>
      </w:r>
      <w:r w:rsidR="004335F8">
        <w:fldChar w:fldCharType="begin"/>
      </w:r>
      <w:r w:rsidR="004335F8">
        <w:instrText xml:space="preserve"> SEQ Table \* ARABIC \s 1 </w:instrText>
      </w:r>
      <w:r w:rsidR="004335F8">
        <w:fldChar w:fldCharType="separate"/>
      </w:r>
      <w:r w:rsidR="00795309">
        <w:rPr>
          <w:noProof/>
        </w:rPr>
        <w:t>12</w:t>
      </w:r>
      <w:r w:rsidR="004335F8">
        <w:fldChar w:fldCharType="end"/>
      </w:r>
      <w:r w:rsidRPr="00B330F0">
        <w:t xml:space="preserve"> Cost to assess applications</w:t>
      </w:r>
    </w:p>
    <w:tbl>
      <w:tblPr>
        <w:tblStyle w:val="Deloittetable"/>
        <w:tblW w:w="5000" w:type="pct"/>
        <w:tblLook w:val="04A0" w:firstRow="1" w:lastRow="0" w:firstColumn="1" w:lastColumn="0" w:noHBand="0" w:noVBand="1"/>
      </w:tblPr>
      <w:tblGrid>
        <w:gridCol w:w="1932"/>
        <w:gridCol w:w="1442"/>
        <w:gridCol w:w="1563"/>
        <w:gridCol w:w="1273"/>
        <w:gridCol w:w="1547"/>
        <w:gridCol w:w="1269"/>
      </w:tblGrid>
      <w:tr w:rsidR="00736A2E" w:rsidRPr="00B330F0" w14:paraId="351E8569" w14:textId="089A0FB7" w:rsidTr="00612EA8">
        <w:trPr>
          <w:cnfStyle w:val="100000000000" w:firstRow="1" w:lastRow="0" w:firstColumn="0" w:lastColumn="0" w:oddVBand="0" w:evenVBand="0" w:oddHBand="0" w:evenHBand="0" w:firstRowFirstColumn="0" w:firstRowLastColumn="0" w:lastRowFirstColumn="0" w:lastRowLastColumn="0"/>
          <w:trHeight w:val="1310"/>
        </w:trPr>
        <w:tc>
          <w:tcPr>
            <w:tcW w:w="1070" w:type="pct"/>
          </w:tcPr>
          <w:p w14:paraId="50759BC3" w14:textId="77777777" w:rsidR="00736A2E" w:rsidRPr="00B330F0" w:rsidRDefault="00736A2E" w:rsidP="00736A2E">
            <w:pPr>
              <w:rPr>
                <w:b/>
              </w:rPr>
            </w:pPr>
            <w:r w:rsidRPr="00B330F0">
              <w:rPr>
                <w:b/>
              </w:rPr>
              <w:t>Type of application</w:t>
            </w:r>
          </w:p>
        </w:tc>
        <w:tc>
          <w:tcPr>
            <w:tcW w:w="799" w:type="pct"/>
          </w:tcPr>
          <w:p w14:paraId="4AE55E28" w14:textId="77777777" w:rsidR="00736A2E" w:rsidRPr="00B330F0" w:rsidRDefault="00736A2E" w:rsidP="00736A2E">
            <w:pPr>
              <w:rPr>
                <w:b/>
              </w:rPr>
            </w:pPr>
            <w:r w:rsidRPr="00B330F0">
              <w:rPr>
                <w:b/>
              </w:rPr>
              <w:t>Number of applications 2021-2030</w:t>
            </w:r>
          </w:p>
        </w:tc>
        <w:tc>
          <w:tcPr>
            <w:tcW w:w="866" w:type="pct"/>
          </w:tcPr>
          <w:p w14:paraId="5C5A07F6" w14:textId="77777777" w:rsidR="00736A2E" w:rsidRPr="00B330F0" w:rsidRDefault="00736A2E" w:rsidP="00736A2E">
            <w:pPr>
              <w:rPr>
                <w:b/>
              </w:rPr>
            </w:pPr>
            <w:r w:rsidRPr="00B330F0">
              <w:rPr>
                <w:b/>
              </w:rPr>
              <w:t>Hours to assess application</w:t>
            </w:r>
          </w:p>
        </w:tc>
        <w:tc>
          <w:tcPr>
            <w:tcW w:w="705" w:type="pct"/>
          </w:tcPr>
          <w:p w14:paraId="04F043A2" w14:textId="77777777" w:rsidR="00736A2E" w:rsidRPr="00B330F0" w:rsidRDefault="00736A2E" w:rsidP="00736A2E">
            <w:pPr>
              <w:rPr>
                <w:b/>
              </w:rPr>
            </w:pPr>
            <w:r w:rsidRPr="00B330F0">
              <w:rPr>
                <w:b/>
              </w:rPr>
              <w:t>Cost of time (incl. loading)</w:t>
            </w:r>
          </w:p>
        </w:tc>
        <w:tc>
          <w:tcPr>
            <w:tcW w:w="857" w:type="pct"/>
          </w:tcPr>
          <w:p w14:paraId="105F5A79" w14:textId="0D5515E8" w:rsidR="00736A2E" w:rsidRPr="00B330F0" w:rsidRDefault="00736A2E" w:rsidP="00736A2E">
            <w:pPr>
              <w:rPr>
                <w:b/>
              </w:rPr>
            </w:pPr>
            <w:r w:rsidRPr="00B330F0">
              <w:rPr>
                <w:b/>
              </w:rPr>
              <w:t>Total cost</w:t>
            </w:r>
            <w:r w:rsidR="00795609">
              <w:rPr>
                <w:b/>
              </w:rPr>
              <w:t xml:space="preserve"> 2021-2030</w:t>
            </w:r>
          </w:p>
        </w:tc>
        <w:tc>
          <w:tcPr>
            <w:tcW w:w="703" w:type="pct"/>
          </w:tcPr>
          <w:p w14:paraId="18D39C26" w14:textId="7FFB36C7" w:rsidR="00795609" w:rsidRPr="00B330F0" w:rsidRDefault="00795609" w:rsidP="002E7597">
            <w:pPr>
              <w:rPr>
                <w:b/>
              </w:rPr>
            </w:pPr>
            <w:r w:rsidRPr="00B330F0">
              <w:rPr>
                <w:b/>
              </w:rPr>
              <w:t>Total cost</w:t>
            </w:r>
            <w:r>
              <w:rPr>
                <w:b/>
              </w:rPr>
              <w:t xml:space="preserve"> NPV</w:t>
            </w:r>
          </w:p>
        </w:tc>
      </w:tr>
      <w:tr w:rsidR="00736A2E" w:rsidRPr="00B330F0" w14:paraId="05EBCE53" w14:textId="2A3092F3" w:rsidTr="00612EA8">
        <w:trPr>
          <w:trHeight w:val="167"/>
        </w:trPr>
        <w:tc>
          <w:tcPr>
            <w:tcW w:w="1070" w:type="pct"/>
          </w:tcPr>
          <w:p w14:paraId="6EF0E27C" w14:textId="77777777" w:rsidR="00736A2E" w:rsidRPr="00B330F0" w:rsidRDefault="00736A2E" w:rsidP="00736A2E">
            <w:pPr>
              <w:pStyle w:val="ListBullet"/>
              <w:numPr>
                <w:ilvl w:val="0"/>
                <w:numId w:val="0"/>
              </w:numPr>
              <w:spacing w:after="0" w:line="240" w:lineRule="auto"/>
            </w:pPr>
            <w:r w:rsidRPr="00B330F0">
              <w:t>Renewal application</w:t>
            </w:r>
          </w:p>
        </w:tc>
        <w:tc>
          <w:tcPr>
            <w:tcW w:w="799" w:type="pct"/>
          </w:tcPr>
          <w:p w14:paraId="2A2DAAFB" w14:textId="77777777" w:rsidR="00736A2E" w:rsidRPr="00B330F0" w:rsidRDefault="00736A2E" w:rsidP="00736A2E">
            <w:pPr>
              <w:spacing w:after="0" w:line="240" w:lineRule="auto"/>
            </w:pPr>
            <w:r w:rsidRPr="00B330F0">
              <w:t>55,723</w:t>
            </w:r>
          </w:p>
        </w:tc>
        <w:tc>
          <w:tcPr>
            <w:tcW w:w="866" w:type="pct"/>
          </w:tcPr>
          <w:p w14:paraId="35052372" w14:textId="77777777" w:rsidR="00736A2E" w:rsidRPr="00B330F0" w:rsidRDefault="00736A2E" w:rsidP="00736A2E">
            <w:pPr>
              <w:spacing w:after="0" w:line="240" w:lineRule="auto"/>
            </w:pPr>
            <w:r w:rsidRPr="00B330F0">
              <w:t>0.5 hour</w:t>
            </w:r>
          </w:p>
        </w:tc>
        <w:tc>
          <w:tcPr>
            <w:tcW w:w="705" w:type="pct"/>
          </w:tcPr>
          <w:p w14:paraId="212D9219" w14:textId="77777777" w:rsidR="00736A2E" w:rsidRPr="00B330F0" w:rsidRDefault="00736A2E" w:rsidP="00736A2E">
            <w:pPr>
              <w:spacing w:after="0" w:line="240" w:lineRule="auto"/>
            </w:pPr>
            <w:r w:rsidRPr="00B330F0">
              <w:t>$85.53</w:t>
            </w:r>
          </w:p>
        </w:tc>
        <w:tc>
          <w:tcPr>
            <w:tcW w:w="857" w:type="pct"/>
          </w:tcPr>
          <w:p w14:paraId="6C4AA012" w14:textId="5C2E081A" w:rsidR="00736A2E" w:rsidRPr="00B330F0" w:rsidRDefault="00795609" w:rsidP="00736A2E">
            <w:pPr>
              <w:spacing w:after="0" w:line="240" w:lineRule="auto"/>
            </w:pPr>
            <w:r w:rsidRPr="00415049">
              <w:t>$2,383,001</w:t>
            </w:r>
          </w:p>
        </w:tc>
        <w:tc>
          <w:tcPr>
            <w:tcW w:w="703" w:type="pct"/>
          </w:tcPr>
          <w:p w14:paraId="6CFE609A" w14:textId="7C87F3E2" w:rsidR="00795609" w:rsidRPr="00C855F3" w:rsidRDefault="00795609" w:rsidP="00795609">
            <w:pPr>
              <w:spacing w:after="0" w:line="240" w:lineRule="auto"/>
            </w:pPr>
            <w:r w:rsidRPr="00C855F3">
              <w:t>$1,919,096</w:t>
            </w:r>
          </w:p>
        </w:tc>
      </w:tr>
      <w:tr w:rsidR="00736A2E" w:rsidRPr="00B330F0" w14:paraId="6202B3AF" w14:textId="02B9F4F7" w:rsidTr="00612EA8">
        <w:trPr>
          <w:trHeight w:val="167"/>
        </w:trPr>
        <w:tc>
          <w:tcPr>
            <w:tcW w:w="1070" w:type="pct"/>
          </w:tcPr>
          <w:p w14:paraId="4256FC53" w14:textId="77777777" w:rsidR="00736A2E" w:rsidRPr="00B330F0" w:rsidRDefault="00736A2E" w:rsidP="00736A2E">
            <w:pPr>
              <w:spacing w:after="0" w:line="240" w:lineRule="auto"/>
            </w:pPr>
            <w:r w:rsidRPr="00B330F0">
              <w:t>Registration application</w:t>
            </w:r>
          </w:p>
        </w:tc>
        <w:tc>
          <w:tcPr>
            <w:tcW w:w="799" w:type="pct"/>
          </w:tcPr>
          <w:p w14:paraId="1E1AE282" w14:textId="77777777" w:rsidR="00736A2E" w:rsidRPr="00B330F0" w:rsidRDefault="00736A2E" w:rsidP="00736A2E">
            <w:pPr>
              <w:spacing w:after="0" w:line="240" w:lineRule="auto"/>
            </w:pPr>
            <w:r w:rsidRPr="00B330F0">
              <w:t>1,245</w:t>
            </w:r>
          </w:p>
        </w:tc>
        <w:tc>
          <w:tcPr>
            <w:tcW w:w="866" w:type="pct"/>
          </w:tcPr>
          <w:p w14:paraId="08704D5A" w14:textId="77777777" w:rsidR="00736A2E" w:rsidRPr="00B330F0" w:rsidRDefault="00736A2E" w:rsidP="00736A2E">
            <w:pPr>
              <w:spacing w:after="0" w:line="240" w:lineRule="auto"/>
            </w:pPr>
            <w:r w:rsidRPr="00B330F0">
              <w:t>1 hour</w:t>
            </w:r>
          </w:p>
        </w:tc>
        <w:tc>
          <w:tcPr>
            <w:tcW w:w="705" w:type="pct"/>
          </w:tcPr>
          <w:p w14:paraId="57542B0B" w14:textId="77777777" w:rsidR="00736A2E" w:rsidRPr="00B330F0" w:rsidRDefault="00736A2E" w:rsidP="00736A2E">
            <w:pPr>
              <w:spacing w:after="0" w:line="240" w:lineRule="auto"/>
            </w:pPr>
            <w:r w:rsidRPr="00B330F0">
              <w:t>$85.53</w:t>
            </w:r>
          </w:p>
        </w:tc>
        <w:tc>
          <w:tcPr>
            <w:tcW w:w="857" w:type="pct"/>
          </w:tcPr>
          <w:p w14:paraId="53042B6C" w14:textId="6CF9AD6D" w:rsidR="00736A2E" w:rsidRPr="00B330F0" w:rsidRDefault="00795609" w:rsidP="00736A2E">
            <w:pPr>
              <w:spacing w:after="0" w:line="240" w:lineRule="auto"/>
            </w:pPr>
            <w:r w:rsidRPr="00415049">
              <w:t>$106,494</w:t>
            </w:r>
          </w:p>
        </w:tc>
        <w:tc>
          <w:tcPr>
            <w:tcW w:w="703" w:type="pct"/>
          </w:tcPr>
          <w:p w14:paraId="5B1ABC89" w14:textId="632BF771" w:rsidR="00795609" w:rsidRPr="00C855F3" w:rsidRDefault="00795609" w:rsidP="00795609">
            <w:pPr>
              <w:spacing w:after="0" w:line="240" w:lineRule="auto"/>
            </w:pPr>
            <w:r w:rsidRPr="00C855F3">
              <w:t>$85,691</w:t>
            </w:r>
          </w:p>
        </w:tc>
      </w:tr>
      <w:tr w:rsidR="00736A2E" w:rsidRPr="003D5D1B" w14:paraId="62143A0A" w14:textId="7941A7F3" w:rsidTr="00612EA8">
        <w:trPr>
          <w:trHeight w:val="167"/>
        </w:trPr>
        <w:tc>
          <w:tcPr>
            <w:tcW w:w="1070" w:type="pct"/>
          </w:tcPr>
          <w:p w14:paraId="1CB43E88" w14:textId="77777777" w:rsidR="00736A2E" w:rsidRPr="00B330F0" w:rsidDel="00DF3C43" w:rsidRDefault="00736A2E" w:rsidP="00736A2E">
            <w:pPr>
              <w:spacing w:after="0" w:line="240" w:lineRule="auto"/>
              <w:rPr>
                <w:b/>
              </w:rPr>
            </w:pPr>
            <w:r w:rsidRPr="00B330F0">
              <w:rPr>
                <w:b/>
              </w:rPr>
              <w:t>Total cost</w:t>
            </w:r>
          </w:p>
        </w:tc>
        <w:tc>
          <w:tcPr>
            <w:tcW w:w="799" w:type="pct"/>
          </w:tcPr>
          <w:p w14:paraId="49CFA7D8" w14:textId="77777777" w:rsidR="00736A2E" w:rsidRPr="00B330F0" w:rsidRDefault="00736A2E" w:rsidP="00736A2E">
            <w:pPr>
              <w:spacing w:after="0" w:line="240" w:lineRule="auto"/>
            </w:pPr>
          </w:p>
        </w:tc>
        <w:tc>
          <w:tcPr>
            <w:tcW w:w="866" w:type="pct"/>
          </w:tcPr>
          <w:p w14:paraId="3E66EB67" w14:textId="77777777" w:rsidR="00736A2E" w:rsidRPr="00B330F0" w:rsidDel="00DF3C43" w:rsidRDefault="00736A2E" w:rsidP="00736A2E">
            <w:pPr>
              <w:spacing w:after="0" w:line="240" w:lineRule="auto"/>
            </w:pPr>
          </w:p>
        </w:tc>
        <w:tc>
          <w:tcPr>
            <w:tcW w:w="705" w:type="pct"/>
          </w:tcPr>
          <w:p w14:paraId="0D619168" w14:textId="77777777" w:rsidR="00736A2E" w:rsidRPr="00B330F0" w:rsidRDefault="00736A2E" w:rsidP="00736A2E">
            <w:pPr>
              <w:spacing w:after="0" w:line="240" w:lineRule="auto"/>
            </w:pPr>
          </w:p>
        </w:tc>
        <w:tc>
          <w:tcPr>
            <w:tcW w:w="857" w:type="pct"/>
          </w:tcPr>
          <w:p w14:paraId="73140517" w14:textId="77777777" w:rsidR="00736A2E" w:rsidRPr="003D5D1B" w:rsidRDefault="00736A2E" w:rsidP="00736A2E">
            <w:pPr>
              <w:spacing w:after="0" w:line="240" w:lineRule="auto"/>
              <w:rPr>
                <w:b/>
              </w:rPr>
            </w:pPr>
            <w:r w:rsidRPr="00B330F0">
              <w:rPr>
                <w:b/>
              </w:rPr>
              <w:t>$2.5 million</w:t>
            </w:r>
          </w:p>
        </w:tc>
        <w:tc>
          <w:tcPr>
            <w:tcW w:w="703" w:type="pct"/>
          </w:tcPr>
          <w:p w14:paraId="344F0CBD" w14:textId="68807858" w:rsidR="00795609" w:rsidRDefault="00795609" w:rsidP="00736A2E">
            <w:pPr>
              <w:spacing w:after="0" w:line="240" w:lineRule="auto"/>
              <w:rPr>
                <w:b/>
              </w:rPr>
            </w:pPr>
            <w:r>
              <w:rPr>
                <w:b/>
              </w:rPr>
              <w:t>$2.0 million</w:t>
            </w:r>
          </w:p>
        </w:tc>
      </w:tr>
    </w:tbl>
    <w:p w14:paraId="3D03870C" w14:textId="77777777" w:rsidR="00736A2E" w:rsidRPr="003D5D1B" w:rsidRDefault="00736A2E" w:rsidP="00736A2E"/>
    <w:p w14:paraId="4B60A309" w14:textId="77777777" w:rsidR="00736A2E" w:rsidRPr="00717904" w:rsidRDefault="00736A2E" w:rsidP="00717904">
      <w:pPr>
        <w:rPr>
          <w:b/>
        </w:rPr>
      </w:pPr>
      <w:r w:rsidRPr="00717904">
        <w:rPr>
          <w:b/>
        </w:rPr>
        <w:t xml:space="preserve">Council inspections </w:t>
      </w:r>
    </w:p>
    <w:p w14:paraId="555B7BA4" w14:textId="417F2296" w:rsidR="00736A2E" w:rsidRPr="003D5D1B" w:rsidRDefault="00736A2E" w:rsidP="00736A2E">
      <w:r w:rsidRPr="003D5D1B">
        <w:t>The PHWA empowers a Council to inspect any prescribed accommodation premises to investigate, eliminate or reduce a public health risk. Councils may conduct inspections prior to approving a registration or renewal application</w:t>
      </w:r>
      <w:r>
        <w:t>, or in response to complaints received</w:t>
      </w:r>
      <w:r w:rsidRPr="003D5D1B">
        <w:t xml:space="preserve">. </w:t>
      </w:r>
      <w:r>
        <w:t>As per section 4.</w:t>
      </w:r>
      <w:r w:rsidR="00B975D5">
        <w:t>3.</w:t>
      </w:r>
      <w:r>
        <w:t>1.2, a</w:t>
      </w:r>
      <w:r w:rsidRPr="003D5D1B">
        <w:t xml:space="preserve"> 2018 survey of Councils</w:t>
      </w:r>
      <w:r>
        <w:t xml:space="preserve"> found that </w:t>
      </w:r>
      <w:r w:rsidRPr="003D5D1B">
        <w:t>on average, officers spent 1.15</w:t>
      </w:r>
      <w:r w:rsidRPr="00BC3000">
        <w:t xml:space="preserve"> hours inspecting a registered accommodation facility, </w:t>
      </w:r>
      <w:r w:rsidRPr="003D5D1B">
        <w:t>5.13</w:t>
      </w:r>
      <w:r w:rsidRPr="00BC3000">
        <w:t xml:space="preserve"> hours inspecting a first time regist</w:t>
      </w:r>
      <w:r w:rsidRPr="003D5D1B">
        <w:t>ration facility</w:t>
      </w:r>
      <w:r>
        <w:t xml:space="preserve"> </w:t>
      </w:r>
      <w:r w:rsidRPr="003D5D1B">
        <w:t>and around 0.64</w:t>
      </w:r>
      <w:r w:rsidRPr="00BC3000">
        <w:t xml:space="preserve"> hours travel</w:t>
      </w:r>
      <w:r w:rsidRPr="003D5D1B">
        <w:t>ing to each inspection.</w:t>
      </w:r>
      <w:r w:rsidRPr="00BC3000">
        <w:rPr>
          <w:rStyle w:val="FootnoteReference"/>
        </w:rPr>
        <w:footnoteReference w:id="97"/>
      </w:r>
      <w:r w:rsidRPr="00BC3000">
        <w:t xml:space="preserve"> Assuming annual inspections </w:t>
      </w:r>
      <w:r w:rsidRPr="003D5D1B">
        <w:t xml:space="preserve">are undertaken for </w:t>
      </w:r>
      <w:r w:rsidRPr="00BC3000">
        <w:t xml:space="preserve">registration and renewal applications, </w:t>
      </w:r>
      <w:r>
        <w:t xml:space="preserve">and that 5% of existing facilities are subject to additional inspections due to complaints, </w:t>
      </w:r>
      <w:r w:rsidRPr="00BC3000">
        <w:t xml:space="preserve">the cost of </w:t>
      </w:r>
      <w:r>
        <w:t xml:space="preserve">attending </w:t>
      </w:r>
      <w:r w:rsidRPr="00093FB8">
        <w:t>inspections is</w:t>
      </w:r>
      <w:r w:rsidRPr="003D5D1B">
        <w:t xml:space="preserve"> $9.</w:t>
      </w:r>
      <w:r w:rsidRPr="00274E6F">
        <w:t>6</w:t>
      </w:r>
      <w:r w:rsidRPr="00093FB8">
        <w:t xml:space="preserve"> </w:t>
      </w:r>
      <w:r w:rsidRPr="003D5D1B">
        <w:t>million over 10 years</w:t>
      </w:r>
      <w:r w:rsidR="00795609">
        <w:t xml:space="preserve"> (or $</w:t>
      </w:r>
      <w:r w:rsidR="002E7597">
        <w:t>7.7 million in NPV).</w:t>
      </w:r>
    </w:p>
    <w:p w14:paraId="31A32795" w14:textId="5FC9AE42" w:rsidR="00736A2E" w:rsidRPr="003D5D1B" w:rsidRDefault="00736A2E" w:rsidP="00736A2E">
      <w:pPr>
        <w:pStyle w:val="Caption"/>
      </w:pPr>
      <w:r w:rsidRPr="003D5D1B">
        <w:t xml:space="preserve">Table </w:t>
      </w:r>
      <w:r w:rsidR="004335F8">
        <w:fldChar w:fldCharType="begin"/>
      </w:r>
      <w:r w:rsidR="004335F8">
        <w:instrText xml:space="preserve"> STYLEREF 1 \s </w:instrText>
      </w:r>
      <w:r w:rsidR="004335F8">
        <w:fldChar w:fldCharType="separate"/>
      </w:r>
      <w:r w:rsidR="00795309">
        <w:rPr>
          <w:noProof/>
        </w:rPr>
        <w:t>4</w:t>
      </w:r>
      <w:r w:rsidR="004335F8">
        <w:fldChar w:fldCharType="end"/>
      </w:r>
      <w:r w:rsidR="004335F8">
        <w:noBreakHyphen/>
      </w:r>
      <w:r w:rsidR="004335F8">
        <w:fldChar w:fldCharType="begin"/>
      </w:r>
      <w:r w:rsidR="004335F8">
        <w:instrText xml:space="preserve"> SEQ Table \* ARABIC \s 1 </w:instrText>
      </w:r>
      <w:r w:rsidR="004335F8">
        <w:fldChar w:fldCharType="separate"/>
      </w:r>
      <w:r w:rsidR="00795309">
        <w:rPr>
          <w:noProof/>
        </w:rPr>
        <w:t>13</w:t>
      </w:r>
      <w:r w:rsidR="004335F8">
        <w:fldChar w:fldCharType="end"/>
      </w:r>
      <w:r w:rsidRPr="00BC3000">
        <w:t xml:space="preserve"> Cost of Council inspections</w:t>
      </w:r>
    </w:p>
    <w:tbl>
      <w:tblPr>
        <w:tblStyle w:val="Deloittetable"/>
        <w:tblW w:w="5024" w:type="pct"/>
        <w:tblLook w:val="04A0" w:firstRow="1" w:lastRow="0" w:firstColumn="1" w:lastColumn="0" w:noHBand="0" w:noVBand="1"/>
      </w:tblPr>
      <w:tblGrid>
        <w:gridCol w:w="1960"/>
        <w:gridCol w:w="1450"/>
        <w:gridCol w:w="1352"/>
        <w:gridCol w:w="786"/>
        <w:gridCol w:w="1103"/>
        <w:gridCol w:w="1429"/>
        <w:gridCol w:w="989"/>
      </w:tblGrid>
      <w:tr w:rsidR="00736A2E" w:rsidRPr="003D5D1B" w14:paraId="4AB90C99" w14:textId="3E647B57" w:rsidTr="00612EA8">
        <w:trPr>
          <w:cnfStyle w:val="100000000000" w:firstRow="1" w:lastRow="0" w:firstColumn="0" w:lastColumn="0" w:oddVBand="0" w:evenVBand="0" w:oddHBand="0" w:evenHBand="0" w:firstRowFirstColumn="0" w:firstRowLastColumn="0" w:lastRowFirstColumn="0" w:lastRowLastColumn="0"/>
          <w:trHeight w:val="684"/>
        </w:trPr>
        <w:tc>
          <w:tcPr>
            <w:tcW w:w="1080" w:type="pct"/>
          </w:tcPr>
          <w:p w14:paraId="5B325346" w14:textId="77777777" w:rsidR="00736A2E" w:rsidRPr="003D5D1B" w:rsidRDefault="00736A2E" w:rsidP="00736A2E">
            <w:pPr>
              <w:rPr>
                <w:b/>
              </w:rPr>
            </w:pPr>
            <w:r w:rsidRPr="003D5D1B">
              <w:rPr>
                <w:b/>
              </w:rPr>
              <w:t>Type of inspection</w:t>
            </w:r>
          </w:p>
        </w:tc>
        <w:tc>
          <w:tcPr>
            <w:tcW w:w="799" w:type="pct"/>
          </w:tcPr>
          <w:p w14:paraId="34B17D98" w14:textId="77777777" w:rsidR="00736A2E" w:rsidRPr="003D5D1B" w:rsidRDefault="00736A2E" w:rsidP="00736A2E">
            <w:pPr>
              <w:rPr>
                <w:b/>
              </w:rPr>
            </w:pPr>
            <w:r w:rsidRPr="003D5D1B">
              <w:rPr>
                <w:b/>
              </w:rPr>
              <w:t>Number of applications 2021-2030</w:t>
            </w:r>
          </w:p>
        </w:tc>
        <w:tc>
          <w:tcPr>
            <w:tcW w:w="745" w:type="pct"/>
          </w:tcPr>
          <w:p w14:paraId="182C0FE8" w14:textId="77777777" w:rsidR="00736A2E" w:rsidRPr="003D5D1B" w:rsidRDefault="00736A2E" w:rsidP="00736A2E">
            <w:pPr>
              <w:rPr>
                <w:b/>
              </w:rPr>
            </w:pPr>
            <w:r w:rsidRPr="003D5D1B">
              <w:rPr>
                <w:b/>
              </w:rPr>
              <w:t>Hours to insect application</w:t>
            </w:r>
          </w:p>
        </w:tc>
        <w:tc>
          <w:tcPr>
            <w:tcW w:w="433" w:type="pct"/>
          </w:tcPr>
          <w:p w14:paraId="6D6AE908" w14:textId="77777777" w:rsidR="00736A2E" w:rsidRPr="003D5D1B" w:rsidRDefault="00736A2E" w:rsidP="00736A2E">
            <w:pPr>
              <w:rPr>
                <w:b/>
              </w:rPr>
            </w:pPr>
            <w:r w:rsidRPr="003D5D1B">
              <w:rPr>
                <w:b/>
              </w:rPr>
              <w:t>Travel time</w:t>
            </w:r>
          </w:p>
        </w:tc>
        <w:tc>
          <w:tcPr>
            <w:tcW w:w="608" w:type="pct"/>
          </w:tcPr>
          <w:p w14:paraId="397AC920" w14:textId="77777777" w:rsidR="00736A2E" w:rsidRPr="003D5D1B" w:rsidRDefault="00736A2E" w:rsidP="00736A2E">
            <w:pPr>
              <w:rPr>
                <w:b/>
              </w:rPr>
            </w:pPr>
            <w:r w:rsidRPr="003D5D1B">
              <w:rPr>
                <w:b/>
              </w:rPr>
              <w:t>Cost of time (incl. loading)</w:t>
            </w:r>
          </w:p>
        </w:tc>
        <w:tc>
          <w:tcPr>
            <w:tcW w:w="788" w:type="pct"/>
          </w:tcPr>
          <w:p w14:paraId="368295C9" w14:textId="1CB1F628" w:rsidR="00736A2E" w:rsidRPr="003D5D1B" w:rsidRDefault="00795609" w:rsidP="00736A2E">
            <w:pPr>
              <w:rPr>
                <w:b/>
              </w:rPr>
            </w:pPr>
            <w:r w:rsidRPr="003D5D1B">
              <w:rPr>
                <w:b/>
              </w:rPr>
              <w:t>Total cost</w:t>
            </w:r>
            <w:r>
              <w:rPr>
                <w:b/>
              </w:rPr>
              <w:t xml:space="preserve"> 2021-2030 undiscounted</w:t>
            </w:r>
          </w:p>
        </w:tc>
        <w:tc>
          <w:tcPr>
            <w:tcW w:w="545" w:type="pct"/>
          </w:tcPr>
          <w:p w14:paraId="10D024A4" w14:textId="08F2C320" w:rsidR="00795609" w:rsidRPr="003D5D1B" w:rsidRDefault="00795609" w:rsidP="00736A2E">
            <w:pPr>
              <w:rPr>
                <w:b/>
              </w:rPr>
            </w:pPr>
            <w:r w:rsidRPr="003D5D1B">
              <w:rPr>
                <w:b/>
              </w:rPr>
              <w:t>Total cost</w:t>
            </w:r>
            <w:r>
              <w:rPr>
                <w:b/>
              </w:rPr>
              <w:t xml:space="preserve"> 2021-2030 NPV</w:t>
            </w:r>
          </w:p>
        </w:tc>
      </w:tr>
      <w:tr w:rsidR="00736A2E" w:rsidRPr="003D5D1B" w14:paraId="1CB49D80" w14:textId="3985B0C5" w:rsidTr="00612EA8">
        <w:trPr>
          <w:trHeight w:val="168"/>
        </w:trPr>
        <w:tc>
          <w:tcPr>
            <w:tcW w:w="1080" w:type="pct"/>
          </w:tcPr>
          <w:p w14:paraId="3825157C" w14:textId="77777777" w:rsidR="00736A2E" w:rsidRPr="003D5D1B" w:rsidRDefault="00736A2E" w:rsidP="00736A2E">
            <w:pPr>
              <w:pStyle w:val="ListBullet"/>
              <w:numPr>
                <w:ilvl w:val="0"/>
                <w:numId w:val="0"/>
              </w:numPr>
              <w:spacing w:after="0" w:line="240" w:lineRule="auto"/>
            </w:pPr>
            <w:r w:rsidRPr="003D5D1B">
              <w:t>First time inspection for registration application</w:t>
            </w:r>
          </w:p>
        </w:tc>
        <w:tc>
          <w:tcPr>
            <w:tcW w:w="799" w:type="pct"/>
          </w:tcPr>
          <w:p w14:paraId="01B60FF7" w14:textId="77777777" w:rsidR="00736A2E" w:rsidRPr="003D5D1B" w:rsidRDefault="00736A2E" w:rsidP="00736A2E">
            <w:pPr>
              <w:spacing w:after="0" w:line="240" w:lineRule="auto"/>
              <w:jc w:val="center"/>
            </w:pPr>
            <w:r w:rsidRPr="003D5D1B">
              <w:t>1,245</w:t>
            </w:r>
          </w:p>
        </w:tc>
        <w:tc>
          <w:tcPr>
            <w:tcW w:w="745" w:type="pct"/>
          </w:tcPr>
          <w:p w14:paraId="408F2902" w14:textId="77777777" w:rsidR="00736A2E" w:rsidRPr="003D5D1B" w:rsidRDefault="00736A2E" w:rsidP="00736A2E">
            <w:pPr>
              <w:spacing w:after="0" w:line="240" w:lineRule="auto"/>
            </w:pPr>
            <w:r w:rsidRPr="003D5D1B">
              <w:t xml:space="preserve">5.13 hours </w:t>
            </w:r>
          </w:p>
        </w:tc>
        <w:tc>
          <w:tcPr>
            <w:tcW w:w="433" w:type="pct"/>
          </w:tcPr>
          <w:p w14:paraId="4F2506FF" w14:textId="77777777" w:rsidR="00736A2E" w:rsidRPr="003D5D1B" w:rsidRDefault="00736A2E" w:rsidP="00736A2E">
            <w:pPr>
              <w:spacing w:after="0" w:line="240" w:lineRule="auto"/>
            </w:pPr>
            <w:r w:rsidRPr="003D5D1B">
              <w:t>0.64 hours</w:t>
            </w:r>
          </w:p>
        </w:tc>
        <w:tc>
          <w:tcPr>
            <w:tcW w:w="608" w:type="pct"/>
          </w:tcPr>
          <w:p w14:paraId="5A8A4A3D" w14:textId="77777777" w:rsidR="00736A2E" w:rsidRPr="003D5D1B" w:rsidRDefault="00736A2E" w:rsidP="00736A2E">
            <w:pPr>
              <w:spacing w:after="0" w:line="240" w:lineRule="auto"/>
            </w:pPr>
            <w:r w:rsidRPr="003D5D1B">
              <w:t>$85.53</w:t>
            </w:r>
          </w:p>
        </w:tc>
        <w:tc>
          <w:tcPr>
            <w:tcW w:w="788" w:type="pct"/>
          </w:tcPr>
          <w:p w14:paraId="064EEBB1" w14:textId="77777777" w:rsidR="00736A2E" w:rsidRPr="00694777" w:rsidRDefault="00736A2E" w:rsidP="00736A2E">
            <w:pPr>
              <w:spacing w:after="0" w:line="240" w:lineRule="auto"/>
              <w:rPr>
                <w:szCs w:val="17"/>
              </w:rPr>
            </w:pPr>
            <w:r w:rsidRPr="00093FB8">
              <w:rPr>
                <w:szCs w:val="17"/>
              </w:rPr>
              <w:t>$614,310</w:t>
            </w:r>
          </w:p>
        </w:tc>
        <w:tc>
          <w:tcPr>
            <w:tcW w:w="545" w:type="pct"/>
          </w:tcPr>
          <w:p w14:paraId="531A6459" w14:textId="7858FDC6" w:rsidR="002E7597" w:rsidRPr="002E7597" w:rsidRDefault="002E7597" w:rsidP="00736A2E">
            <w:pPr>
              <w:spacing w:after="0" w:line="240" w:lineRule="auto"/>
              <w:rPr>
                <w:szCs w:val="17"/>
              </w:rPr>
            </w:pPr>
            <w:r w:rsidRPr="002E7597">
              <w:rPr>
                <w:szCs w:val="17"/>
              </w:rPr>
              <w:t>$494,306</w:t>
            </w:r>
          </w:p>
        </w:tc>
      </w:tr>
      <w:tr w:rsidR="00736A2E" w:rsidRPr="003D5D1B" w14:paraId="2B448CC2" w14:textId="63C1744C" w:rsidTr="00612EA8">
        <w:trPr>
          <w:trHeight w:val="168"/>
        </w:trPr>
        <w:tc>
          <w:tcPr>
            <w:tcW w:w="1080" w:type="pct"/>
          </w:tcPr>
          <w:p w14:paraId="580AF3D1" w14:textId="77777777" w:rsidR="00736A2E" w:rsidRPr="003D5D1B" w:rsidRDefault="00736A2E" w:rsidP="00736A2E">
            <w:pPr>
              <w:spacing w:after="0" w:line="240" w:lineRule="auto"/>
            </w:pPr>
            <w:r w:rsidRPr="003D5D1B">
              <w:t>Routine annual inspection for renewal application</w:t>
            </w:r>
          </w:p>
        </w:tc>
        <w:tc>
          <w:tcPr>
            <w:tcW w:w="799" w:type="pct"/>
          </w:tcPr>
          <w:p w14:paraId="37387B3C" w14:textId="77777777" w:rsidR="00736A2E" w:rsidRPr="003D5D1B" w:rsidRDefault="00736A2E" w:rsidP="00736A2E">
            <w:pPr>
              <w:spacing w:after="0" w:line="240" w:lineRule="auto"/>
              <w:jc w:val="center"/>
            </w:pPr>
            <w:r w:rsidRPr="003D5D1B">
              <w:t>55,723</w:t>
            </w:r>
          </w:p>
        </w:tc>
        <w:tc>
          <w:tcPr>
            <w:tcW w:w="745" w:type="pct"/>
          </w:tcPr>
          <w:p w14:paraId="0CDC6C44" w14:textId="77777777" w:rsidR="00736A2E" w:rsidRPr="003D5D1B" w:rsidRDefault="00736A2E" w:rsidP="00736A2E">
            <w:pPr>
              <w:spacing w:after="0" w:line="240" w:lineRule="auto"/>
            </w:pPr>
            <w:r w:rsidRPr="003D5D1B">
              <w:t>1.15 hours</w:t>
            </w:r>
            <w:r w:rsidRPr="003D5D1B" w:rsidDel="00DE4AD1">
              <w:t xml:space="preserve"> </w:t>
            </w:r>
          </w:p>
        </w:tc>
        <w:tc>
          <w:tcPr>
            <w:tcW w:w="433" w:type="pct"/>
          </w:tcPr>
          <w:p w14:paraId="7F321A68" w14:textId="77777777" w:rsidR="00736A2E" w:rsidRPr="003D5D1B" w:rsidRDefault="00736A2E" w:rsidP="00736A2E">
            <w:pPr>
              <w:spacing w:after="0" w:line="240" w:lineRule="auto"/>
            </w:pPr>
            <w:r w:rsidRPr="003D5D1B">
              <w:t>0.64 hours</w:t>
            </w:r>
          </w:p>
        </w:tc>
        <w:tc>
          <w:tcPr>
            <w:tcW w:w="608" w:type="pct"/>
          </w:tcPr>
          <w:p w14:paraId="402C0057" w14:textId="77777777" w:rsidR="00736A2E" w:rsidRPr="003D5D1B" w:rsidRDefault="00736A2E" w:rsidP="00736A2E">
            <w:pPr>
              <w:spacing w:after="0" w:line="240" w:lineRule="auto"/>
            </w:pPr>
            <w:r w:rsidRPr="003D5D1B">
              <w:t>$85.53</w:t>
            </w:r>
          </w:p>
        </w:tc>
        <w:tc>
          <w:tcPr>
            <w:tcW w:w="788" w:type="pct"/>
          </w:tcPr>
          <w:p w14:paraId="7315ED7B" w14:textId="77777777" w:rsidR="00736A2E" w:rsidRPr="00274E6F" w:rsidRDefault="00736A2E" w:rsidP="00736A2E">
            <w:pPr>
              <w:spacing w:after="0"/>
              <w:rPr>
                <w:color w:val="000000"/>
                <w:szCs w:val="17"/>
              </w:rPr>
            </w:pPr>
            <w:r w:rsidRPr="00694777">
              <w:rPr>
                <w:color w:val="000000"/>
                <w:szCs w:val="17"/>
              </w:rPr>
              <w:t>$8,525,137</w:t>
            </w:r>
          </w:p>
        </w:tc>
        <w:tc>
          <w:tcPr>
            <w:tcW w:w="545" w:type="pct"/>
          </w:tcPr>
          <w:p w14:paraId="1A23C8CB" w14:textId="77807964" w:rsidR="002E7597" w:rsidRPr="002E7597" w:rsidRDefault="002E7597" w:rsidP="00736A2E">
            <w:pPr>
              <w:spacing w:after="0"/>
              <w:rPr>
                <w:color w:val="000000"/>
                <w:szCs w:val="17"/>
              </w:rPr>
            </w:pPr>
            <w:r w:rsidRPr="002E7597">
              <w:rPr>
                <w:color w:val="000000"/>
                <w:szCs w:val="17"/>
              </w:rPr>
              <w:t>$6,865,526</w:t>
            </w:r>
          </w:p>
        </w:tc>
      </w:tr>
      <w:tr w:rsidR="00736A2E" w:rsidRPr="003D5D1B" w14:paraId="753AF6C4" w14:textId="5DCC25DA" w:rsidTr="00612EA8">
        <w:trPr>
          <w:trHeight w:val="168"/>
        </w:trPr>
        <w:tc>
          <w:tcPr>
            <w:tcW w:w="1080" w:type="pct"/>
          </w:tcPr>
          <w:p w14:paraId="7FD8B8BA" w14:textId="77777777" w:rsidR="00736A2E" w:rsidRPr="003D5D1B" w:rsidRDefault="00736A2E" w:rsidP="00736A2E">
            <w:pPr>
              <w:spacing w:after="0" w:line="240" w:lineRule="auto"/>
            </w:pPr>
            <w:r>
              <w:t>Inspections in response to complaints</w:t>
            </w:r>
          </w:p>
        </w:tc>
        <w:tc>
          <w:tcPr>
            <w:tcW w:w="799" w:type="pct"/>
          </w:tcPr>
          <w:p w14:paraId="3833B800" w14:textId="77777777" w:rsidR="00736A2E" w:rsidRPr="003D5D1B" w:rsidRDefault="00736A2E" w:rsidP="00736A2E">
            <w:pPr>
              <w:spacing w:after="0" w:line="240" w:lineRule="auto"/>
              <w:jc w:val="center"/>
            </w:pPr>
            <w:r>
              <w:t>2,786</w:t>
            </w:r>
          </w:p>
        </w:tc>
        <w:tc>
          <w:tcPr>
            <w:tcW w:w="745" w:type="pct"/>
          </w:tcPr>
          <w:p w14:paraId="3326985D" w14:textId="77777777" w:rsidR="00736A2E" w:rsidRPr="003D5D1B" w:rsidRDefault="00736A2E" w:rsidP="00736A2E">
            <w:pPr>
              <w:spacing w:after="0" w:line="240" w:lineRule="auto"/>
            </w:pPr>
            <w:r w:rsidRPr="003D5D1B">
              <w:t>1.15 hours</w:t>
            </w:r>
            <w:r w:rsidRPr="003D5D1B" w:rsidDel="00DE4AD1">
              <w:t xml:space="preserve"> </w:t>
            </w:r>
          </w:p>
        </w:tc>
        <w:tc>
          <w:tcPr>
            <w:tcW w:w="433" w:type="pct"/>
          </w:tcPr>
          <w:p w14:paraId="6AB002BF" w14:textId="77777777" w:rsidR="00736A2E" w:rsidRPr="003D5D1B" w:rsidRDefault="00736A2E" w:rsidP="00736A2E">
            <w:pPr>
              <w:spacing w:after="0" w:line="240" w:lineRule="auto"/>
            </w:pPr>
            <w:r w:rsidRPr="003D5D1B">
              <w:t>0.64 hours</w:t>
            </w:r>
          </w:p>
        </w:tc>
        <w:tc>
          <w:tcPr>
            <w:tcW w:w="608" w:type="pct"/>
          </w:tcPr>
          <w:p w14:paraId="7D6646DB" w14:textId="77777777" w:rsidR="00736A2E" w:rsidRPr="003D5D1B" w:rsidRDefault="00736A2E" w:rsidP="00736A2E">
            <w:pPr>
              <w:spacing w:after="0" w:line="240" w:lineRule="auto"/>
            </w:pPr>
            <w:r w:rsidRPr="003D5D1B">
              <w:t>$85.53</w:t>
            </w:r>
          </w:p>
        </w:tc>
        <w:tc>
          <w:tcPr>
            <w:tcW w:w="788" w:type="pct"/>
          </w:tcPr>
          <w:p w14:paraId="57B927DC" w14:textId="77777777" w:rsidR="00736A2E" w:rsidRPr="00274E6F" w:rsidRDefault="00736A2E" w:rsidP="00736A2E">
            <w:pPr>
              <w:spacing w:after="0"/>
              <w:rPr>
                <w:color w:val="000000"/>
                <w:szCs w:val="17"/>
              </w:rPr>
            </w:pPr>
            <w:r w:rsidRPr="00694777">
              <w:rPr>
                <w:color w:val="000000"/>
                <w:szCs w:val="17"/>
              </w:rPr>
              <w:t>$426,257</w:t>
            </w:r>
          </w:p>
        </w:tc>
        <w:tc>
          <w:tcPr>
            <w:tcW w:w="545" w:type="pct"/>
          </w:tcPr>
          <w:p w14:paraId="4545A7CA" w14:textId="1FA66C4D" w:rsidR="002E7597" w:rsidRPr="002E7597" w:rsidRDefault="002E7597" w:rsidP="00736A2E">
            <w:pPr>
              <w:spacing w:after="0"/>
              <w:rPr>
                <w:color w:val="000000"/>
                <w:szCs w:val="17"/>
              </w:rPr>
            </w:pPr>
            <w:r w:rsidRPr="002E7597">
              <w:rPr>
                <w:color w:val="000000"/>
                <w:szCs w:val="17"/>
              </w:rPr>
              <w:t>$343,276</w:t>
            </w:r>
          </w:p>
        </w:tc>
      </w:tr>
      <w:tr w:rsidR="00736A2E" w:rsidRPr="003D5D1B" w14:paraId="6ACE69BC" w14:textId="4FC21955" w:rsidTr="00612EA8">
        <w:trPr>
          <w:trHeight w:val="168"/>
        </w:trPr>
        <w:tc>
          <w:tcPr>
            <w:tcW w:w="1080" w:type="pct"/>
          </w:tcPr>
          <w:p w14:paraId="7219A0DB" w14:textId="77777777" w:rsidR="00736A2E" w:rsidRPr="003D5D1B" w:rsidDel="00DF3C43" w:rsidRDefault="00736A2E" w:rsidP="00736A2E">
            <w:pPr>
              <w:spacing w:after="0" w:line="240" w:lineRule="auto"/>
              <w:rPr>
                <w:b/>
              </w:rPr>
            </w:pPr>
            <w:r w:rsidRPr="003D5D1B">
              <w:rPr>
                <w:b/>
              </w:rPr>
              <w:t>Total cost</w:t>
            </w:r>
          </w:p>
        </w:tc>
        <w:tc>
          <w:tcPr>
            <w:tcW w:w="799" w:type="pct"/>
          </w:tcPr>
          <w:p w14:paraId="5C3CE1E0" w14:textId="77777777" w:rsidR="00736A2E" w:rsidRPr="003D5D1B" w:rsidRDefault="00736A2E" w:rsidP="00736A2E">
            <w:pPr>
              <w:spacing w:after="0" w:line="240" w:lineRule="auto"/>
            </w:pPr>
          </w:p>
        </w:tc>
        <w:tc>
          <w:tcPr>
            <w:tcW w:w="745" w:type="pct"/>
          </w:tcPr>
          <w:p w14:paraId="26B23301" w14:textId="77777777" w:rsidR="00736A2E" w:rsidRPr="003D5D1B" w:rsidDel="00DF3C43" w:rsidRDefault="00736A2E" w:rsidP="00736A2E">
            <w:pPr>
              <w:spacing w:after="0" w:line="240" w:lineRule="auto"/>
            </w:pPr>
          </w:p>
        </w:tc>
        <w:tc>
          <w:tcPr>
            <w:tcW w:w="433" w:type="pct"/>
          </w:tcPr>
          <w:p w14:paraId="1D5B8508" w14:textId="77777777" w:rsidR="00736A2E" w:rsidRPr="003D5D1B" w:rsidRDefault="00736A2E" w:rsidP="00736A2E">
            <w:pPr>
              <w:spacing w:after="0" w:line="240" w:lineRule="auto"/>
            </w:pPr>
          </w:p>
        </w:tc>
        <w:tc>
          <w:tcPr>
            <w:tcW w:w="608" w:type="pct"/>
          </w:tcPr>
          <w:p w14:paraId="5B0B4B50" w14:textId="77777777" w:rsidR="00736A2E" w:rsidRPr="003D5D1B" w:rsidRDefault="00736A2E" w:rsidP="00736A2E">
            <w:pPr>
              <w:spacing w:after="0" w:line="240" w:lineRule="auto"/>
            </w:pPr>
          </w:p>
        </w:tc>
        <w:tc>
          <w:tcPr>
            <w:tcW w:w="788" w:type="pct"/>
          </w:tcPr>
          <w:p w14:paraId="5B5519DF" w14:textId="77777777" w:rsidR="00736A2E" w:rsidRPr="003D5D1B" w:rsidRDefault="00736A2E" w:rsidP="00736A2E">
            <w:pPr>
              <w:spacing w:after="0" w:line="240" w:lineRule="auto"/>
              <w:rPr>
                <w:b/>
              </w:rPr>
            </w:pPr>
            <w:r w:rsidRPr="003D5D1B">
              <w:rPr>
                <w:b/>
              </w:rPr>
              <w:t>$9.</w:t>
            </w:r>
            <w:r>
              <w:rPr>
                <w:b/>
              </w:rPr>
              <w:t>6</w:t>
            </w:r>
            <w:r w:rsidRPr="003D5D1B">
              <w:rPr>
                <w:b/>
              </w:rPr>
              <w:t xml:space="preserve"> million</w:t>
            </w:r>
          </w:p>
        </w:tc>
        <w:tc>
          <w:tcPr>
            <w:tcW w:w="545" w:type="pct"/>
          </w:tcPr>
          <w:p w14:paraId="71368FC8" w14:textId="7FA566D4" w:rsidR="002E7597" w:rsidRDefault="002E7597" w:rsidP="00736A2E">
            <w:pPr>
              <w:spacing w:after="0" w:line="240" w:lineRule="auto"/>
              <w:rPr>
                <w:b/>
              </w:rPr>
            </w:pPr>
            <w:r>
              <w:rPr>
                <w:b/>
              </w:rPr>
              <w:t>$7.7 million</w:t>
            </w:r>
          </w:p>
        </w:tc>
      </w:tr>
    </w:tbl>
    <w:p w14:paraId="0BBB3674" w14:textId="77777777" w:rsidR="00736A2E" w:rsidRPr="003D5D1B" w:rsidRDefault="00736A2E" w:rsidP="00736A2E"/>
    <w:p w14:paraId="2824BC03" w14:textId="77777777" w:rsidR="00736A2E" w:rsidRPr="00717904" w:rsidRDefault="00736A2E" w:rsidP="00717904">
      <w:pPr>
        <w:rPr>
          <w:b/>
        </w:rPr>
      </w:pPr>
      <w:r w:rsidRPr="00717904">
        <w:rPr>
          <w:b/>
        </w:rPr>
        <w:t>Prohibition notices</w:t>
      </w:r>
    </w:p>
    <w:p w14:paraId="671DFD84" w14:textId="6C2B2FC1" w:rsidR="00E74868" w:rsidRDefault="00736A2E" w:rsidP="00612EA8">
      <w:r w:rsidRPr="003D5D1B">
        <w:t xml:space="preserve">The PHWA </w:t>
      </w:r>
      <w:r>
        <w:t>provides that</w:t>
      </w:r>
      <w:r w:rsidRPr="003D5D1B">
        <w:t xml:space="preserve"> Councils may issue improvement notices or prohibition notices should Councils find that proprietors have contravened a provision within the </w:t>
      </w:r>
      <w:r>
        <w:t>PHWA</w:t>
      </w:r>
      <w:r w:rsidRPr="003D5D1B">
        <w:t xml:space="preserve"> or the Regulations. </w:t>
      </w:r>
      <w:r w:rsidRPr="003D5D1B">
        <w:lastRenderedPageBreak/>
        <w:t xml:space="preserve">Based on a 2018 survey, Deloitte estimates that 165 prohibition notices </w:t>
      </w:r>
      <w:r>
        <w:t xml:space="preserve">will be </w:t>
      </w:r>
      <w:r w:rsidRPr="003D5D1B">
        <w:t>issued in 2021, or 1,828 over 10 years. Assuming it takes 15</w:t>
      </w:r>
      <w:r w:rsidRPr="00BC3000">
        <w:t xml:space="preserve"> hours (i.e. </w:t>
      </w:r>
      <w:r w:rsidRPr="003D5D1B">
        <w:t>2</w:t>
      </w:r>
      <w:r w:rsidRPr="00BC3000">
        <w:t xml:space="preserve"> </w:t>
      </w:r>
      <w:r w:rsidRPr="003D5D1B">
        <w:t>working days) for Councils to investigate and issue these notices, at a wage rate of $85.53</w:t>
      </w:r>
      <w:r w:rsidRPr="00BC3000">
        <w:t xml:space="preserve"> per hour</w:t>
      </w:r>
      <w:r w:rsidR="006A6E08">
        <w:t>,</w:t>
      </w:r>
      <w:r w:rsidRPr="003D5D1B" w:rsidDel="00CD0966">
        <w:t xml:space="preserve"> </w:t>
      </w:r>
      <w:r w:rsidRPr="003D5D1B">
        <w:t>the cost of issuing prohibition notices is estimated at about $2.3</w:t>
      </w:r>
      <w:r w:rsidRPr="00BC3000">
        <w:t xml:space="preserve"> million over </w:t>
      </w:r>
      <w:r w:rsidRPr="003D5D1B">
        <w:t>10 years</w:t>
      </w:r>
      <w:r w:rsidR="002E7597">
        <w:t xml:space="preserve"> (or $</w:t>
      </w:r>
      <w:r w:rsidR="00021A5A">
        <w:t>1.9</w:t>
      </w:r>
      <w:r w:rsidR="002E7597">
        <w:t xml:space="preserve"> million in NPV)</w:t>
      </w:r>
      <w:r w:rsidRPr="003D5D1B">
        <w:t>.</w:t>
      </w:r>
      <w:r w:rsidRPr="00BC3000">
        <w:rPr>
          <w:rStyle w:val="FootnoteReference"/>
        </w:rPr>
        <w:footnoteReference w:id="98"/>
      </w:r>
      <w:r w:rsidRPr="00BC3000">
        <w:t xml:space="preserve"> </w:t>
      </w:r>
      <w:r w:rsidRPr="003D5D1B">
        <w:t xml:space="preserve">However this estimate is quite uncertain given the uncertainty around the number of notices across all </w:t>
      </w:r>
      <w:r w:rsidR="006A6E08">
        <w:t>C</w:t>
      </w:r>
      <w:r w:rsidRPr="003D5D1B">
        <w:t xml:space="preserve">ouncils and the time involved in investigating and issuing prohibition notices. </w:t>
      </w:r>
    </w:p>
    <w:p w14:paraId="4AF18DAF" w14:textId="457E80A5" w:rsidR="00736A2E" w:rsidRPr="003D5D1B" w:rsidRDefault="00736A2E" w:rsidP="00736A2E">
      <w:pPr>
        <w:pStyle w:val="Caption"/>
      </w:pPr>
      <w:r w:rsidRPr="003D5D1B">
        <w:t xml:space="preserve">Table </w:t>
      </w:r>
      <w:r w:rsidR="004335F8">
        <w:fldChar w:fldCharType="begin"/>
      </w:r>
      <w:r w:rsidR="004335F8">
        <w:instrText xml:space="preserve"> STYLEREF 1 \s </w:instrText>
      </w:r>
      <w:r w:rsidR="004335F8">
        <w:fldChar w:fldCharType="separate"/>
      </w:r>
      <w:r w:rsidR="00795309">
        <w:rPr>
          <w:noProof/>
        </w:rPr>
        <w:t>4</w:t>
      </w:r>
      <w:r w:rsidR="004335F8">
        <w:fldChar w:fldCharType="end"/>
      </w:r>
      <w:r w:rsidR="004335F8">
        <w:noBreakHyphen/>
      </w:r>
      <w:r w:rsidR="004335F8">
        <w:fldChar w:fldCharType="begin"/>
      </w:r>
      <w:r w:rsidR="004335F8">
        <w:instrText xml:space="preserve"> SEQ Table \* ARABIC \s 1 </w:instrText>
      </w:r>
      <w:r w:rsidR="004335F8">
        <w:fldChar w:fldCharType="separate"/>
      </w:r>
      <w:r w:rsidR="00795309">
        <w:rPr>
          <w:noProof/>
        </w:rPr>
        <w:t>14</w:t>
      </w:r>
      <w:r w:rsidR="004335F8">
        <w:fldChar w:fldCharType="end"/>
      </w:r>
      <w:r w:rsidRPr="00BC3000">
        <w:t xml:space="preserve"> Cost of prohibition notices</w:t>
      </w:r>
    </w:p>
    <w:tbl>
      <w:tblPr>
        <w:tblStyle w:val="Deloittetable"/>
        <w:tblW w:w="0" w:type="auto"/>
        <w:tblLook w:val="04A0" w:firstRow="1" w:lastRow="0" w:firstColumn="1" w:lastColumn="0" w:noHBand="0" w:noVBand="1"/>
      </w:tblPr>
      <w:tblGrid>
        <w:gridCol w:w="2607"/>
        <w:gridCol w:w="1657"/>
        <w:gridCol w:w="1573"/>
        <w:gridCol w:w="1831"/>
        <w:gridCol w:w="1358"/>
      </w:tblGrid>
      <w:tr w:rsidR="00736A2E" w:rsidRPr="003D5D1B" w14:paraId="6C3C52C1" w14:textId="3E2EBC94" w:rsidTr="00612EA8">
        <w:trPr>
          <w:cnfStyle w:val="100000000000" w:firstRow="1" w:lastRow="0" w:firstColumn="0" w:lastColumn="0" w:oddVBand="0" w:evenVBand="0" w:oddHBand="0" w:evenHBand="0" w:firstRowFirstColumn="0" w:firstRowLastColumn="0" w:lastRowFirstColumn="0" w:lastRowLastColumn="0"/>
          <w:trHeight w:val="535"/>
        </w:trPr>
        <w:tc>
          <w:tcPr>
            <w:tcW w:w="2606" w:type="dxa"/>
          </w:tcPr>
          <w:p w14:paraId="2FD54466" w14:textId="77777777" w:rsidR="00736A2E" w:rsidRPr="003D5D1B" w:rsidRDefault="00736A2E" w:rsidP="001419A0">
            <w:pPr>
              <w:ind w:right="617"/>
              <w:rPr>
                <w:b/>
              </w:rPr>
            </w:pPr>
            <w:r w:rsidRPr="003D5D1B">
              <w:rPr>
                <w:b/>
              </w:rPr>
              <w:t>Number of prohibition notices 2021-2030</w:t>
            </w:r>
          </w:p>
        </w:tc>
        <w:tc>
          <w:tcPr>
            <w:tcW w:w="0" w:type="auto"/>
          </w:tcPr>
          <w:p w14:paraId="23ADBE05" w14:textId="77777777" w:rsidR="00736A2E" w:rsidRPr="003D5D1B" w:rsidRDefault="00736A2E" w:rsidP="001419A0">
            <w:pPr>
              <w:ind w:right="621"/>
              <w:rPr>
                <w:b/>
              </w:rPr>
            </w:pPr>
            <w:r w:rsidRPr="003D5D1B">
              <w:rPr>
                <w:b/>
              </w:rPr>
              <w:t xml:space="preserve">Hours to prepare </w:t>
            </w:r>
          </w:p>
        </w:tc>
        <w:tc>
          <w:tcPr>
            <w:tcW w:w="0" w:type="auto"/>
          </w:tcPr>
          <w:p w14:paraId="5B5F8BCC" w14:textId="77777777" w:rsidR="00736A2E" w:rsidRPr="003D5D1B" w:rsidRDefault="00736A2E" w:rsidP="001419A0">
            <w:pPr>
              <w:ind w:right="193"/>
              <w:rPr>
                <w:b/>
              </w:rPr>
            </w:pPr>
            <w:r w:rsidRPr="003D5D1B">
              <w:rPr>
                <w:b/>
              </w:rPr>
              <w:t>Cost of time (incl. loading)</w:t>
            </w:r>
          </w:p>
        </w:tc>
        <w:tc>
          <w:tcPr>
            <w:tcW w:w="0" w:type="auto"/>
          </w:tcPr>
          <w:p w14:paraId="7B8303F9" w14:textId="456FC2AB" w:rsidR="00736A2E" w:rsidRPr="003D5D1B" w:rsidRDefault="002E7597" w:rsidP="001419A0">
            <w:pPr>
              <w:ind w:right="857"/>
              <w:rPr>
                <w:b/>
              </w:rPr>
            </w:pPr>
            <w:r w:rsidRPr="003D5D1B">
              <w:rPr>
                <w:b/>
              </w:rPr>
              <w:t>Total cost</w:t>
            </w:r>
            <w:r w:rsidR="00022EBA">
              <w:rPr>
                <w:b/>
              </w:rPr>
              <w:t xml:space="preserve"> </w:t>
            </w:r>
            <w:r>
              <w:rPr>
                <w:b/>
              </w:rPr>
              <w:t xml:space="preserve">2021-30 </w:t>
            </w:r>
          </w:p>
        </w:tc>
        <w:tc>
          <w:tcPr>
            <w:tcW w:w="0" w:type="auto"/>
          </w:tcPr>
          <w:p w14:paraId="02B1571C" w14:textId="2B0E940A" w:rsidR="002E7597" w:rsidRPr="003D5D1B" w:rsidRDefault="002E7597">
            <w:pPr>
              <w:rPr>
                <w:b/>
              </w:rPr>
            </w:pPr>
            <w:r w:rsidRPr="003D5D1B">
              <w:rPr>
                <w:b/>
              </w:rPr>
              <w:t>Total cost</w:t>
            </w:r>
            <w:r>
              <w:rPr>
                <w:b/>
              </w:rPr>
              <w:t xml:space="preserve">      2021-2030 NPV</w:t>
            </w:r>
          </w:p>
        </w:tc>
      </w:tr>
      <w:tr w:rsidR="00736A2E" w:rsidRPr="003D5D1B" w14:paraId="671F6DC4" w14:textId="250C7B40" w:rsidTr="00612EA8">
        <w:trPr>
          <w:trHeight w:val="168"/>
        </w:trPr>
        <w:tc>
          <w:tcPr>
            <w:tcW w:w="2606" w:type="dxa"/>
          </w:tcPr>
          <w:p w14:paraId="613F9426" w14:textId="77777777" w:rsidR="00736A2E" w:rsidRPr="003D5D1B" w:rsidRDefault="00736A2E" w:rsidP="001419A0">
            <w:pPr>
              <w:pStyle w:val="ListBullet"/>
              <w:numPr>
                <w:ilvl w:val="0"/>
                <w:numId w:val="0"/>
              </w:numPr>
              <w:spacing w:after="0" w:line="240" w:lineRule="auto"/>
              <w:ind w:right="617"/>
            </w:pPr>
            <w:r w:rsidRPr="003D5D1B">
              <w:t>1,828</w:t>
            </w:r>
          </w:p>
        </w:tc>
        <w:tc>
          <w:tcPr>
            <w:tcW w:w="0" w:type="auto"/>
          </w:tcPr>
          <w:p w14:paraId="5F234E25" w14:textId="77777777" w:rsidR="00736A2E" w:rsidRPr="003D5D1B" w:rsidRDefault="00736A2E" w:rsidP="001419A0">
            <w:pPr>
              <w:spacing w:after="0" w:line="240" w:lineRule="auto"/>
              <w:ind w:right="621"/>
            </w:pPr>
            <w:r w:rsidRPr="003D5D1B">
              <w:t>15 hours</w:t>
            </w:r>
          </w:p>
        </w:tc>
        <w:tc>
          <w:tcPr>
            <w:tcW w:w="0" w:type="auto"/>
          </w:tcPr>
          <w:p w14:paraId="6879C133" w14:textId="77777777" w:rsidR="00736A2E" w:rsidRPr="003D5D1B" w:rsidRDefault="00736A2E" w:rsidP="001419A0">
            <w:pPr>
              <w:spacing w:after="0" w:line="240" w:lineRule="auto"/>
              <w:ind w:right="193"/>
            </w:pPr>
            <w:r w:rsidRPr="003D5D1B">
              <w:t>$85.53</w:t>
            </w:r>
          </w:p>
        </w:tc>
        <w:tc>
          <w:tcPr>
            <w:tcW w:w="0" w:type="auto"/>
          </w:tcPr>
          <w:p w14:paraId="21F5A09D" w14:textId="77777777" w:rsidR="00736A2E" w:rsidRPr="003D5D1B" w:rsidRDefault="00736A2E" w:rsidP="001419A0">
            <w:pPr>
              <w:spacing w:after="0" w:line="240" w:lineRule="auto"/>
              <w:ind w:right="601"/>
            </w:pPr>
            <w:r w:rsidRPr="003D5D1B">
              <w:rPr>
                <w:b/>
              </w:rPr>
              <w:t>$2.3 million</w:t>
            </w:r>
            <w:r w:rsidRPr="003D5D1B" w:rsidDel="00802690">
              <w:t xml:space="preserve"> </w:t>
            </w:r>
          </w:p>
        </w:tc>
        <w:tc>
          <w:tcPr>
            <w:tcW w:w="0" w:type="auto"/>
          </w:tcPr>
          <w:p w14:paraId="6C3C75A9" w14:textId="5ACC3715" w:rsidR="00021A5A" w:rsidRDefault="00021A5A" w:rsidP="00736A2E">
            <w:pPr>
              <w:spacing w:after="0" w:line="240" w:lineRule="auto"/>
              <w:rPr>
                <w:b/>
              </w:rPr>
            </w:pPr>
            <w:r>
              <w:rPr>
                <w:b/>
              </w:rPr>
              <w:t>$1.9 million</w:t>
            </w:r>
          </w:p>
        </w:tc>
      </w:tr>
    </w:tbl>
    <w:p w14:paraId="3BC2E407" w14:textId="77777777" w:rsidR="00736A2E" w:rsidRPr="003D5D1B" w:rsidRDefault="00736A2E" w:rsidP="00736A2E"/>
    <w:p w14:paraId="3EB2A2A1" w14:textId="77777777" w:rsidR="00736A2E" w:rsidRPr="00717904" w:rsidRDefault="00736A2E" w:rsidP="00717904">
      <w:pPr>
        <w:rPr>
          <w:b/>
        </w:rPr>
      </w:pPr>
      <w:r w:rsidRPr="00717904">
        <w:rPr>
          <w:b/>
        </w:rPr>
        <w:t xml:space="preserve">Prosecutions </w:t>
      </w:r>
    </w:p>
    <w:p w14:paraId="6615DC45" w14:textId="4641FF6E" w:rsidR="00736A2E" w:rsidRPr="003D5D1B" w:rsidRDefault="00736A2E" w:rsidP="00736A2E">
      <w:r w:rsidRPr="003D5D1B">
        <w:t>In the event that a prescribed accommodation facility fails to comply with a prohibition notice issued by a Council, the PHWA gives the Council the power to pursue a prosecution against the proprietor of the accommodation. Prosecutions under Option 1 consume additional Council resources relative to the Base Case. Based on a 2018 survey</w:t>
      </w:r>
      <w:r>
        <w:t xml:space="preserve"> of Environmental Health Officers</w:t>
      </w:r>
      <w:r w:rsidRPr="003D5D1B">
        <w:t xml:space="preserve">, Deloitte estimates that </w:t>
      </w:r>
      <w:r>
        <w:t xml:space="preserve">there will be </w:t>
      </w:r>
      <w:r w:rsidRPr="003D5D1B">
        <w:t>7</w:t>
      </w:r>
      <w:r w:rsidRPr="00BC3000">
        <w:t xml:space="preserve"> prosecutions in 2021 and a total of </w:t>
      </w:r>
      <w:r w:rsidRPr="003D5D1B">
        <w:t>77</w:t>
      </w:r>
      <w:r w:rsidRPr="00BC3000">
        <w:t xml:space="preserve"> over the life of the Regulatio</w:t>
      </w:r>
      <w:r w:rsidRPr="003D5D1B">
        <w:t>ns. Assuming that 10</w:t>
      </w:r>
      <w:r w:rsidRPr="00BC3000">
        <w:t xml:space="preserve"> days</w:t>
      </w:r>
      <w:r w:rsidRPr="003D5D1B">
        <w:t xml:space="preserve"> of Council resources are consumed to pursue a prosecution (i.e. 75</w:t>
      </w:r>
      <w:r w:rsidRPr="00BC3000">
        <w:t xml:space="preserve"> working hours), </w:t>
      </w:r>
      <w:r w:rsidRPr="003D5D1B">
        <w:t>using Band 8 Council workers ($103.75</w:t>
      </w:r>
      <w:r w:rsidRPr="00BC3000">
        <w:t xml:space="preserve"> per hour)</w:t>
      </w:r>
      <w:r w:rsidR="006A6E08">
        <w:t>,</w:t>
      </w:r>
      <w:r w:rsidRPr="00BC3000">
        <w:t xml:space="preserve"> </w:t>
      </w:r>
      <w:r w:rsidR="006A6E08">
        <w:t>it is estimated that prosecutions</w:t>
      </w:r>
      <w:r w:rsidR="006A6E08" w:rsidRPr="003D5D1B">
        <w:t xml:space="preserve"> </w:t>
      </w:r>
      <w:r w:rsidRPr="003D5D1B">
        <w:t xml:space="preserve">costs Councils </w:t>
      </w:r>
      <w:r w:rsidR="006A6E08">
        <w:t>around</w:t>
      </w:r>
      <w:r w:rsidRPr="003D5D1B">
        <w:t xml:space="preserve"> $0.6 million</w:t>
      </w:r>
      <w:r w:rsidRPr="00BC3000">
        <w:t xml:space="preserve"> ov</w:t>
      </w:r>
      <w:r w:rsidRPr="003D5D1B">
        <w:t>er the life of the Regulations</w:t>
      </w:r>
      <w:r w:rsidR="00021A5A">
        <w:t xml:space="preserve"> (or $0.5 million in NPV)</w:t>
      </w:r>
      <w:r w:rsidRPr="003D5D1B">
        <w:t>.</w:t>
      </w:r>
    </w:p>
    <w:p w14:paraId="6FB01E7A" w14:textId="48B9ADE1" w:rsidR="00736A2E" w:rsidRPr="003D5D1B" w:rsidRDefault="00736A2E" w:rsidP="00736A2E">
      <w:pPr>
        <w:pStyle w:val="Caption"/>
      </w:pPr>
      <w:r w:rsidRPr="003D5D1B">
        <w:t xml:space="preserve">Table </w:t>
      </w:r>
      <w:r w:rsidR="004335F8">
        <w:fldChar w:fldCharType="begin"/>
      </w:r>
      <w:r w:rsidR="004335F8">
        <w:instrText xml:space="preserve"> STYLEREF 1 \s </w:instrText>
      </w:r>
      <w:r w:rsidR="004335F8">
        <w:fldChar w:fldCharType="separate"/>
      </w:r>
      <w:r w:rsidR="00795309">
        <w:rPr>
          <w:noProof/>
        </w:rPr>
        <w:t>4</w:t>
      </w:r>
      <w:r w:rsidR="004335F8">
        <w:fldChar w:fldCharType="end"/>
      </w:r>
      <w:r w:rsidR="004335F8">
        <w:noBreakHyphen/>
      </w:r>
      <w:r w:rsidR="004335F8">
        <w:fldChar w:fldCharType="begin"/>
      </w:r>
      <w:r w:rsidR="004335F8">
        <w:instrText xml:space="preserve"> SEQ Table \* ARABIC \s 1 </w:instrText>
      </w:r>
      <w:r w:rsidR="004335F8">
        <w:fldChar w:fldCharType="separate"/>
      </w:r>
      <w:r w:rsidR="00795309">
        <w:rPr>
          <w:noProof/>
        </w:rPr>
        <w:t>15</w:t>
      </w:r>
      <w:r w:rsidR="004335F8">
        <w:fldChar w:fldCharType="end"/>
      </w:r>
      <w:r w:rsidRPr="00BC3000">
        <w:t xml:space="preserve"> Cost of prosecutions</w:t>
      </w:r>
    </w:p>
    <w:tbl>
      <w:tblPr>
        <w:tblStyle w:val="Deloittetable"/>
        <w:tblW w:w="0" w:type="auto"/>
        <w:tblLook w:val="04A0" w:firstRow="1" w:lastRow="0" w:firstColumn="1" w:lastColumn="0" w:noHBand="0" w:noVBand="1"/>
      </w:tblPr>
      <w:tblGrid>
        <w:gridCol w:w="2467"/>
        <w:gridCol w:w="1375"/>
        <w:gridCol w:w="1913"/>
        <w:gridCol w:w="1776"/>
        <w:gridCol w:w="1495"/>
      </w:tblGrid>
      <w:tr w:rsidR="00736A2E" w:rsidRPr="003D5D1B" w14:paraId="1A00E507" w14:textId="001F9035" w:rsidTr="001419A0">
        <w:trPr>
          <w:cnfStyle w:val="100000000000" w:firstRow="1" w:lastRow="0" w:firstColumn="0" w:lastColumn="0" w:oddVBand="0" w:evenVBand="0" w:oddHBand="0" w:evenHBand="0" w:firstRowFirstColumn="0" w:firstRowLastColumn="0" w:lastRowFirstColumn="0" w:lastRowLastColumn="0"/>
          <w:trHeight w:val="542"/>
        </w:trPr>
        <w:tc>
          <w:tcPr>
            <w:tcW w:w="0" w:type="auto"/>
          </w:tcPr>
          <w:p w14:paraId="528E1F3D" w14:textId="77777777" w:rsidR="00736A2E" w:rsidRPr="003D5D1B" w:rsidRDefault="00736A2E" w:rsidP="00736A2E">
            <w:pPr>
              <w:rPr>
                <w:b/>
              </w:rPr>
            </w:pPr>
            <w:r w:rsidRPr="003D5D1B">
              <w:rPr>
                <w:b/>
              </w:rPr>
              <w:t>Number of prosecutions       2021-2030</w:t>
            </w:r>
          </w:p>
        </w:tc>
        <w:tc>
          <w:tcPr>
            <w:tcW w:w="0" w:type="auto"/>
          </w:tcPr>
          <w:p w14:paraId="315136CF" w14:textId="77777777" w:rsidR="00736A2E" w:rsidRPr="003D5D1B" w:rsidRDefault="00736A2E" w:rsidP="001419A0">
            <w:pPr>
              <w:ind w:right="199"/>
              <w:rPr>
                <w:b/>
              </w:rPr>
            </w:pPr>
            <w:r w:rsidRPr="003D5D1B">
              <w:rPr>
                <w:b/>
              </w:rPr>
              <w:t xml:space="preserve">Hours to prepare </w:t>
            </w:r>
          </w:p>
        </w:tc>
        <w:tc>
          <w:tcPr>
            <w:tcW w:w="0" w:type="auto"/>
          </w:tcPr>
          <w:p w14:paraId="13B08043" w14:textId="77777777" w:rsidR="00736A2E" w:rsidRPr="003D5D1B" w:rsidRDefault="00736A2E" w:rsidP="001419A0">
            <w:pPr>
              <w:ind w:right="253"/>
              <w:rPr>
                <w:b/>
              </w:rPr>
            </w:pPr>
            <w:r w:rsidRPr="003D5D1B">
              <w:rPr>
                <w:b/>
              </w:rPr>
              <w:t>Cost of time (incl. loading)</w:t>
            </w:r>
          </w:p>
        </w:tc>
        <w:tc>
          <w:tcPr>
            <w:tcW w:w="0" w:type="auto"/>
          </w:tcPr>
          <w:p w14:paraId="753554BE" w14:textId="75233EA1" w:rsidR="00736A2E" w:rsidRPr="003D5D1B" w:rsidRDefault="00021A5A" w:rsidP="001419A0">
            <w:pPr>
              <w:ind w:right="562"/>
              <w:rPr>
                <w:b/>
              </w:rPr>
            </w:pPr>
            <w:r w:rsidRPr="003D5D1B">
              <w:rPr>
                <w:b/>
              </w:rPr>
              <w:t>Total cost</w:t>
            </w:r>
            <w:r>
              <w:rPr>
                <w:b/>
              </w:rPr>
              <w:t xml:space="preserve"> 2021-30 </w:t>
            </w:r>
          </w:p>
        </w:tc>
        <w:tc>
          <w:tcPr>
            <w:tcW w:w="0" w:type="auto"/>
          </w:tcPr>
          <w:p w14:paraId="5E342B0B" w14:textId="6426954E" w:rsidR="00021A5A" w:rsidRPr="003D5D1B" w:rsidRDefault="00021A5A">
            <w:pPr>
              <w:rPr>
                <w:b/>
              </w:rPr>
            </w:pPr>
            <w:r w:rsidRPr="003D5D1B">
              <w:rPr>
                <w:b/>
              </w:rPr>
              <w:t>Total cost</w:t>
            </w:r>
            <w:r>
              <w:rPr>
                <w:b/>
              </w:rPr>
              <w:t xml:space="preserve"> 2021-30</w:t>
            </w:r>
            <w:r w:rsidR="00022EBA">
              <w:rPr>
                <w:b/>
              </w:rPr>
              <w:t xml:space="preserve">  </w:t>
            </w:r>
            <w:r>
              <w:rPr>
                <w:b/>
              </w:rPr>
              <w:t xml:space="preserve"> NPV</w:t>
            </w:r>
          </w:p>
        </w:tc>
      </w:tr>
      <w:tr w:rsidR="00736A2E" w:rsidRPr="003D5D1B" w14:paraId="28A290EC" w14:textId="60B3F3C9" w:rsidTr="001419A0">
        <w:trPr>
          <w:trHeight w:val="168"/>
        </w:trPr>
        <w:tc>
          <w:tcPr>
            <w:tcW w:w="0" w:type="auto"/>
          </w:tcPr>
          <w:p w14:paraId="2F5EF584" w14:textId="77777777" w:rsidR="00736A2E" w:rsidRPr="003D5D1B" w:rsidRDefault="00736A2E" w:rsidP="00736A2E">
            <w:pPr>
              <w:pStyle w:val="ListBullet"/>
              <w:numPr>
                <w:ilvl w:val="0"/>
                <w:numId w:val="0"/>
              </w:numPr>
              <w:spacing w:after="0" w:line="240" w:lineRule="auto"/>
            </w:pPr>
            <w:r w:rsidRPr="003D5D1B">
              <w:t>77</w:t>
            </w:r>
          </w:p>
        </w:tc>
        <w:tc>
          <w:tcPr>
            <w:tcW w:w="0" w:type="auto"/>
          </w:tcPr>
          <w:p w14:paraId="68FD96BA" w14:textId="77777777" w:rsidR="00736A2E" w:rsidRPr="003D5D1B" w:rsidRDefault="00736A2E" w:rsidP="001419A0">
            <w:pPr>
              <w:spacing w:after="0" w:line="240" w:lineRule="auto"/>
              <w:ind w:right="199"/>
            </w:pPr>
            <w:r w:rsidRPr="003D5D1B">
              <w:t>75 hours</w:t>
            </w:r>
          </w:p>
        </w:tc>
        <w:tc>
          <w:tcPr>
            <w:tcW w:w="0" w:type="auto"/>
          </w:tcPr>
          <w:p w14:paraId="638C4C3D" w14:textId="77777777" w:rsidR="00736A2E" w:rsidRPr="003D5D1B" w:rsidRDefault="00736A2E" w:rsidP="001419A0">
            <w:pPr>
              <w:spacing w:after="0" w:line="240" w:lineRule="auto"/>
              <w:ind w:right="253"/>
            </w:pPr>
            <w:r w:rsidRPr="003D5D1B">
              <w:t>$103.75</w:t>
            </w:r>
          </w:p>
        </w:tc>
        <w:tc>
          <w:tcPr>
            <w:tcW w:w="0" w:type="auto"/>
          </w:tcPr>
          <w:p w14:paraId="1855A4DE" w14:textId="77777777" w:rsidR="00736A2E" w:rsidRPr="003D5D1B" w:rsidRDefault="00736A2E" w:rsidP="001419A0">
            <w:pPr>
              <w:spacing w:after="0" w:line="240" w:lineRule="auto"/>
              <w:ind w:right="562"/>
              <w:rPr>
                <w:b/>
              </w:rPr>
            </w:pPr>
            <w:r w:rsidRPr="003D5D1B">
              <w:rPr>
                <w:b/>
              </w:rPr>
              <w:t>$0.6 million</w:t>
            </w:r>
          </w:p>
        </w:tc>
        <w:tc>
          <w:tcPr>
            <w:tcW w:w="0" w:type="auto"/>
          </w:tcPr>
          <w:p w14:paraId="72458EB8" w14:textId="2950F5C4" w:rsidR="00021A5A" w:rsidRDefault="00021A5A" w:rsidP="00021A5A">
            <w:pPr>
              <w:spacing w:after="0" w:line="240" w:lineRule="auto"/>
              <w:rPr>
                <w:b/>
              </w:rPr>
            </w:pPr>
            <w:r>
              <w:rPr>
                <w:b/>
              </w:rPr>
              <w:t>$0.5</w:t>
            </w:r>
            <w:r w:rsidRPr="003D5D1B">
              <w:rPr>
                <w:b/>
              </w:rPr>
              <w:t xml:space="preserve"> million</w:t>
            </w:r>
          </w:p>
        </w:tc>
      </w:tr>
    </w:tbl>
    <w:p w14:paraId="181A29F7" w14:textId="16D9C120" w:rsidR="00E9511E" w:rsidRPr="00B330F0" w:rsidRDefault="00736A2E">
      <w:r w:rsidRPr="00A171B9" w:rsidDel="00736A2E">
        <w:t xml:space="preserve"> </w:t>
      </w:r>
    </w:p>
    <w:p w14:paraId="2B9015CB" w14:textId="2833092D" w:rsidR="00FB48D2" w:rsidRPr="00B330F0" w:rsidRDefault="00B975D5" w:rsidP="00FB48D2">
      <w:pPr>
        <w:pStyle w:val="Heading4"/>
      </w:pPr>
      <w:r w:rsidRPr="00B330F0">
        <w:t xml:space="preserve"> </w:t>
      </w:r>
      <w:r w:rsidR="00FB48D2" w:rsidRPr="00B330F0">
        <w:t xml:space="preserve">Summary of costs to businesses </w:t>
      </w:r>
    </w:p>
    <w:p w14:paraId="51A0D19B" w14:textId="52129BFC" w:rsidR="00FB48D2" w:rsidRPr="00B330F0" w:rsidRDefault="00FB48D2" w:rsidP="00FB48D2">
      <w:r w:rsidRPr="00B330F0">
        <w:t>Overall, major compliance costs for businesses are the cost of registration ($</w:t>
      </w:r>
      <w:r w:rsidR="00372CEF" w:rsidRPr="00B330F0">
        <w:t>3.</w:t>
      </w:r>
      <w:r w:rsidR="003959A7">
        <w:t>0</w:t>
      </w:r>
      <w:r w:rsidR="003959A7" w:rsidRPr="00B330F0">
        <w:t xml:space="preserve"> </w:t>
      </w:r>
      <w:r w:rsidRPr="00B330F0">
        <w:t xml:space="preserve">million), </w:t>
      </w:r>
      <w:r w:rsidR="008E789B">
        <w:t>proprietor’s</w:t>
      </w:r>
      <w:r w:rsidR="00021A5A">
        <w:t xml:space="preserve"> attendance at inspections ($</w:t>
      </w:r>
      <w:r w:rsidR="003959A7">
        <w:t>3.7</w:t>
      </w:r>
      <w:r w:rsidR="00021A5A">
        <w:t xml:space="preserve"> </w:t>
      </w:r>
      <w:r w:rsidRPr="00B330F0">
        <w:t>million), the cost of maintaining an occupant register ($</w:t>
      </w:r>
      <w:r w:rsidR="003959A7">
        <w:t>3.3</w:t>
      </w:r>
      <w:r w:rsidRPr="00B330F0">
        <w:t xml:space="preserve"> million), the cost of meeting occupancy requirements ($</w:t>
      </w:r>
      <w:r w:rsidR="003959A7">
        <w:t>7.</w:t>
      </w:r>
      <w:r w:rsidR="00840E6A">
        <w:t>5</w:t>
      </w:r>
      <w:r w:rsidRPr="00B330F0">
        <w:t xml:space="preserve"> million)</w:t>
      </w:r>
      <w:r w:rsidR="00B5164A" w:rsidRPr="00B330F0">
        <w:t xml:space="preserve">, </w:t>
      </w:r>
      <w:r w:rsidRPr="00B330F0">
        <w:t>the cost of maintenance ($</w:t>
      </w:r>
      <w:r w:rsidR="003959A7">
        <w:t>32</w:t>
      </w:r>
      <w:r w:rsidRPr="00B330F0">
        <w:t>.</w:t>
      </w:r>
      <w:r w:rsidR="003959A7">
        <w:t>8</w:t>
      </w:r>
      <w:r w:rsidR="003959A7" w:rsidRPr="00B330F0">
        <w:t xml:space="preserve"> </w:t>
      </w:r>
      <w:r w:rsidRPr="00B330F0">
        <w:t>million)</w:t>
      </w:r>
      <w:r w:rsidR="00B5164A" w:rsidRPr="00B330F0">
        <w:t xml:space="preserve"> and the cost of Council fees (</w:t>
      </w:r>
      <w:r w:rsidR="001C1E04" w:rsidRPr="00B330F0">
        <w:t>$</w:t>
      </w:r>
      <w:r w:rsidR="003959A7">
        <w:t>12</w:t>
      </w:r>
      <w:r w:rsidR="008E789B">
        <w:t>.1</w:t>
      </w:r>
      <w:r w:rsidR="003959A7" w:rsidRPr="00B330F0">
        <w:t xml:space="preserve"> </w:t>
      </w:r>
      <w:r w:rsidR="001C1E04" w:rsidRPr="00B330F0">
        <w:t>million</w:t>
      </w:r>
      <w:r w:rsidR="00B5164A" w:rsidRPr="00B330F0">
        <w:t>)</w:t>
      </w:r>
      <w:r w:rsidR="00021A5A">
        <w:t xml:space="preserve"> in NPV terms</w:t>
      </w:r>
      <w:r w:rsidRPr="00B330F0">
        <w:t xml:space="preserve">. The estimated total cost to businesses </w:t>
      </w:r>
      <w:r w:rsidR="00B92216" w:rsidRPr="00B330F0">
        <w:t>is</w:t>
      </w:r>
      <w:r w:rsidRPr="00B330F0">
        <w:t xml:space="preserve"> $</w:t>
      </w:r>
      <w:r w:rsidR="003959A7" w:rsidRPr="003959A7">
        <w:t>62.</w:t>
      </w:r>
      <w:r w:rsidR="005744BA">
        <w:t>4</w:t>
      </w:r>
      <w:r w:rsidRPr="00B330F0">
        <w:t xml:space="preserve"> million </w:t>
      </w:r>
      <w:r w:rsidR="003959A7">
        <w:t>in NPV</w:t>
      </w:r>
      <w:r w:rsidRPr="00B330F0">
        <w:t xml:space="preserve"> or $</w:t>
      </w:r>
      <w:r w:rsidR="003959A7">
        <w:t>9</w:t>
      </w:r>
      <w:r w:rsidRPr="00B330F0">
        <w:t>,</w:t>
      </w:r>
      <w:r w:rsidR="003959A7">
        <w:t>9</w:t>
      </w:r>
      <w:r w:rsidR="005744BA">
        <w:t>26</w:t>
      </w:r>
      <w:r w:rsidR="003959A7" w:rsidRPr="00B330F0">
        <w:t xml:space="preserve"> </w:t>
      </w:r>
      <w:r w:rsidRPr="00B330F0">
        <w:t xml:space="preserve">per business </w:t>
      </w:r>
      <w:r w:rsidR="003959A7">
        <w:t>in NPV</w:t>
      </w:r>
      <w:r w:rsidR="0062349A" w:rsidRPr="00B330F0">
        <w:t xml:space="preserve"> (average cost across businesses)</w:t>
      </w:r>
      <w:r w:rsidRPr="00B330F0">
        <w:t>. This is considered a significant cost and is therefore given a score of -</w:t>
      </w:r>
      <w:r w:rsidR="00093FB8" w:rsidRPr="00F0077F">
        <w:t>7</w:t>
      </w:r>
      <w:r w:rsidRPr="00B330F0">
        <w:t>.</w:t>
      </w:r>
    </w:p>
    <w:p w14:paraId="3A2DDC32" w14:textId="6CF6FD95" w:rsidR="00FB48D2" w:rsidRPr="00B330F0" w:rsidRDefault="00372CEF" w:rsidP="00093FB8">
      <w:r w:rsidRPr="00B330F0">
        <w:t xml:space="preserve">Overall, maintenance costs are the largest cost incurred by businesses accounting for </w:t>
      </w:r>
      <w:r w:rsidR="003959A7" w:rsidRPr="00B330F0">
        <w:t>5</w:t>
      </w:r>
      <w:r w:rsidR="00683C3D">
        <w:t>3</w:t>
      </w:r>
      <w:r w:rsidRPr="00B330F0">
        <w:t>% of total costs followed by Council fees (</w:t>
      </w:r>
      <w:r w:rsidR="003959A7">
        <w:t>19</w:t>
      </w:r>
      <w:r w:rsidRPr="00B330F0">
        <w:t xml:space="preserve">%). </w:t>
      </w:r>
      <w:r w:rsidR="00CC1020" w:rsidRPr="00B330F0">
        <w:t xml:space="preserve">Sensitivity </w:t>
      </w:r>
      <w:r w:rsidR="00BC0BC0" w:rsidRPr="00B330F0">
        <w:t>analysis has</w:t>
      </w:r>
      <w:r w:rsidR="00E92270" w:rsidRPr="00B330F0">
        <w:t xml:space="preserve"> been undertaken for</w:t>
      </w:r>
      <w:r w:rsidRPr="00B330F0">
        <w:t xml:space="preserve"> maintenance costs</w:t>
      </w:r>
      <w:r w:rsidR="00BC0BC0" w:rsidRPr="00B330F0">
        <w:t>,</w:t>
      </w:r>
      <w:r w:rsidR="0002366D" w:rsidRPr="00B330F0">
        <w:t xml:space="preserve"> reflecting the level of uncertainty about these costs and the size of the costs</w:t>
      </w:r>
      <w:r w:rsidR="00E06312" w:rsidRPr="00B330F0">
        <w:t>. F</w:t>
      </w:r>
      <w:r w:rsidR="00BC0BC0" w:rsidRPr="00B330F0">
        <w:t xml:space="preserve">indings </w:t>
      </w:r>
      <w:r w:rsidR="00E06312" w:rsidRPr="00B330F0">
        <w:t xml:space="preserve">are </w:t>
      </w:r>
      <w:r w:rsidR="00BC0BC0" w:rsidRPr="00B330F0">
        <w:t xml:space="preserve">shown in </w:t>
      </w:r>
      <w:r w:rsidRPr="00B330F0">
        <w:t xml:space="preserve">Appendix </w:t>
      </w:r>
      <w:r w:rsidR="004C6A5D" w:rsidRPr="00B330F0">
        <w:t>F</w:t>
      </w:r>
      <w:r w:rsidR="00BC0BC0" w:rsidRPr="00B330F0">
        <w:t xml:space="preserve">. </w:t>
      </w:r>
      <w:r w:rsidR="001C1E04" w:rsidRPr="00B330F0">
        <w:t>A break-down of all costs, except Council fees</w:t>
      </w:r>
      <w:r w:rsidR="006A6E08">
        <w:t>,</w:t>
      </w:r>
      <w:r w:rsidR="001C1E04" w:rsidRPr="00B330F0">
        <w:t xml:space="preserve"> by type of prescribed accommodation is presented Appendix </w:t>
      </w:r>
      <w:r w:rsidR="004C6A5D" w:rsidRPr="00B330F0">
        <w:t>E</w:t>
      </w:r>
      <w:r w:rsidR="001C1E04" w:rsidRPr="00B330F0">
        <w:t>.</w:t>
      </w:r>
    </w:p>
    <w:p w14:paraId="2195FE61" w14:textId="0D5AB830" w:rsidR="00FB48D2" w:rsidRPr="00B330F0" w:rsidRDefault="00FB48D2" w:rsidP="00FB48D2">
      <w:pPr>
        <w:pStyle w:val="Caption"/>
      </w:pPr>
      <w:r w:rsidRPr="00B330F0">
        <w:lastRenderedPageBreak/>
        <w:t xml:space="preserve">Table </w:t>
      </w:r>
      <w:r w:rsidR="004335F8">
        <w:fldChar w:fldCharType="begin"/>
      </w:r>
      <w:r w:rsidR="004335F8">
        <w:instrText xml:space="preserve"> STYLEREF 1 \s </w:instrText>
      </w:r>
      <w:r w:rsidR="004335F8">
        <w:fldChar w:fldCharType="separate"/>
      </w:r>
      <w:r w:rsidR="00795309">
        <w:rPr>
          <w:noProof/>
        </w:rPr>
        <w:t>4</w:t>
      </w:r>
      <w:r w:rsidR="004335F8">
        <w:fldChar w:fldCharType="end"/>
      </w:r>
      <w:r w:rsidR="004335F8">
        <w:noBreakHyphen/>
      </w:r>
      <w:r w:rsidR="004335F8">
        <w:fldChar w:fldCharType="begin"/>
      </w:r>
      <w:r w:rsidR="004335F8">
        <w:instrText xml:space="preserve"> SEQ Table \* ARABIC \s 1 </w:instrText>
      </w:r>
      <w:r w:rsidR="004335F8">
        <w:fldChar w:fldCharType="separate"/>
      </w:r>
      <w:r w:rsidR="00795309">
        <w:rPr>
          <w:noProof/>
        </w:rPr>
        <w:t>16</w:t>
      </w:r>
      <w:r w:rsidR="004335F8">
        <w:fldChar w:fldCharType="end"/>
      </w:r>
      <w:r w:rsidRPr="00B330F0">
        <w:t xml:space="preserve"> MCA Criteria: Cost to businesses </w:t>
      </w:r>
    </w:p>
    <w:tbl>
      <w:tblPr>
        <w:tblStyle w:val="Deloittetable"/>
        <w:tblW w:w="0" w:type="auto"/>
        <w:tblLook w:val="04A0" w:firstRow="1" w:lastRow="0" w:firstColumn="1" w:lastColumn="0" w:noHBand="0" w:noVBand="1"/>
      </w:tblPr>
      <w:tblGrid>
        <w:gridCol w:w="2256"/>
        <w:gridCol w:w="2256"/>
        <w:gridCol w:w="2257"/>
      </w:tblGrid>
      <w:tr w:rsidR="00FB48D2" w:rsidRPr="00B330F0" w14:paraId="38C26812" w14:textId="77777777" w:rsidTr="008319A1">
        <w:trPr>
          <w:cnfStyle w:val="100000000000" w:firstRow="1" w:lastRow="0" w:firstColumn="0" w:lastColumn="0" w:oddVBand="0" w:evenVBand="0" w:oddHBand="0" w:evenHBand="0" w:firstRowFirstColumn="0" w:firstRowLastColumn="0" w:lastRowFirstColumn="0" w:lastRowLastColumn="0"/>
          <w:trHeight w:val="164"/>
        </w:trPr>
        <w:tc>
          <w:tcPr>
            <w:tcW w:w="2256" w:type="dxa"/>
          </w:tcPr>
          <w:p w14:paraId="124C8544" w14:textId="77777777" w:rsidR="00FB48D2" w:rsidRPr="00B330F0" w:rsidRDefault="00FB48D2" w:rsidP="00246B9B">
            <w:pPr>
              <w:rPr>
                <w:b/>
              </w:rPr>
            </w:pPr>
            <w:r w:rsidRPr="00B330F0">
              <w:rPr>
                <w:b/>
              </w:rPr>
              <w:t>MCA Criteria</w:t>
            </w:r>
          </w:p>
        </w:tc>
        <w:tc>
          <w:tcPr>
            <w:tcW w:w="2256" w:type="dxa"/>
          </w:tcPr>
          <w:p w14:paraId="1CA133C2" w14:textId="77777777" w:rsidR="00FB48D2" w:rsidRPr="00B330F0" w:rsidRDefault="00FB48D2" w:rsidP="00246B9B">
            <w:pPr>
              <w:jc w:val="center"/>
              <w:rPr>
                <w:b/>
              </w:rPr>
            </w:pPr>
            <w:r w:rsidRPr="00B330F0">
              <w:rPr>
                <w:b/>
              </w:rPr>
              <w:t>Base case</w:t>
            </w:r>
          </w:p>
        </w:tc>
        <w:tc>
          <w:tcPr>
            <w:tcW w:w="2257" w:type="dxa"/>
          </w:tcPr>
          <w:p w14:paraId="6F4B59D6" w14:textId="77777777" w:rsidR="00FB48D2" w:rsidRPr="00B330F0" w:rsidRDefault="00FB48D2" w:rsidP="00246B9B">
            <w:pPr>
              <w:jc w:val="center"/>
              <w:rPr>
                <w:b/>
              </w:rPr>
            </w:pPr>
            <w:r w:rsidRPr="00B330F0">
              <w:rPr>
                <w:b/>
              </w:rPr>
              <w:t>Option 1</w:t>
            </w:r>
          </w:p>
        </w:tc>
      </w:tr>
      <w:tr w:rsidR="00FB48D2" w:rsidRPr="00B330F0" w14:paraId="1FBAF749" w14:textId="77777777" w:rsidTr="008319A1">
        <w:tc>
          <w:tcPr>
            <w:tcW w:w="2256" w:type="dxa"/>
          </w:tcPr>
          <w:p w14:paraId="151F41CC" w14:textId="77777777" w:rsidR="00FB48D2" w:rsidRPr="00B330F0" w:rsidRDefault="00FB48D2" w:rsidP="00246B9B">
            <w:r w:rsidRPr="00B330F0">
              <w:t xml:space="preserve">Cost to businesses </w:t>
            </w:r>
          </w:p>
        </w:tc>
        <w:tc>
          <w:tcPr>
            <w:tcW w:w="2256" w:type="dxa"/>
          </w:tcPr>
          <w:p w14:paraId="6B2BFEFB" w14:textId="77777777" w:rsidR="00FB48D2" w:rsidRPr="00B330F0" w:rsidRDefault="00FB48D2" w:rsidP="00246B9B">
            <w:pPr>
              <w:jc w:val="center"/>
            </w:pPr>
            <w:r w:rsidRPr="00B330F0">
              <w:t>0</w:t>
            </w:r>
          </w:p>
        </w:tc>
        <w:tc>
          <w:tcPr>
            <w:tcW w:w="2257" w:type="dxa"/>
          </w:tcPr>
          <w:p w14:paraId="11E1D527" w14:textId="235FE5C9" w:rsidR="00FB48D2" w:rsidRPr="00B330F0" w:rsidRDefault="00FB48D2" w:rsidP="00246B9B">
            <w:pPr>
              <w:jc w:val="center"/>
            </w:pPr>
            <w:r w:rsidRPr="00B330F0">
              <w:t>-</w:t>
            </w:r>
            <w:r w:rsidR="00093FB8" w:rsidRPr="00B330F0">
              <w:t>7</w:t>
            </w:r>
          </w:p>
        </w:tc>
      </w:tr>
    </w:tbl>
    <w:p w14:paraId="62AD753F" w14:textId="77777777" w:rsidR="00FB48D2" w:rsidRPr="00B330F0" w:rsidRDefault="00FB48D2" w:rsidP="00FB48D2"/>
    <w:p w14:paraId="57A54793" w14:textId="0231A8F5" w:rsidR="00FB48D2" w:rsidRPr="003D5D1B" w:rsidRDefault="00FB48D2" w:rsidP="000A471E">
      <w:pPr>
        <w:pStyle w:val="Heading3"/>
      </w:pPr>
      <w:r w:rsidRPr="003D5D1B">
        <w:t xml:space="preserve">Criteria </w:t>
      </w:r>
      <w:r w:rsidR="00736A2E">
        <w:t>2</w:t>
      </w:r>
      <w:r w:rsidRPr="003D5D1B">
        <w:t xml:space="preserve">: Supply of accommodation </w:t>
      </w:r>
    </w:p>
    <w:p w14:paraId="7AB7BCCC" w14:textId="77777777" w:rsidR="00FB48D2" w:rsidRPr="003D5D1B" w:rsidRDefault="00FB48D2" w:rsidP="00FB48D2">
      <w:r w:rsidRPr="003D5D1B">
        <w:t xml:space="preserve">The Regulations require that any proprietor of a prescribed accommodation facility </w:t>
      </w:r>
      <w:r>
        <w:t xml:space="preserve">must </w:t>
      </w:r>
      <w:r w:rsidRPr="003D5D1B">
        <w:t>comply with maintenance, hygiene and occupancy standards. It is possible that the cost of regulations could reduce supply in the prescribed accommodation market by deterring entrants or causing existing proprietors to exit the market. This argument is particularly relevant to rooming houses because of their historically low profitability.</w:t>
      </w:r>
      <w:r w:rsidRPr="00BC3000">
        <w:rPr>
          <w:rStyle w:val="FootnoteReference"/>
        </w:rPr>
        <w:footnoteReference w:id="99"/>
      </w:r>
      <w:r w:rsidRPr="00BC3000">
        <w:t xml:space="preserve"> </w:t>
      </w:r>
    </w:p>
    <w:p w14:paraId="75D2DB9C" w14:textId="77777777" w:rsidR="00FB48D2" w:rsidRPr="00BC3000" w:rsidRDefault="00FB48D2" w:rsidP="00FB48D2">
      <w:pPr>
        <w:pStyle w:val="ListBullet"/>
        <w:numPr>
          <w:ilvl w:val="0"/>
          <w:numId w:val="0"/>
        </w:numPr>
      </w:pPr>
      <w:r w:rsidRPr="003D5D1B">
        <w:t>Literature suggests that the introduction of standards in rooming houses may result in proprietors of rooming houses passing on the cost of the Regulations to occupants in the form of higher rents.</w:t>
      </w:r>
      <w:r w:rsidRPr="00BC3000">
        <w:rPr>
          <w:rStyle w:val="FootnoteReference"/>
        </w:rPr>
        <w:footnoteReference w:id="100"/>
      </w:r>
      <w:r w:rsidRPr="00BC3000">
        <w:t xml:space="preserve"> Another concern is that some proprietors of rooming houses may seek to leave the market rather than incur the cost to adhere to more stringen</w:t>
      </w:r>
      <w:r w:rsidRPr="003D5D1B">
        <w:t>t standards.</w:t>
      </w:r>
      <w:r w:rsidRPr="00BC3000">
        <w:rPr>
          <w:rStyle w:val="FootnoteReference"/>
        </w:rPr>
        <w:footnoteReference w:id="101"/>
      </w:r>
      <w:r w:rsidRPr="00BC3000">
        <w:t xml:space="preserve"> It is however noted that Greenhalgh et al. notes that a reduction in supply due to regulatory standards is </w:t>
      </w:r>
      <w:r w:rsidRPr="003D5D1B">
        <w:t>somewhat contentious.</w:t>
      </w:r>
      <w:r w:rsidRPr="00BC3000">
        <w:rPr>
          <w:rStyle w:val="FootnoteReference"/>
        </w:rPr>
        <w:footnoteReference w:id="102"/>
      </w:r>
    </w:p>
    <w:p w14:paraId="353FF977" w14:textId="0DED322D" w:rsidR="00FB48D2" w:rsidRPr="003D5D1B" w:rsidRDefault="00FB48D2" w:rsidP="00FB48D2">
      <w:r>
        <w:t xml:space="preserve">Any reduction in the supply of rooming houses is a concern </w:t>
      </w:r>
      <w:r w:rsidR="00396B2F">
        <w:t xml:space="preserve">for those people seeking </w:t>
      </w:r>
      <w:r>
        <w:t xml:space="preserve">affordable accommodation. </w:t>
      </w:r>
      <w:r w:rsidRPr="003D5D1B">
        <w:t>For a number of years the rooming house sector has declined, not just in Victoria but across Australia</w:t>
      </w:r>
      <w:r w:rsidRPr="00BC3000">
        <w:rPr>
          <w:rStyle w:val="FootnoteReference"/>
        </w:rPr>
        <w:footnoteReference w:id="103"/>
      </w:r>
      <w:r w:rsidRPr="00BC3000">
        <w:t xml:space="preserve"> </w:t>
      </w:r>
      <w:r w:rsidRPr="003D5D1B">
        <w:t>which is in part because of low profitability.</w:t>
      </w:r>
      <w:r w:rsidRPr="00BC3000">
        <w:rPr>
          <w:rStyle w:val="FootnoteReference"/>
        </w:rPr>
        <w:footnoteReference w:id="104"/>
      </w:r>
      <w:r w:rsidRPr="00BC3000">
        <w:t xml:space="preserve"> While supply </w:t>
      </w:r>
      <w:r w:rsidRPr="003D5D1B">
        <w:t>has contracted</w:t>
      </w:r>
      <w:r>
        <w:t>,</w:t>
      </w:r>
      <w:r w:rsidRPr="003D5D1B">
        <w:t xml:space="preserve"> the demand for affordable accommodation like rooming houses has increased over time</w:t>
      </w:r>
      <w:r>
        <w:t>.</w:t>
      </w:r>
      <w:r w:rsidRPr="003D5D1B">
        <w:t xml:space="preserve"> As such,</w:t>
      </w:r>
      <w:r w:rsidRPr="003D5D1B" w:rsidDel="00E9693D">
        <w:t xml:space="preserve"> </w:t>
      </w:r>
      <w:r w:rsidRPr="003D5D1B">
        <w:t xml:space="preserve">the introduction of stringent regulation could exacerbate existing problems within Victoria’s rooming house sector. </w:t>
      </w:r>
    </w:p>
    <w:p w14:paraId="72522591" w14:textId="77777777" w:rsidR="00FB48D2" w:rsidRPr="003D5D1B" w:rsidRDefault="00FB48D2" w:rsidP="00FB48D2">
      <w:r w:rsidRPr="003D5D1B">
        <w:t>If proprietors of rooming houses increased rents to recover compliance costs associated with Regulations, it could result in more Victorians sleeping rough. This is because for some Victorians</w:t>
      </w:r>
      <w:r>
        <w:t>,</w:t>
      </w:r>
      <w:r w:rsidRPr="003D5D1B">
        <w:t xml:space="preserve"> residing in a rooming house is their last resort before becoming homeless.</w:t>
      </w:r>
      <w:r w:rsidRPr="00BC3000">
        <w:rPr>
          <w:rStyle w:val="FootnoteReference"/>
        </w:rPr>
        <w:footnoteReference w:id="105"/>
      </w:r>
      <w:r w:rsidRPr="00BC3000">
        <w:t xml:space="preserve"> </w:t>
      </w:r>
      <w:r w:rsidRPr="003D5D1B">
        <w:t>The ABS in fact classifies people residing in rooming houses as homeless.</w:t>
      </w:r>
      <w:r w:rsidRPr="00BC3000">
        <w:rPr>
          <w:rStyle w:val="FootnoteReference"/>
        </w:rPr>
        <w:footnoteReference w:id="106"/>
      </w:r>
      <w:r w:rsidRPr="00BC3000">
        <w:t xml:space="preserve"> </w:t>
      </w:r>
    </w:p>
    <w:p w14:paraId="547815A0" w14:textId="727FC03A" w:rsidR="00143E2D" w:rsidRDefault="00FB48D2" w:rsidP="00FB48D2">
      <w:r w:rsidRPr="003D5D1B">
        <w:lastRenderedPageBreak/>
        <w:t>Literature suggests that should the number of rooming houses decline, more Victorians are likely to become homeless, increasing the cost of healthcare because healthcare costs are higher for homeless people than for non-homeless people. MacKenzie (2016) compared the health care utilisation (and associated costs) between unemployed (or supported) youth and homeless youth.</w:t>
      </w:r>
      <w:r w:rsidRPr="00BC3000">
        <w:rPr>
          <w:rStyle w:val="FootnoteReference"/>
        </w:rPr>
        <w:footnoteReference w:id="107"/>
      </w:r>
      <w:r w:rsidRPr="00BC3000">
        <w:t xml:space="preserve"> </w:t>
      </w:r>
      <w:r w:rsidRPr="003D5D1B">
        <w:t>MacKenzie argued that homeless youth consumed significantly more health care services relative to unemployed youth.</w:t>
      </w:r>
    </w:p>
    <w:p w14:paraId="1DE26EF9" w14:textId="35CEF7FF" w:rsidR="00FB48D2" w:rsidRDefault="00FB48D2" w:rsidP="00FB48D2">
      <w:pPr>
        <w:pStyle w:val="Caption"/>
      </w:pPr>
      <w:r w:rsidRPr="003D5D1B">
        <w:t>Box 4.2. Comparing the cost of health care for unemployed people against that for homeless people</w:t>
      </w:r>
    </w:p>
    <w:tbl>
      <w:tblPr>
        <w:tblStyle w:val="TableGridLight"/>
        <w:tblW w:w="0" w:type="auto"/>
        <w:tblLook w:val="04A0" w:firstRow="1" w:lastRow="0" w:firstColumn="1" w:lastColumn="0" w:noHBand="0" w:noVBand="1"/>
      </w:tblPr>
      <w:tblGrid>
        <w:gridCol w:w="8996"/>
      </w:tblGrid>
      <w:tr w:rsidR="00FF41F4" w14:paraId="51B2FD42" w14:textId="77777777" w:rsidTr="00CD27C7">
        <w:tc>
          <w:tcPr>
            <w:tcW w:w="9026" w:type="dxa"/>
            <w:tcBorders>
              <w:top w:val="single" w:sz="12" w:space="0" w:color="046A38" w:themeColor="accent2"/>
              <w:left w:val="single" w:sz="12" w:space="0" w:color="046A38" w:themeColor="accent2"/>
              <w:bottom w:val="single" w:sz="12" w:space="0" w:color="046A38" w:themeColor="accent2"/>
              <w:right w:val="single" w:sz="12" w:space="0" w:color="046A38" w:themeColor="accent2"/>
            </w:tcBorders>
          </w:tcPr>
          <w:p w14:paraId="55137A6E" w14:textId="77777777" w:rsidR="00FF41F4" w:rsidRPr="00FE75AB" w:rsidRDefault="00FF41F4" w:rsidP="00FF41F4">
            <w:pPr>
              <w:spacing w:before="120" w:after="120"/>
              <w:ind w:left="57" w:right="57"/>
              <w:rPr>
                <w:rFonts w:cs="Segoe UI Light"/>
                <w:i/>
                <w:sz w:val="17"/>
                <w:szCs w:val="17"/>
              </w:rPr>
            </w:pPr>
            <w:r w:rsidRPr="00FE75AB">
              <w:rPr>
                <w:rFonts w:cs="Segoe UI Light"/>
                <w:i/>
                <w:sz w:val="17"/>
                <w:szCs w:val="17"/>
              </w:rPr>
              <w:t>The average cost per person per year of health care in the community was $2,271 per person…[while] the health cost of the homeless group is $8,505 per person per annum, or three times higher than the average for the general population. The average incidence per person for every item comprising health services is higher for the homeless group than … the general population except for dental services.</w:t>
            </w:r>
          </w:p>
          <w:p w14:paraId="0068DB55" w14:textId="674CC1B9" w:rsidR="00FF41F4" w:rsidRPr="006D5280" w:rsidRDefault="00FF41F4" w:rsidP="00FF41F4">
            <w:pPr>
              <w:spacing w:before="120" w:after="120"/>
              <w:ind w:left="57" w:right="57"/>
              <w:rPr>
                <w:rFonts w:cs="Segoe UI Light"/>
                <w:sz w:val="17"/>
                <w:szCs w:val="17"/>
              </w:rPr>
            </w:pPr>
            <w:r w:rsidRPr="00FE75AB">
              <w:rPr>
                <w:rFonts w:cs="Segoe UI Light"/>
                <w:i/>
                <w:sz w:val="17"/>
                <w:szCs w:val="17"/>
              </w:rPr>
              <w:t>The costs of health and medical services usage by the homeless group is five times that of the comparison unemployed group ($8505 compared to $1761).</w:t>
            </w:r>
          </w:p>
        </w:tc>
      </w:tr>
    </w:tbl>
    <w:p w14:paraId="1E44A68F" w14:textId="53CDE315" w:rsidR="00FB48D2" w:rsidRPr="003D5D1B" w:rsidRDefault="00FB48D2" w:rsidP="00FB48D2">
      <w:pPr>
        <w:pStyle w:val="FootnoteText"/>
      </w:pPr>
      <w:r w:rsidRPr="003D5D1B">
        <w:t>MacKenzie, D., Flatau, P., Steen, A., Thielking, M. (2016). The cost of youth homelessness in Australia</w:t>
      </w:r>
    </w:p>
    <w:p w14:paraId="0A1B3150" w14:textId="77777777" w:rsidR="001E05DB" w:rsidRPr="003D5D1B" w:rsidRDefault="001E05DB" w:rsidP="00FB48D2">
      <w:pPr>
        <w:pStyle w:val="FootnoteText"/>
      </w:pPr>
    </w:p>
    <w:p w14:paraId="5361DFD4" w14:textId="434C6B6C" w:rsidR="00FB48D2" w:rsidRPr="003D5D1B" w:rsidRDefault="00FB48D2" w:rsidP="00FB48D2">
      <w:r w:rsidRPr="003D5D1B">
        <w:t>This suggests that the cost of healthcare for homeless youth is around $6,744</w:t>
      </w:r>
      <w:r w:rsidRPr="003D5D1B">
        <w:tab/>
        <w:t>per person p.a. more than for unemployed youth.</w:t>
      </w:r>
      <w:r w:rsidRPr="00BC3000">
        <w:rPr>
          <w:rStyle w:val="FootnoteReference"/>
        </w:rPr>
        <w:footnoteReference w:id="108"/>
      </w:r>
      <w:r w:rsidRPr="00BC3000">
        <w:t xml:space="preserve"> Witte </w:t>
      </w:r>
      <w:r w:rsidRPr="003D5D1B">
        <w:t>(2017) argues that this premium understates the difference in health care costs because this study concerned youth, and generally speaking young people have lower health costs relative to other adult Australians.</w:t>
      </w:r>
      <w:r w:rsidRPr="00BC3000">
        <w:rPr>
          <w:rStyle w:val="FootnoteReference"/>
        </w:rPr>
        <w:footnoteReference w:id="109"/>
      </w:r>
      <w:r w:rsidRPr="00BC3000">
        <w:t xml:space="preserve"> As such, Witte argues </w:t>
      </w:r>
      <w:r w:rsidRPr="003D5D1B">
        <w:t xml:space="preserve">the difference in health care costs should be inflated by 25% to $8,430 per person p.a. </w:t>
      </w:r>
      <w:r w:rsidR="004F62B8">
        <w:t>(or $</w:t>
      </w:r>
      <w:r w:rsidR="005C32AE">
        <w:t>8</w:t>
      </w:r>
      <w:r w:rsidR="004F62B8">
        <w:t>,</w:t>
      </w:r>
      <w:r w:rsidR="005C32AE">
        <w:t>898)</w:t>
      </w:r>
      <w:r w:rsidR="004F62B8">
        <w:t xml:space="preserve"> p.a. in FY21)</w:t>
      </w:r>
      <w:r w:rsidRPr="003D5D1B">
        <w:t xml:space="preserve"> to apply to all homeless people. </w:t>
      </w:r>
    </w:p>
    <w:p w14:paraId="6CD4B928" w14:textId="39D42781" w:rsidR="00FB48D2" w:rsidRPr="003D5D1B" w:rsidRDefault="00B424AA" w:rsidP="00D2551B">
      <w:r>
        <w:t>The M</w:t>
      </w:r>
      <w:r w:rsidR="001F7C9B">
        <w:t>a</w:t>
      </w:r>
      <w:r>
        <w:t xml:space="preserve">ckenzie and Witte </w:t>
      </w:r>
      <w:r w:rsidR="00D2551B">
        <w:t>e</w:t>
      </w:r>
      <w:r w:rsidR="00FB48D2" w:rsidRPr="003D5D1B">
        <w:t xml:space="preserve">vidence suggests that </w:t>
      </w:r>
      <w:r w:rsidR="00D2551B">
        <w:t xml:space="preserve">a </w:t>
      </w:r>
      <w:r w:rsidR="00FB48D2" w:rsidRPr="003D5D1B">
        <w:t>reduction in the number of rooming houses could result in significant annual costs</w:t>
      </w:r>
      <w:r w:rsidR="00D2551B">
        <w:t>.</w:t>
      </w:r>
    </w:p>
    <w:p w14:paraId="37D01803" w14:textId="36F94319" w:rsidR="00FB48D2" w:rsidRPr="003D5D1B" w:rsidRDefault="001C49E0" w:rsidP="00FB48D2">
      <w:r>
        <w:t>It is</w:t>
      </w:r>
      <w:r w:rsidR="00FB48D2" w:rsidRPr="003D5D1B">
        <w:t xml:space="preserve"> important to note that Regulation is one of many factors influencing the supply of rooming houses. Other costs </w:t>
      </w:r>
      <w:r>
        <w:t>such as</w:t>
      </w:r>
      <w:r w:rsidR="00FB48D2" w:rsidRPr="003D5D1B">
        <w:t xml:space="preserve"> rising land costs are likely to be a more significant driver of </w:t>
      </w:r>
      <w:r w:rsidR="00FE75AB">
        <w:t>a</w:t>
      </w:r>
      <w:r w:rsidR="00FE75AB" w:rsidRPr="003D5D1B">
        <w:t xml:space="preserve"> </w:t>
      </w:r>
      <w:r w:rsidR="00FB48D2" w:rsidRPr="003D5D1B">
        <w:t>reduced supply of rooming houses.</w:t>
      </w:r>
    </w:p>
    <w:p w14:paraId="334D4012" w14:textId="373AC40D" w:rsidR="00E31F4C" w:rsidRPr="003D5D1B" w:rsidRDefault="00E31F4C" w:rsidP="00FB48D2">
      <w:r>
        <w:t xml:space="preserve">It is uncertain how </w:t>
      </w:r>
      <w:r w:rsidR="00367134">
        <w:t xml:space="preserve">the </w:t>
      </w:r>
      <w:r w:rsidR="00AE22C5">
        <w:t>COVID-19</w:t>
      </w:r>
      <w:r w:rsidR="00367134">
        <w:t xml:space="preserve"> health emergency</w:t>
      </w:r>
      <w:r>
        <w:t xml:space="preserve"> may impact this criteria</w:t>
      </w:r>
      <w:r w:rsidR="00A6426A">
        <w:t>, however it</w:t>
      </w:r>
      <w:r>
        <w:t xml:space="preserve"> is possible that the economic downturn brought about from the virus could increase the demand for affordable housing, further exacerbating the impact of any proprietors that may choose to exit the market. </w:t>
      </w:r>
    </w:p>
    <w:p w14:paraId="4535F4E5" w14:textId="1299A4A0" w:rsidR="00FB48D2" w:rsidRPr="00BC3000" w:rsidRDefault="001E05DB" w:rsidP="00FB48D2">
      <w:r>
        <w:t>Considering these</w:t>
      </w:r>
      <w:r w:rsidR="00885913">
        <w:t xml:space="preserve"> factors</w:t>
      </w:r>
      <w:r>
        <w:t>,</w:t>
      </w:r>
      <w:r w:rsidR="00885913">
        <w:t xml:space="preserve"> this</w:t>
      </w:r>
      <w:r w:rsidR="00FB48D2" w:rsidRPr="003D5D1B">
        <w:t xml:space="preserve"> criteria is scored -2 reflecting that </w:t>
      </w:r>
      <w:r w:rsidR="00FB48D2" w:rsidRPr="003D5D1B" w:rsidDel="00A72EE4">
        <w:t xml:space="preserve">there is </w:t>
      </w:r>
      <w:r w:rsidR="00FB48D2" w:rsidRPr="003D5D1B">
        <w:t xml:space="preserve">a </w:t>
      </w:r>
      <w:r w:rsidR="00FE75AB">
        <w:t xml:space="preserve">low </w:t>
      </w:r>
      <w:r w:rsidR="00FB48D2" w:rsidRPr="003D5D1B">
        <w:t xml:space="preserve">risk that </w:t>
      </w:r>
      <w:r w:rsidR="00FB48D2">
        <w:t>rooming houses</w:t>
      </w:r>
      <w:r w:rsidR="00FB48D2" w:rsidRPr="003D5D1B">
        <w:t xml:space="preserve"> could </w:t>
      </w:r>
      <w:r w:rsidR="00FB48D2">
        <w:t>close down</w:t>
      </w:r>
      <w:r w:rsidR="00FB48D2" w:rsidRPr="003D5D1B">
        <w:t xml:space="preserve"> </w:t>
      </w:r>
      <w:r w:rsidR="00FB48D2">
        <w:t xml:space="preserve">in response to </w:t>
      </w:r>
      <w:r w:rsidR="00861C94">
        <w:t xml:space="preserve">higher </w:t>
      </w:r>
      <w:r w:rsidR="00FB48D2">
        <w:t>compliance costs</w:t>
      </w:r>
      <w:r w:rsidR="00861C94">
        <w:t xml:space="preserve"> under the Regulations compared to Base Case</w:t>
      </w:r>
      <w:r w:rsidR="00FB48D2">
        <w:t>.</w:t>
      </w:r>
      <w:r w:rsidR="00FB48D2" w:rsidRPr="003D5D1B">
        <w:t xml:space="preserve"> </w:t>
      </w:r>
      <w:r w:rsidR="00562EB1">
        <w:t>This score</w:t>
      </w:r>
      <w:r w:rsidR="00FB48D2" w:rsidRPr="003D5D1B">
        <w:t xml:space="preserve"> is the same as that assigned in the 2011 Rooming house RIS.</w:t>
      </w:r>
      <w:r w:rsidR="00FB48D2" w:rsidRPr="00BC3000">
        <w:rPr>
          <w:rStyle w:val="FootnoteReference"/>
        </w:rPr>
        <w:footnoteReference w:id="110"/>
      </w:r>
    </w:p>
    <w:p w14:paraId="4200CBCF" w14:textId="24C40DD2" w:rsidR="00FB48D2" w:rsidRPr="003D5D1B" w:rsidRDefault="00FB48D2" w:rsidP="00FB48D2">
      <w:pPr>
        <w:pStyle w:val="Caption"/>
      </w:pPr>
      <w:r w:rsidRPr="003D5D1B">
        <w:t xml:space="preserve">Table </w:t>
      </w:r>
      <w:r w:rsidR="004335F8">
        <w:fldChar w:fldCharType="begin"/>
      </w:r>
      <w:r w:rsidR="004335F8">
        <w:instrText xml:space="preserve"> STYLEREF 1 \s </w:instrText>
      </w:r>
      <w:r w:rsidR="004335F8">
        <w:fldChar w:fldCharType="separate"/>
      </w:r>
      <w:r w:rsidR="00795309">
        <w:rPr>
          <w:noProof/>
        </w:rPr>
        <w:t>4</w:t>
      </w:r>
      <w:r w:rsidR="004335F8">
        <w:fldChar w:fldCharType="end"/>
      </w:r>
      <w:r w:rsidR="004335F8">
        <w:noBreakHyphen/>
      </w:r>
      <w:r w:rsidR="004335F8">
        <w:fldChar w:fldCharType="begin"/>
      </w:r>
      <w:r w:rsidR="004335F8">
        <w:instrText xml:space="preserve"> SEQ Table \* ARABIC \s 1 </w:instrText>
      </w:r>
      <w:r w:rsidR="004335F8">
        <w:fldChar w:fldCharType="separate"/>
      </w:r>
      <w:r w:rsidR="00795309">
        <w:rPr>
          <w:noProof/>
        </w:rPr>
        <w:t>17</w:t>
      </w:r>
      <w:r w:rsidR="004335F8">
        <w:fldChar w:fldCharType="end"/>
      </w:r>
      <w:r w:rsidRPr="00BC3000">
        <w:t xml:space="preserve"> MCA Criteria: </w:t>
      </w:r>
      <w:r w:rsidRPr="003D5D1B">
        <w:t xml:space="preserve">Supply of accommodation </w:t>
      </w:r>
    </w:p>
    <w:tbl>
      <w:tblPr>
        <w:tblStyle w:val="Deloittetable"/>
        <w:tblW w:w="0" w:type="auto"/>
        <w:tblLook w:val="04A0" w:firstRow="1" w:lastRow="0" w:firstColumn="1" w:lastColumn="0" w:noHBand="0" w:noVBand="1"/>
      </w:tblPr>
      <w:tblGrid>
        <w:gridCol w:w="2256"/>
        <w:gridCol w:w="2256"/>
        <w:gridCol w:w="2257"/>
      </w:tblGrid>
      <w:tr w:rsidR="00FB48D2" w:rsidRPr="003D5D1B" w14:paraId="5E455F5C" w14:textId="77777777" w:rsidTr="00670A59">
        <w:trPr>
          <w:cnfStyle w:val="100000000000" w:firstRow="1" w:lastRow="0" w:firstColumn="0" w:lastColumn="0" w:oddVBand="0" w:evenVBand="0" w:oddHBand="0" w:evenHBand="0" w:firstRowFirstColumn="0" w:firstRowLastColumn="0" w:lastRowFirstColumn="0" w:lastRowLastColumn="0"/>
          <w:trHeight w:hRule="exact" w:val="340"/>
        </w:trPr>
        <w:tc>
          <w:tcPr>
            <w:tcW w:w="2256" w:type="dxa"/>
          </w:tcPr>
          <w:p w14:paraId="33979D24" w14:textId="77777777" w:rsidR="00FB48D2" w:rsidRPr="003D5D1B" w:rsidRDefault="00FB48D2" w:rsidP="00246B9B">
            <w:pPr>
              <w:rPr>
                <w:b/>
              </w:rPr>
            </w:pPr>
            <w:r w:rsidRPr="003D5D1B">
              <w:rPr>
                <w:b/>
              </w:rPr>
              <w:t>MCA Criteria</w:t>
            </w:r>
          </w:p>
        </w:tc>
        <w:tc>
          <w:tcPr>
            <w:tcW w:w="2256" w:type="dxa"/>
          </w:tcPr>
          <w:p w14:paraId="5A7438DB" w14:textId="77777777" w:rsidR="00FB48D2" w:rsidRPr="003D5D1B" w:rsidRDefault="00FB48D2" w:rsidP="00246B9B">
            <w:pPr>
              <w:jc w:val="center"/>
              <w:rPr>
                <w:b/>
              </w:rPr>
            </w:pPr>
            <w:r w:rsidRPr="003D5D1B">
              <w:rPr>
                <w:b/>
              </w:rPr>
              <w:t>Base case</w:t>
            </w:r>
          </w:p>
        </w:tc>
        <w:tc>
          <w:tcPr>
            <w:tcW w:w="2257" w:type="dxa"/>
          </w:tcPr>
          <w:p w14:paraId="37B60E0A" w14:textId="77777777" w:rsidR="00FB48D2" w:rsidRPr="003D5D1B" w:rsidRDefault="00FB48D2" w:rsidP="00246B9B">
            <w:pPr>
              <w:jc w:val="center"/>
              <w:rPr>
                <w:b/>
              </w:rPr>
            </w:pPr>
            <w:r w:rsidRPr="003D5D1B">
              <w:rPr>
                <w:b/>
              </w:rPr>
              <w:t>Option 1</w:t>
            </w:r>
          </w:p>
        </w:tc>
      </w:tr>
      <w:tr w:rsidR="00FB48D2" w:rsidRPr="003D5D1B" w14:paraId="79691F25" w14:textId="77777777" w:rsidTr="00670A59">
        <w:trPr>
          <w:trHeight w:hRule="exact" w:val="340"/>
        </w:trPr>
        <w:tc>
          <w:tcPr>
            <w:tcW w:w="2256" w:type="dxa"/>
          </w:tcPr>
          <w:p w14:paraId="26684270" w14:textId="77777777" w:rsidR="00FB48D2" w:rsidRPr="003D5D1B" w:rsidRDefault="00FB48D2" w:rsidP="00246B9B">
            <w:r w:rsidRPr="003D5D1B">
              <w:t xml:space="preserve">Supply of accommodation </w:t>
            </w:r>
          </w:p>
        </w:tc>
        <w:tc>
          <w:tcPr>
            <w:tcW w:w="2256" w:type="dxa"/>
          </w:tcPr>
          <w:p w14:paraId="08C97964" w14:textId="77777777" w:rsidR="00FB48D2" w:rsidRPr="003D5D1B" w:rsidRDefault="00FB48D2" w:rsidP="00246B9B">
            <w:pPr>
              <w:jc w:val="center"/>
            </w:pPr>
            <w:r w:rsidRPr="003D5D1B">
              <w:t>0</w:t>
            </w:r>
          </w:p>
        </w:tc>
        <w:tc>
          <w:tcPr>
            <w:tcW w:w="2257" w:type="dxa"/>
          </w:tcPr>
          <w:p w14:paraId="3442955F" w14:textId="77777777" w:rsidR="00FB48D2" w:rsidRPr="003D5D1B" w:rsidRDefault="00FB48D2" w:rsidP="00246B9B">
            <w:pPr>
              <w:jc w:val="center"/>
            </w:pPr>
            <w:r w:rsidRPr="003D5D1B">
              <w:t>-2</w:t>
            </w:r>
          </w:p>
        </w:tc>
      </w:tr>
    </w:tbl>
    <w:p w14:paraId="50DCD324" w14:textId="33A710B5" w:rsidR="00055752" w:rsidRDefault="00055752" w:rsidP="00FB48D2"/>
    <w:p w14:paraId="0306D4D4" w14:textId="6A2A83BA" w:rsidR="00FF41F4" w:rsidRPr="00867992" w:rsidRDefault="00FB48D2" w:rsidP="00867992">
      <w:pPr>
        <w:pStyle w:val="Heading3"/>
      </w:pPr>
      <w:r w:rsidRPr="00BC3000">
        <w:t xml:space="preserve">Criteria </w:t>
      </w:r>
      <w:r w:rsidR="00736A2E">
        <w:t>3</w:t>
      </w:r>
      <w:r w:rsidRPr="003D5D1B">
        <w:t xml:space="preserve">: Health and </w:t>
      </w:r>
      <w:r>
        <w:t>Wellbeing</w:t>
      </w:r>
      <w:r w:rsidRPr="003D5D1B">
        <w:t xml:space="preserve"> </w:t>
      </w:r>
    </w:p>
    <w:tbl>
      <w:tblPr>
        <w:tblStyle w:val="TableGridLight"/>
        <w:tblW w:w="0" w:type="auto"/>
        <w:tblLook w:val="04A0" w:firstRow="1" w:lastRow="0" w:firstColumn="1" w:lastColumn="0" w:noHBand="0" w:noVBand="1"/>
      </w:tblPr>
      <w:tblGrid>
        <w:gridCol w:w="8996"/>
      </w:tblGrid>
      <w:tr w:rsidR="00FF41F4" w14:paraId="005F2876" w14:textId="77777777" w:rsidTr="00CD27C7">
        <w:tc>
          <w:tcPr>
            <w:tcW w:w="9026" w:type="dxa"/>
            <w:tcBorders>
              <w:top w:val="single" w:sz="12" w:space="0" w:color="046A38" w:themeColor="accent2"/>
              <w:left w:val="single" w:sz="12" w:space="0" w:color="046A38" w:themeColor="accent2"/>
              <w:bottom w:val="single" w:sz="12" w:space="0" w:color="046A38" w:themeColor="accent2"/>
              <w:right w:val="single" w:sz="12" w:space="0" w:color="046A38" w:themeColor="accent2"/>
            </w:tcBorders>
          </w:tcPr>
          <w:p w14:paraId="45251DF8" w14:textId="77777777" w:rsidR="00FF41F4" w:rsidRPr="00FE75AB" w:rsidRDefault="00FF41F4" w:rsidP="00FF41F4">
            <w:pPr>
              <w:spacing w:before="120" w:after="120"/>
              <w:ind w:left="57" w:right="57"/>
              <w:rPr>
                <w:rFonts w:cs="Segoe UI Light"/>
                <w:i/>
                <w:sz w:val="17"/>
                <w:szCs w:val="17"/>
              </w:rPr>
            </w:pPr>
            <w:r w:rsidRPr="00FE75AB">
              <w:rPr>
                <w:rFonts w:cs="Segoe UI Light"/>
                <w:i/>
                <w:sz w:val="17"/>
                <w:szCs w:val="17"/>
              </w:rPr>
              <w:t>Summary of benefits analysis</w:t>
            </w:r>
          </w:p>
          <w:p w14:paraId="3BFB92ED" w14:textId="77777777" w:rsidR="00FF41F4" w:rsidRPr="00FF41F4" w:rsidRDefault="00FF41F4" w:rsidP="00FF41F4">
            <w:pPr>
              <w:spacing w:before="120" w:after="120"/>
              <w:ind w:left="57" w:right="57"/>
              <w:rPr>
                <w:rFonts w:cs="Segoe UI Light"/>
                <w:sz w:val="17"/>
                <w:szCs w:val="17"/>
              </w:rPr>
            </w:pPr>
            <w:r w:rsidRPr="00FF41F4">
              <w:rPr>
                <w:rFonts w:cs="Segoe UI Light"/>
                <w:sz w:val="17"/>
                <w:szCs w:val="17"/>
              </w:rPr>
              <w:t>The following benefits as a result of the Regulations are analysed:</w:t>
            </w:r>
          </w:p>
          <w:p w14:paraId="3D407427" w14:textId="391CBECC" w:rsidR="00FF41F4" w:rsidRPr="001419A0" w:rsidRDefault="00FF41F4" w:rsidP="001419A0">
            <w:pPr>
              <w:pStyle w:val="ListParagraph"/>
              <w:numPr>
                <w:ilvl w:val="0"/>
                <w:numId w:val="178"/>
              </w:numPr>
              <w:spacing w:before="120" w:after="120"/>
              <w:ind w:right="57"/>
              <w:rPr>
                <w:rFonts w:cs="Segoe UI Light"/>
                <w:sz w:val="17"/>
                <w:szCs w:val="17"/>
              </w:rPr>
            </w:pPr>
            <w:r w:rsidRPr="001419A0">
              <w:rPr>
                <w:rFonts w:cs="Segoe UI Light"/>
                <w:b/>
                <w:sz w:val="17"/>
                <w:szCs w:val="17"/>
              </w:rPr>
              <w:t>Increased public health and wellbeing</w:t>
            </w:r>
            <w:r w:rsidRPr="001419A0">
              <w:rPr>
                <w:rFonts w:cs="Segoe UI Light"/>
                <w:sz w:val="17"/>
                <w:szCs w:val="17"/>
              </w:rPr>
              <w:t xml:space="preserve"> – reduced transmission of infectious disease, reduced risk of noncommunicable diseases, reduced injury as a result of inadequate maintenance of accommodation facility. </w:t>
            </w:r>
          </w:p>
          <w:p w14:paraId="6CB4BEC7" w14:textId="1ED077F2" w:rsidR="00FF41F4" w:rsidRPr="001419A0" w:rsidRDefault="00FF41F4" w:rsidP="001419A0">
            <w:pPr>
              <w:pStyle w:val="ListParagraph"/>
              <w:numPr>
                <w:ilvl w:val="0"/>
                <w:numId w:val="178"/>
              </w:numPr>
              <w:spacing w:before="120" w:after="120"/>
              <w:ind w:right="57"/>
              <w:rPr>
                <w:rFonts w:cs="Segoe UI Light"/>
                <w:sz w:val="17"/>
                <w:szCs w:val="17"/>
              </w:rPr>
            </w:pPr>
            <w:r w:rsidRPr="001419A0">
              <w:rPr>
                <w:rFonts w:cs="Segoe UI Light"/>
                <w:b/>
                <w:sz w:val="17"/>
                <w:szCs w:val="17"/>
              </w:rPr>
              <w:t>Healthcare costs</w:t>
            </w:r>
            <w:r w:rsidRPr="001419A0">
              <w:rPr>
                <w:rFonts w:cs="Segoe UI Light"/>
                <w:sz w:val="17"/>
                <w:szCs w:val="17"/>
              </w:rPr>
              <w:t xml:space="preserve"> – avoided healthcare costs.</w:t>
            </w:r>
          </w:p>
          <w:p w14:paraId="39AEC242" w14:textId="6D07C47D" w:rsidR="00FF41F4" w:rsidRPr="006D5280" w:rsidRDefault="00FF41F4" w:rsidP="00FF41F4">
            <w:pPr>
              <w:spacing w:before="120" w:after="120"/>
              <w:ind w:left="57" w:right="57"/>
              <w:rPr>
                <w:rFonts w:cs="Segoe UI Light"/>
                <w:sz w:val="17"/>
                <w:szCs w:val="17"/>
              </w:rPr>
            </w:pPr>
            <w:r w:rsidRPr="00FF41F4">
              <w:rPr>
                <w:rFonts w:cs="Segoe UI Light"/>
                <w:sz w:val="17"/>
                <w:szCs w:val="17"/>
              </w:rPr>
              <w:t>While there is limited data measuring whether the current Regulations have positively affected health and wellbeing or reduced healthcare costs, there is substantial evidence on the negative implications of substandard accommodation conditions. This evidence suggests Regulations around maintenance, cleanliness, maximum occupancy and minimal requirements are expected to reduce public health and wellbeing risks for occupants of prescribed accommodation relative to the Base Case. This is particularly the case for vulnerable persons, who will benefit most from the Regulations.</w:t>
            </w:r>
          </w:p>
        </w:tc>
      </w:tr>
    </w:tbl>
    <w:p w14:paraId="16614EBD" w14:textId="77777777" w:rsidR="00FB48D2" w:rsidRPr="003D5D1B" w:rsidRDefault="00FB48D2" w:rsidP="00FB48D2"/>
    <w:p w14:paraId="2E1662E2" w14:textId="77777777" w:rsidR="00FB48D2" w:rsidRPr="003D5D1B" w:rsidRDefault="00FB48D2" w:rsidP="00FB48D2">
      <w:r w:rsidRPr="003D5D1B">
        <w:t xml:space="preserve">As discussed in Chapter 2, the primary focus of the Regulations is to reduce the risk to public health </w:t>
      </w:r>
      <w:r>
        <w:t xml:space="preserve">and wellbeing </w:t>
      </w:r>
      <w:r w:rsidRPr="003D5D1B">
        <w:t xml:space="preserve">posed by substandard </w:t>
      </w:r>
      <w:r>
        <w:t>accommodation</w:t>
      </w:r>
      <w:r w:rsidRPr="003D5D1B">
        <w:t xml:space="preserve"> conditions. This section provides analysis of the </w:t>
      </w:r>
      <w:r>
        <w:t xml:space="preserve">public </w:t>
      </w:r>
      <w:r w:rsidRPr="003D5D1B">
        <w:t xml:space="preserve">health and </w:t>
      </w:r>
      <w:r>
        <w:t>wellbeing</w:t>
      </w:r>
      <w:r w:rsidRPr="003D5D1B">
        <w:t xml:space="preserve"> benefits associated with property maintenance, adequate sanitation and domestic hygiene practices, and access to clean water.</w:t>
      </w:r>
    </w:p>
    <w:p w14:paraId="2BDC30C0" w14:textId="2FC365AC" w:rsidR="00FB48D2" w:rsidRPr="003D5D1B" w:rsidRDefault="00FB48D2" w:rsidP="00FB48D2">
      <w:pPr>
        <w:rPr>
          <w:rFonts w:cs="Segoe UI Light"/>
        </w:rPr>
      </w:pPr>
      <w:r w:rsidRPr="00BC3000">
        <w:t>It is noted that there</w:t>
      </w:r>
      <w:r w:rsidRPr="003D5D1B">
        <w:rPr>
          <w:rFonts w:cs="Segoe UI Light"/>
        </w:rPr>
        <w:t xml:space="preserve"> are limitations in regard to the data available on these benefits, not only in Victoria but in other jurisdictions. This may indicate gaps in data collection, but it may also indicate that the current regulatory regime goes a long way to preventing health risks to occupants. However, this relationship is difficult to prove or quantify, particularly since the regulatory framework has been in place for many years, which means it is not possible to compare current outcomes to the case where there are no regulations (the Base Case).</w:t>
      </w:r>
    </w:p>
    <w:p w14:paraId="3946F584" w14:textId="50CB37B0" w:rsidR="00FB48D2" w:rsidRPr="003D5D1B" w:rsidRDefault="00FB48D2" w:rsidP="00FB48D2">
      <w:r w:rsidRPr="003D5D1B">
        <w:t>It is noted that the Building Research Establishment in the UK has developed a considered approach to measuring the costs of substandard housing on the health of occupants and quantifying health system benefits associated with avoided health risks</w:t>
      </w:r>
      <w:r w:rsidR="00941853">
        <w:t xml:space="preserve">. </w:t>
      </w:r>
      <w:r w:rsidRPr="00BC3000">
        <w:t>However, notable gaps in data availability on the prevalence and effects of housing conditions in Australia</w:t>
      </w:r>
      <w:r w:rsidRPr="00BC3000">
        <w:rPr>
          <w:rStyle w:val="FootnoteReference"/>
        </w:rPr>
        <w:footnoteReference w:id="111"/>
      </w:r>
      <w:r w:rsidRPr="00BC3000">
        <w:t xml:space="preserve"> mean this methodology could not be effectively applied to the V</w:t>
      </w:r>
      <w:r w:rsidRPr="003D5D1B">
        <w:t>ictorian context. Similar research does not exist for Victoria or Australia.</w:t>
      </w:r>
    </w:p>
    <w:p w14:paraId="72459288" w14:textId="3AA04E38" w:rsidR="00FB48D2" w:rsidRDefault="00FB48D2" w:rsidP="00FB48D2">
      <w:r w:rsidRPr="003D5D1B">
        <w:t>This section therefore provides a qualitative analysis of the benefits. Findings relate to observations both in the Australian and comparable contexts.</w:t>
      </w:r>
      <w:r w:rsidR="004A7DF1">
        <w:t xml:space="preserve"> The </w:t>
      </w:r>
      <w:r w:rsidR="00AE22C5">
        <w:t>COVID-19</w:t>
      </w:r>
      <w:r w:rsidR="004A7DF1">
        <w:t xml:space="preserve"> </w:t>
      </w:r>
      <w:r w:rsidR="00367134">
        <w:t>health emergency</w:t>
      </w:r>
      <w:r w:rsidR="004A7DF1">
        <w:t xml:space="preserve"> also </w:t>
      </w:r>
      <w:r w:rsidR="00A1314F">
        <w:t xml:space="preserve">illustrates the potential risks </w:t>
      </w:r>
      <w:r w:rsidR="004E788E">
        <w:t xml:space="preserve">to public health and wellbeing </w:t>
      </w:r>
      <w:r w:rsidR="00A1314F">
        <w:t xml:space="preserve">of </w:t>
      </w:r>
      <w:r w:rsidR="00FB6448">
        <w:t>poor standards in</w:t>
      </w:r>
      <w:r w:rsidR="004E788E">
        <w:t xml:space="preserve"> prescribed </w:t>
      </w:r>
      <w:r w:rsidR="0005158C">
        <w:t>accommodation premises.</w:t>
      </w:r>
      <w:r w:rsidR="00FB6448">
        <w:t xml:space="preserve"> </w:t>
      </w:r>
    </w:p>
    <w:p w14:paraId="7213537B" w14:textId="77777777" w:rsidR="00FB48D2" w:rsidRDefault="00FB48D2" w:rsidP="00FB48D2">
      <w:pPr>
        <w:pStyle w:val="Heading4"/>
        <w:numPr>
          <w:ilvl w:val="0"/>
          <w:numId w:val="0"/>
        </w:numPr>
        <w:ind w:left="864" w:hanging="864"/>
      </w:pPr>
      <w:r>
        <w:t xml:space="preserve">What is public health and wellbeing? </w:t>
      </w:r>
    </w:p>
    <w:p w14:paraId="6A767B0F" w14:textId="216C9060" w:rsidR="00FB48D2" w:rsidRPr="008107DF" w:rsidRDefault="00FB48D2" w:rsidP="00FB48D2">
      <w:r w:rsidRPr="008107DF">
        <w:t>The PHWA states that public health and wellbeing includes the absence of disease, illness, injury, disability or premature death and the collective state of public wellbeing.</w:t>
      </w:r>
      <w:r w:rsidR="00D56EB4">
        <w:rPr>
          <w:rStyle w:val="FootnoteReference"/>
        </w:rPr>
        <w:footnoteReference w:id="112"/>
      </w:r>
      <w:r w:rsidRPr="008107DF">
        <w:t xml:space="preserve"> The standards in the Regulations are designed to promote and protect public health and wellbeing in prescribed accommodation.  Generally, public health and wellbeing risk is different from a safety hazard that might lead to immediate injury such as through inadequate construction of a building that does not meet building standards under the </w:t>
      </w:r>
      <w:r w:rsidRPr="00F0077F">
        <w:rPr>
          <w:i/>
        </w:rPr>
        <w:t>Building Act 1993</w:t>
      </w:r>
      <w:r w:rsidRPr="008107DF">
        <w:t>, although some safety risk may be managed through the obligation in the Regulations to keep prescribed accommodation in good working order and in a good state of repair. Generally, public health and wellbeing relates to health and wellbeing and the prevention of disease at the community level.</w:t>
      </w:r>
    </w:p>
    <w:p w14:paraId="5E5BE582" w14:textId="77777777" w:rsidR="00FB48D2" w:rsidRPr="003D5D1B" w:rsidRDefault="00FB48D2" w:rsidP="00FB48D2">
      <w:pPr>
        <w:pStyle w:val="Heading4"/>
        <w:numPr>
          <w:ilvl w:val="0"/>
          <w:numId w:val="0"/>
        </w:numPr>
        <w:ind w:left="864" w:hanging="864"/>
      </w:pPr>
      <w:r>
        <w:lastRenderedPageBreak/>
        <w:t>Increased public health and wellbeing benefits: reduced illness and injury</w:t>
      </w:r>
    </w:p>
    <w:p w14:paraId="06809E1F" w14:textId="77777777" w:rsidR="00FB48D2" w:rsidRDefault="00FB48D2" w:rsidP="00FB48D2">
      <w:r>
        <w:t>The</w:t>
      </w:r>
      <w:r w:rsidRPr="00902AB3">
        <w:t xml:space="preserve"> expected benefits </w:t>
      </w:r>
      <w:r>
        <w:t xml:space="preserve">of Option 1 </w:t>
      </w:r>
      <w:r w:rsidRPr="00902AB3">
        <w:t xml:space="preserve">flow to residents in prescribed accommodation and the community more generally. </w:t>
      </w:r>
      <w:r>
        <w:t>Residents will b</w:t>
      </w:r>
      <w:r w:rsidRPr="00902AB3">
        <w:t xml:space="preserve">enefit in terms of reductions in </w:t>
      </w:r>
      <w:r>
        <w:t>disease and avoided injury, while reduction in infectious disease will also lead to benefits for the broader community</w:t>
      </w:r>
      <w:r w:rsidRPr="00902AB3">
        <w:t>.</w:t>
      </w:r>
      <w:r>
        <w:t xml:space="preserve"> There will also be avoided healthcare costs for residents and the broader community.</w:t>
      </w:r>
      <w:r w:rsidRPr="00902AB3">
        <w:t xml:space="preserve"> </w:t>
      </w:r>
    </w:p>
    <w:p w14:paraId="0F3EC256" w14:textId="77777777" w:rsidR="00FB48D2" w:rsidRPr="003D5D1B" w:rsidRDefault="00FB48D2" w:rsidP="00FB48D2">
      <w:r w:rsidRPr="003D5D1B">
        <w:t xml:space="preserve">As noted in Chapter 2, the more people living in close proximity to one another, the greater the spread of any infectious disease. The risk of disease spread further increases where there is a high turnover of large volumes of people sharing facilities for a short period of time, such as in short-stay accommodation facilities such as </w:t>
      </w:r>
      <w:r>
        <w:t xml:space="preserve">hostels, </w:t>
      </w:r>
      <w:r w:rsidRPr="003D5D1B">
        <w:t>hotels and motels.</w:t>
      </w:r>
    </w:p>
    <w:p w14:paraId="75B2241F" w14:textId="77777777" w:rsidR="00FB48D2" w:rsidRPr="003D5D1B" w:rsidRDefault="00FB48D2" w:rsidP="00FB48D2">
      <w:r w:rsidRPr="003D5D1B">
        <w:t>Transient populations, especially those experiencing financial instability, experience a higher rate of infectious disease compared to the general population.</w:t>
      </w:r>
      <w:r w:rsidRPr="00BC3000">
        <w:rPr>
          <w:rStyle w:val="FootnoteReference"/>
        </w:rPr>
        <w:footnoteReference w:id="113"/>
      </w:r>
      <w:r w:rsidRPr="00BC3000">
        <w:t xml:space="preserve"> The</w:t>
      </w:r>
      <w:r w:rsidRPr="003D5D1B">
        <w:t xml:space="preserve"> reason for this is three-fold; unpredictable access to clean facilities and water, increased exposure to the general population, and, in some cases, increased personal risk of chronic disease associated with low socioeconomic status.</w:t>
      </w:r>
      <w:r w:rsidRPr="00BC3000">
        <w:rPr>
          <w:rStyle w:val="FootnoteReference"/>
        </w:rPr>
        <w:footnoteReference w:id="114"/>
      </w:r>
      <w:r w:rsidRPr="00BC3000">
        <w:t xml:space="preserve"> </w:t>
      </w:r>
    </w:p>
    <w:p w14:paraId="4E20B305" w14:textId="77777777" w:rsidR="00FB48D2" w:rsidRPr="003D5D1B" w:rsidRDefault="00FB48D2" w:rsidP="00FB48D2">
      <w:r w:rsidRPr="003D5D1B">
        <w:t>This evidence highlights how physical conditions of the accommodation purchased by these populations can directly impact their health</w:t>
      </w:r>
      <w:r>
        <w:t xml:space="preserve"> and lead to poor public health outcomes</w:t>
      </w:r>
      <w:r w:rsidRPr="003D5D1B">
        <w:t>. The Regulations are designed to prevent unnecessary exposure to, and transmission of, infectious disease:</w:t>
      </w:r>
    </w:p>
    <w:p w14:paraId="5780A719" w14:textId="77777777" w:rsidR="00FB48D2" w:rsidRPr="00BC3000" w:rsidRDefault="00FB48D2" w:rsidP="00FB48D2">
      <w:pPr>
        <w:pStyle w:val="ListBullet"/>
      </w:pPr>
      <w:r w:rsidRPr="003D5D1B">
        <w:rPr>
          <w:b/>
          <w:bCs/>
        </w:rPr>
        <w:t>Regulation 17</w:t>
      </w:r>
      <w:r w:rsidRPr="003D5D1B">
        <w:t xml:space="preserve"> establishes minimum requirements for the space and type of facilities (bedroom and bathroom facilities) that should be made available to an occupant, and the maximum occupancy per meter squared based on the length of their stay. This helps to avoid overcrowding of facilities, which has been associated with the transmission of infectious disease both in the Victorian and comparable contexts.</w:t>
      </w:r>
      <w:r w:rsidRPr="00BC3000">
        <w:rPr>
          <w:rStyle w:val="FootnoteReference"/>
        </w:rPr>
        <w:footnoteReference w:id="115"/>
      </w:r>
    </w:p>
    <w:p w14:paraId="7D975394" w14:textId="77777777" w:rsidR="00FB48D2" w:rsidRPr="003D5D1B" w:rsidRDefault="00FB48D2" w:rsidP="00FB48D2">
      <w:pPr>
        <w:pStyle w:val="ListBullet"/>
      </w:pPr>
      <w:r w:rsidRPr="003D5D1B">
        <w:rPr>
          <w:b/>
          <w:bCs/>
        </w:rPr>
        <w:t xml:space="preserve">Regulation 19 </w:t>
      </w:r>
      <w:r w:rsidRPr="003D5D1B">
        <w:t>requires proprietors to change the linen in bedrooms at least once a week and clean bedrooms after an occupant has vacated and before its reuse by another occupant. Regular cleaning and replacing linen help to stem the continuation and spread of infectious diseases.</w:t>
      </w:r>
    </w:p>
    <w:p w14:paraId="316E4B61" w14:textId="77777777" w:rsidR="00FB48D2" w:rsidRPr="00BC3000" w:rsidRDefault="00FB48D2" w:rsidP="00FB48D2">
      <w:pPr>
        <w:pStyle w:val="ListBullet"/>
        <w:rPr>
          <w:b/>
          <w:bCs/>
        </w:rPr>
      </w:pPr>
      <w:r w:rsidRPr="003D5D1B">
        <w:rPr>
          <w:b/>
          <w:bCs/>
        </w:rPr>
        <w:t xml:space="preserve">Regulation 20 &amp; 21 </w:t>
      </w:r>
      <w:r w:rsidRPr="003D5D1B">
        <w:t>states that occupants must have continuous and adequate access to water for personal hygiene and hydration. These measures support occupants to maintain a good state of personal hygiene and health, both of which fight the risk of spreading or catching an infectious disease.</w:t>
      </w:r>
      <w:r w:rsidRPr="00BC3000">
        <w:rPr>
          <w:rStyle w:val="FootnoteReference"/>
        </w:rPr>
        <w:footnoteReference w:id="116"/>
      </w:r>
    </w:p>
    <w:p w14:paraId="6F4E9064" w14:textId="77777777" w:rsidR="00FB48D2" w:rsidRPr="003D5D1B" w:rsidRDefault="00FB48D2" w:rsidP="00FB48D2">
      <w:pPr>
        <w:pStyle w:val="ListBullet"/>
        <w:rPr>
          <w:b/>
          <w:bCs/>
        </w:rPr>
      </w:pPr>
      <w:r w:rsidRPr="003D5D1B">
        <w:rPr>
          <w:b/>
          <w:bCs/>
        </w:rPr>
        <w:t>Regulation 16</w:t>
      </w:r>
      <w:r w:rsidRPr="003D5D1B">
        <w:t xml:space="preserve"> provides a framework through which Councils can monitor and enforce compliance with the standards.</w:t>
      </w:r>
      <w:r w:rsidRPr="003D5D1B">
        <w:rPr>
          <w:b/>
          <w:bCs/>
        </w:rPr>
        <w:t xml:space="preserve"> </w:t>
      </w:r>
    </w:p>
    <w:p w14:paraId="34064976" w14:textId="77777777" w:rsidR="00FB48D2" w:rsidRPr="00BC3000" w:rsidRDefault="00FB48D2" w:rsidP="00FB48D2">
      <w:pPr>
        <w:rPr>
          <w:vertAlign w:val="superscript"/>
        </w:rPr>
      </w:pPr>
      <w:r>
        <w:lastRenderedPageBreak/>
        <w:t xml:space="preserve">Non-communicable disease is also addressed by Option 1. </w:t>
      </w:r>
      <w:r w:rsidRPr="003D5D1B">
        <w:t>Excess moisture and poor ventilation can create an environment within which mould, dust mites and pests can grow and reproduce.</w:t>
      </w:r>
      <w:r w:rsidRPr="00BC3000">
        <w:rPr>
          <w:rStyle w:val="FootnoteReference"/>
        </w:rPr>
        <w:footnoteReference w:id="117"/>
      </w:r>
      <w:r w:rsidRPr="00BC3000">
        <w:rPr>
          <w:vertAlign w:val="superscript"/>
        </w:rPr>
        <w:t>,</w:t>
      </w:r>
      <w:r w:rsidRPr="00BC3000">
        <w:rPr>
          <w:rStyle w:val="FootnoteReference"/>
        </w:rPr>
        <w:footnoteReference w:id="118"/>
      </w:r>
      <w:r w:rsidRPr="00BC3000">
        <w:t xml:space="preserve"> </w:t>
      </w:r>
      <w:r w:rsidRPr="003D5D1B">
        <w:t>Exposure to these biological agents is associated with respiratory disease, inflammation of the airways (causing asthma), and bacterial infections.</w:t>
      </w:r>
      <w:r w:rsidRPr="00BC3000">
        <w:rPr>
          <w:rStyle w:val="FootnoteReference"/>
        </w:rPr>
        <w:footnoteReference w:id="119"/>
      </w:r>
      <w:r w:rsidRPr="00BC3000">
        <w:t xml:space="preserve"> Further, occupants </w:t>
      </w:r>
      <w:r w:rsidRPr="003D5D1B">
        <w:t>(children and adults) of premises in this condition report the state of their physical environment negatively affects their mental health.</w:t>
      </w:r>
      <w:r w:rsidRPr="00BC3000">
        <w:rPr>
          <w:rStyle w:val="FootnoteReference"/>
        </w:rPr>
        <w:footnoteReference w:id="120"/>
      </w:r>
      <w:r w:rsidRPr="00BC3000">
        <w:rPr>
          <w:vertAlign w:val="superscript"/>
        </w:rPr>
        <w:t>,</w:t>
      </w:r>
      <w:r w:rsidRPr="00BC3000">
        <w:rPr>
          <w:rStyle w:val="FootnoteReference"/>
        </w:rPr>
        <w:footnoteReference w:id="121"/>
      </w:r>
    </w:p>
    <w:p w14:paraId="3AAEAD07" w14:textId="77777777" w:rsidR="00FE2CA8" w:rsidRPr="003D5D1B" w:rsidRDefault="00FE2CA8" w:rsidP="00FE2CA8">
      <w:r w:rsidRPr="003D5D1B">
        <w:t xml:space="preserve">The </w:t>
      </w:r>
      <w:r>
        <w:t xml:space="preserve">following </w:t>
      </w:r>
      <w:r w:rsidRPr="003D5D1B">
        <w:t xml:space="preserve">Regulations </w:t>
      </w:r>
      <w:r>
        <w:t>, among others, assist in managing the risk of</w:t>
      </w:r>
      <w:r w:rsidRPr="003D5D1B">
        <w:t xml:space="preserve"> noncommunicable diseases:</w:t>
      </w:r>
    </w:p>
    <w:p w14:paraId="6D7DD5E0" w14:textId="0C0BCBB4" w:rsidR="00FB48D2" w:rsidRPr="003D5D1B" w:rsidRDefault="00FB48D2" w:rsidP="00FB48D2">
      <w:pPr>
        <w:pStyle w:val="ListBullet"/>
      </w:pPr>
      <w:r w:rsidRPr="003D5D1B">
        <w:rPr>
          <w:b/>
          <w:bCs/>
        </w:rPr>
        <w:t>Regulation 18</w:t>
      </w:r>
      <w:r w:rsidRPr="003D5D1B">
        <w:t xml:space="preserve"> requires proprietors to keep prescribed accommodation in a good state of repair and ensure that facilities are clean and hygienic.</w:t>
      </w:r>
    </w:p>
    <w:p w14:paraId="0F82F5E1" w14:textId="77777777" w:rsidR="00FB48D2" w:rsidRPr="003D5D1B" w:rsidRDefault="00FB48D2" w:rsidP="00FB48D2">
      <w:pPr>
        <w:pStyle w:val="ListBullet"/>
      </w:pPr>
      <w:r w:rsidRPr="003D5D1B">
        <w:rPr>
          <w:b/>
          <w:bCs/>
        </w:rPr>
        <w:t>Regulation 22</w:t>
      </w:r>
      <w:r w:rsidRPr="003D5D1B">
        <w:t xml:space="preserve"> requires proprietors to ensure all sewage and wastewater is discharged appropriately. </w:t>
      </w:r>
    </w:p>
    <w:p w14:paraId="2E1F63D3" w14:textId="77777777" w:rsidR="00FB48D2" w:rsidRPr="003D5D1B" w:rsidRDefault="00FB48D2" w:rsidP="00FB48D2">
      <w:pPr>
        <w:pStyle w:val="ListBullet"/>
        <w:rPr>
          <w:b/>
          <w:bCs/>
        </w:rPr>
      </w:pPr>
      <w:r w:rsidRPr="003D5D1B">
        <w:rPr>
          <w:b/>
          <w:bCs/>
        </w:rPr>
        <w:t>Regulation 16</w:t>
      </w:r>
      <w:r w:rsidRPr="003D5D1B">
        <w:t xml:space="preserve"> provides a framework through which Councils can monitor and enforce compliance with the standards.</w:t>
      </w:r>
      <w:r w:rsidRPr="003D5D1B">
        <w:rPr>
          <w:b/>
          <w:bCs/>
        </w:rPr>
        <w:t xml:space="preserve"> </w:t>
      </w:r>
    </w:p>
    <w:p w14:paraId="05455A24" w14:textId="1F243D78" w:rsidR="00FB48D2" w:rsidRPr="003D5D1B" w:rsidRDefault="00FB48D2" w:rsidP="00FB48D2">
      <w:r w:rsidRPr="003D5D1B">
        <w:t>This means that proprietors must monitor and remove water-affected building materials (walls, carpets, furniture and bedding), correct water damage when it occurs, fix leaks in a timely manner, ensure that each room has the appropriate number of properly functioning ventilation points, and that adequate piping allows all water (exterior and waste) to be removed efficiently from the building.</w:t>
      </w:r>
      <w:r w:rsidRPr="00BC3000">
        <w:rPr>
          <w:rStyle w:val="FootnoteReference"/>
        </w:rPr>
        <w:footnoteReference w:id="122"/>
      </w:r>
      <w:r w:rsidRPr="00BC3000">
        <w:t xml:space="preserve"> Without the Re</w:t>
      </w:r>
      <w:r w:rsidRPr="003D5D1B">
        <w:t xml:space="preserve">gulations, this maintenance </w:t>
      </w:r>
      <w:r w:rsidR="00570F2C">
        <w:t>may</w:t>
      </w:r>
      <w:r w:rsidRPr="003D5D1B">
        <w:t xml:space="preserve"> not</w:t>
      </w:r>
      <w:r w:rsidR="003C12B2">
        <w:t xml:space="preserve"> be</w:t>
      </w:r>
      <w:r w:rsidRPr="003D5D1B">
        <w:t xml:space="preserve"> required and as a result occupants would be at greater risk of disease. </w:t>
      </w:r>
    </w:p>
    <w:p w14:paraId="3083CF0A" w14:textId="0C13899F" w:rsidR="00BA01D0" w:rsidRPr="00BA01D0" w:rsidRDefault="00BA01D0" w:rsidP="00BA01D0">
      <w:r w:rsidRPr="00274BC9">
        <w:t xml:space="preserve">The Regulations also </w:t>
      </w:r>
      <w:r w:rsidR="004B5AFB" w:rsidRPr="004B68E2">
        <w:t xml:space="preserve">reduce injury as a result of inadequate maintenance of accommodation </w:t>
      </w:r>
      <w:r w:rsidR="005D5E87" w:rsidRPr="004B68E2">
        <w:t>facilit</w:t>
      </w:r>
      <w:r w:rsidR="005D5E87">
        <w:t>ies</w:t>
      </w:r>
      <w:r w:rsidR="004B5AFB" w:rsidRPr="004B68E2">
        <w:t xml:space="preserve">. </w:t>
      </w:r>
      <w:r w:rsidRPr="00BA01D0">
        <w:t>Historically, almost a quarter (24%) of hospital admissions, over a third (34.1%) of Emergency Department presentations, and over a third of injury deaths in Victoria have occurred within the place of residence.</w:t>
      </w:r>
      <w:r w:rsidRPr="00BA01D0">
        <w:rPr>
          <w:vertAlign w:val="superscript"/>
        </w:rPr>
        <w:footnoteReference w:id="123"/>
      </w:r>
      <w:r w:rsidRPr="00BA01D0">
        <w:rPr>
          <w:vertAlign w:val="superscript"/>
        </w:rPr>
        <w:t>,</w:t>
      </w:r>
      <w:r w:rsidRPr="00BA01D0">
        <w:rPr>
          <w:vertAlign w:val="superscript"/>
        </w:rPr>
        <w:footnoteReference w:id="124"/>
      </w:r>
      <w:r w:rsidRPr="00BA01D0">
        <w:rPr>
          <w:vertAlign w:val="superscript"/>
        </w:rPr>
        <w:t>,</w:t>
      </w:r>
      <w:r w:rsidRPr="00BA01D0">
        <w:rPr>
          <w:vertAlign w:val="superscript"/>
        </w:rPr>
        <w:footnoteReference w:id="125"/>
      </w:r>
      <w:r w:rsidRPr="00BA01D0">
        <w:t xml:space="preserve"> Two of the three main causes of injury, falls</w:t>
      </w:r>
      <w:r w:rsidRPr="00BA01D0">
        <w:rPr>
          <w:vertAlign w:val="superscript"/>
        </w:rPr>
        <w:footnoteReference w:id="126"/>
      </w:r>
      <w:r w:rsidRPr="00BA01D0">
        <w:t xml:space="preserve"> and burns</w:t>
      </w:r>
      <w:r w:rsidRPr="00BA01D0">
        <w:rPr>
          <w:vertAlign w:val="superscript"/>
        </w:rPr>
        <w:footnoteReference w:id="127"/>
      </w:r>
      <w:r w:rsidRPr="00BA01D0">
        <w:t>, can be prevented via:</w:t>
      </w:r>
    </w:p>
    <w:p w14:paraId="4BAA7A1D" w14:textId="77777777" w:rsidR="00BA01D0" w:rsidRPr="004B68E2" w:rsidRDefault="00BA01D0" w:rsidP="004B68E2">
      <w:pPr>
        <w:pStyle w:val="ListBullet"/>
      </w:pPr>
      <w:r w:rsidRPr="00274BC9">
        <w:t>Safe design, construction</w:t>
      </w:r>
      <w:r w:rsidRPr="00BD269A">
        <w:t xml:space="preserve"> and installation of </w:t>
      </w:r>
      <w:r w:rsidRPr="004B68E2">
        <w:t>exterior and interior furnishings (for example, stairs and carpet)</w:t>
      </w:r>
    </w:p>
    <w:p w14:paraId="661B8F50" w14:textId="77777777" w:rsidR="00BA01D0" w:rsidRPr="004B68E2" w:rsidRDefault="00BA01D0" w:rsidP="004B68E2">
      <w:pPr>
        <w:pStyle w:val="ListBullet"/>
      </w:pPr>
      <w:r w:rsidRPr="004B68E2">
        <w:t>Accessibility and safety fittings (for example, handrails and smoke alarms)</w:t>
      </w:r>
    </w:p>
    <w:p w14:paraId="4A55D5AA" w14:textId="77777777" w:rsidR="00BA01D0" w:rsidRPr="004B68E2" w:rsidRDefault="00BA01D0" w:rsidP="004B68E2">
      <w:pPr>
        <w:pStyle w:val="ListBullet"/>
      </w:pPr>
      <w:r w:rsidRPr="004B68E2">
        <w:t>Frequent monitoring of gas and electrical appliances and supply routes.</w:t>
      </w:r>
    </w:p>
    <w:p w14:paraId="59F2C049" w14:textId="64936051" w:rsidR="00BA01D0" w:rsidRPr="00BA01D0" w:rsidRDefault="00AA0288" w:rsidP="00BA01D0">
      <w:r>
        <w:lastRenderedPageBreak/>
        <w:t xml:space="preserve">It is important to note that </w:t>
      </w:r>
      <w:r w:rsidR="00F01C83">
        <w:t>only some of these</w:t>
      </w:r>
      <w:r w:rsidR="00BA01D0" w:rsidRPr="00BA01D0">
        <w:t xml:space="preserve"> causes are relevant to the standards that are mandated under Option 1 (current Regulations), </w:t>
      </w:r>
      <w:r w:rsidR="00F52536">
        <w:t xml:space="preserve">however </w:t>
      </w:r>
      <w:r w:rsidR="00CA1144">
        <w:t xml:space="preserve">it </w:t>
      </w:r>
      <w:r w:rsidR="009D0F8C">
        <w:t>gives an indication of</w:t>
      </w:r>
      <w:r w:rsidR="00CA1144">
        <w:t xml:space="preserve"> </w:t>
      </w:r>
      <w:r w:rsidR="00BA01D0" w:rsidRPr="00BA01D0">
        <w:t xml:space="preserve">the </w:t>
      </w:r>
      <w:r w:rsidR="009D0F8C">
        <w:t xml:space="preserve">types of accidents and injuries that can occur in </w:t>
      </w:r>
      <w:r w:rsidR="00274BC9">
        <w:t>houses.</w:t>
      </w:r>
      <w:r w:rsidR="009D0F8C">
        <w:t xml:space="preserve"> </w:t>
      </w:r>
      <w:r w:rsidR="00BA01D0" w:rsidRPr="00BA01D0">
        <w:t>Regulations protect occupants from avoidable injuries arising from substandard or poorly maintained housing:</w:t>
      </w:r>
    </w:p>
    <w:p w14:paraId="509FCB4D" w14:textId="0EBD725F" w:rsidR="00FB48D2" w:rsidRPr="003D5D1B" w:rsidRDefault="00FB48D2" w:rsidP="00FB48D2">
      <w:r>
        <w:t>T</w:t>
      </w:r>
      <w:r w:rsidRPr="003D5D1B">
        <w:t>he Regulations</w:t>
      </w:r>
      <w:r w:rsidR="00BA01D0">
        <w:t>,</w:t>
      </w:r>
      <w:r w:rsidRPr="003D5D1B">
        <w:t xml:space="preserve"> </w:t>
      </w:r>
      <w:r>
        <w:t xml:space="preserve">including the following, </w:t>
      </w:r>
      <w:r w:rsidRPr="003D5D1B">
        <w:t xml:space="preserve">protect occupants from avoidable injuries arising from </w:t>
      </w:r>
      <w:r>
        <w:t>poorly maintained premises</w:t>
      </w:r>
      <w:r w:rsidRPr="003D5D1B">
        <w:t>:</w:t>
      </w:r>
    </w:p>
    <w:p w14:paraId="1D4739F8" w14:textId="77777777" w:rsidR="00FB48D2" w:rsidRPr="003D5D1B" w:rsidRDefault="00FB48D2" w:rsidP="00FB48D2">
      <w:pPr>
        <w:pStyle w:val="ListBullet"/>
      </w:pPr>
      <w:r w:rsidRPr="003D5D1B">
        <w:rPr>
          <w:b/>
          <w:bCs/>
        </w:rPr>
        <w:t xml:space="preserve">Regulation 18 </w:t>
      </w:r>
      <w:r w:rsidRPr="003D5D1B">
        <w:t>requires proprietors to maintain their premises in a liveable condition; particularly, all bedrooms, facilities and living areas must be in working order.</w:t>
      </w:r>
    </w:p>
    <w:p w14:paraId="50878F46" w14:textId="57902303" w:rsidR="00FB48D2" w:rsidRPr="003D5D1B" w:rsidRDefault="00FB48D2" w:rsidP="00FB48D2">
      <w:pPr>
        <w:pStyle w:val="ListBullet"/>
        <w:rPr>
          <w:b/>
          <w:bCs/>
        </w:rPr>
      </w:pPr>
      <w:r w:rsidRPr="003D5D1B">
        <w:rPr>
          <w:b/>
          <w:bCs/>
        </w:rPr>
        <w:t>Regulation 16</w:t>
      </w:r>
      <w:r w:rsidRPr="003D5D1B">
        <w:t xml:space="preserve"> which sets out the requirements for registration of prescribed accommodation provides a framework through which Councils can monitor and enforce compliance with the standards.</w:t>
      </w:r>
      <w:r w:rsidRPr="003D5D1B">
        <w:rPr>
          <w:b/>
          <w:bCs/>
        </w:rPr>
        <w:t xml:space="preserve"> </w:t>
      </w:r>
    </w:p>
    <w:p w14:paraId="7B904266" w14:textId="4C56F8F6" w:rsidR="00FB48D2" w:rsidRPr="003D5D1B" w:rsidRDefault="00FB48D2" w:rsidP="00FB48D2">
      <w:r>
        <w:t>Overall, t</w:t>
      </w:r>
      <w:r w:rsidRPr="003D5D1B">
        <w:t xml:space="preserve">he size of the </w:t>
      </w:r>
      <w:r>
        <w:t xml:space="preserve">public health and wellbeing </w:t>
      </w:r>
      <w:r w:rsidRPr="003D5D1B">
        <w:t>benefit</w:t>
      </w:r>
      <w:r>
        <w:t xml:space="preserve"> of reduced illness and injury</w:t>
      </w:r>
      <w:r w:rsidRPr="003D5D1B">
        <w:t xml:space="preserve"> for Option 1 versus the Base Case depends on how many proprietors would meet the standards even if there were no regulations in place. Market forces, self-regulation tools (e.g. customer review websites), and adherence to good commercial practice may encourage proprietors to maintain adequate standards, voluntarily. On the other hand, in the absence of </w:t>
      </w:r>
      <w:r>
        <w:t xml:space="preserve">the </w:t>
      </w:r>
      <w:r w:rsidRPr="003D5D1B">
        <w:t xml:space="preserve">Regulation, some proprietors might undertake significantly less maintenance. These are more likely to be proprietors of cheaper facilities such as rooming houses, hostels and student dormitories who are under cost pressures to provide budget accommodation for </w:t>
      </w:r>
      <w:r>
        <w:t xml:space="preserve">occupants, including </w:t>
      </w:r>
      <w:r w:rsidRPr="003D5D1B">
        <w:t xml:space="preserve">vulnerable occupants. </w:t>
      </w:r>
    </w:p>
    <w:p w14:paraId="12999188" w14:textId="3FEA4899" w:rsidR="00FB48D2" w:rsidRDefault="00FB48D2" w:rsidP="00456DA8">
      <w:r w:rsidRPr="003D5D1B">
        <w:t xml:space="preserve">It is difficult to determine the size of this benefit given the limited data available. However, the evidence relating health risks to </w:t>
      </w:r>
      <w:r>
        <w:t>accommodation</w:t>
      </w:r>
      <w:r w:rsidRPr="003D5D1B">
        <w:t xml:space="preserve"> standards, and stakeholder consensus that the current Regulations play an important role in minimising </w:t>
      </w:r>
      <w:r>
        <w:t xml:space="preserve">public </w:t>
      </w:r>
      <w:r w:rsidRPr="003D5D1B">
        <w:t>health risks</w:t>
      </w:r>
      <w:r w:rsidR="00124C3E">
        <w:t>,</w:t>
      </w:r>
      <w:r w:rsidRPr="003D5D1B">
        <w:t xml:space="preserve"> suggests this benefit is realised to a much greater extent under Option 1 than under the Base Case (noting vulnerable persons will benefit most from the Regulations). </w:t>
      </w:r>
    </w:p>
    <w:p w14:paraId="2870C82D" w14:textId="77777777" w:rsidR="00FB48D2" w:rsidRPr="003D5D1B" w:rsidRDefault="00FB48D2" w:rsidP="00FB48D2">
      <w:pPr>
        <w:pStyle w:val="Heading4"/>
        <w:numPr>
          <w:ilvl w:val="0"/>
          <w:numId w:val="0"/>
        </w:numPr>
        <w:ind w:left="864" w:hanging="864"/>
      </w:pPr>
      <w:r w:rsidRPr="003D5D1B">
        <w:t>Avoided healthcare costs</w:t>
      </w:r>
    </w:p>
    <w:p w14:paraId="09BC41EA" w14:textId="77777777" w:rsidR="00FB48D2" w:rsidRPr="003D5D1B" w:rsidRDefault="00FB48D2" w:rsidP="00FB48D2">
      <w:r w:rsidRPr="003D5D1B">
        <w:t>Evidence suggests that identifying risks to human health and fostering a culture whereby these risks are addressed in a timely manner can avoid direct healthcare costs to individuals and the healthcare system:</w:t>
      </w:r>
      <w:r w:rsidRPr="00BC3000">
        <w:rPr>
          <w:rStyle w:val="FootnoteReference"/>
        </w:rPr>
        <w:footnoteReference w:id="128"/>
      </w:r>
      <w:r w:rsidRPr="00BC3000">
        <w:rPr>
          <w:vertAlign w:val="superscript"/>
        </w:rPr>
        <w:t>,</w:t>
      </w:r>
      <w:r w:rsidRPr="00BC3000">
        <w:rPr>
          <w:rStyle w:val="FootnoteReference"/>
        </w:rPr>
        <w:footnoteReference w:id="129"/>
      </w:r>
      <w:r w:rsidRPr="00BC3000">
        <w:t xml:space="preserve"> </w:t>
      </w:r>
    </w:p>
    <w:p w14:paraId="16396023" w14:textId="33D769EB" w:rsidR="00FB48D2" w:rsidRPr="003D5D1B" w:rsidRDefault="00FB48D2" w:rsidP="00FB48D2">
      <w:pPr>
        <w:pStyle w:val="ListBullet"/>
      </w:pPr>
      <w:r w:rsidRPr="003D5D1B">
        <w:t xml:space="preserve">The </w:t>
      </w:r>
      <w:r w:rsidRPr="003D5D1B">
        <w:rPr>
          <w:i/>
          <w:iCs/>
        </w:rPr>
        <w:t xml:space="preserve">Healthy Housing </w:t>
      </w:r>
      <w:r w:rsidRPr="003D5D1B">
        <w:t>initiative in NSW observed that improving domestic hygiene - ensuring bathroom facilities were in a good state of repair, removing waste safely, and enhancing cleaning and laundry practices – in substandard housing resulted in a 38% decrease in the number of hospital separations</w:t>
      </w:r>
      <w:r w:rsidRPr="00BC3000">
        <w:rPr>
          <w:rStyle w:val="FootnoteReference"/>
        </w:rPr>
        <w:footnoteReference w:id="130"/>
      </w:r>
      <w:r w:rsidRPr="00BC3000">
        <w:t xml:space="preserve"> </w:t>
      </w:r>
      <w:r w:rsidRPr="003D5D1B">
        <w:t>for infectious disease (acute respiratory tract infections, skin infections, and gastrointestinal infections) in occupants.</w:t>
      </w:r>
      <w:r w:rsidRPr="00BC3000">
        <w:rPr>
          <w:rStyle w:val="FootnoteReference"/>
        </w:rPr>
        <w:footnoteReference w:id="131"/>
      </w:r>
      <w:r w:rsidRPr="00BC3000">
        <w:t xml:space="preserve"> </w:t>
      </w:r>
    </w:p>
    <w:p w14:paraId="3229E60C" w14:textId="1F8C30B6" w:rsidR="00FB48D2" w:rsidRPr="00BC3000" w:rsidRDefault="00FB48D2" w:rsidP="00FB48D2">
      <w:pPr>
        <w:pStyle w:val="ListBullet"/>
      </w:pPr>
      <w:r w:rsidRPr="003D5D1B">
        <w:t>Studies in the UK have estimated that the cost of housing disrepair</w:t>
      </w:r>
      <w:r w:rsidRPr="00BC3000">
        <w:rPr>
          <w:rStyle w:val="FootnoteReference"/>
        </w:rPr>
        <w:footnoteReference w:id="132"/>
      </w:r>
      <w:r w:rsidRPr="00BC3000">
        <w:t xml:space="preserve"> </w:t>
      </w:r>
      <w:r w:rsidRPr="003D5D1B">
        <w:t xml:space="preserve">to the National Health Service in initial treatment costs is approximately £760m </w:t>
      </w:r>
      <w:r w:rsidR="00BF64B7">
        <w:t xml:space="preserve"> per year </w:t>
      </w:r>
      <w:r w:rsidRPr="003D5D1B">
        <w:t>(across 5,718,325 incidences).</w:t>
      </w:r>
      <w:r w:rsidRPr="00BC3000">
        <w:rPr>
          <w:rStyle w:val="FootnoteReference"/>
        </w:rPr>
        <w:footnoteReference w:id="133"/>
      </w:r>
      <w:r w:rsidRPr="00BC3000">
        <w:t xml:space="preserve"> </w:t>
      </w:r>
      <w:r w:rsidRPr="003D5D1B">
        <w:t>This includes injury and illness from falls, dampness, domestic hygiene, water supply, overcrowding and electrical and structural problems.</w:t>
      </w:r>
      <w:r w:rsidRPr="00BC3000">
        <w:rPr>
          <w:rStyle w:val="FootnoteReference"/>
        </w:rPr>
        <w:footnoteReference w:id="134"/>
      </w:r>
    </w:p>
    <w:p w14:paraId="0C6B3134" w14:textId="0DB71303" w:rsidR="00FB48D2" w:rsidRPr="003D5D1B" w:rsidRDefault="00FB48D2" w:rsidP="00FB48D2">
      <w:r w:rsidRPr="003D5D1B">
        <w:lastRenderedPageBreak/>
        <w:t xml:space="preserve">The Regulations establish standards around maintenance, hygiene, </w:t>
      </w:r>
      <w:r>
        <w:t xml:space="preserve">and </w:t>
      </w:r>
      <w:r w:rsidR="00237A98">
        <w:t>space and occupancy</w:t>
      </w:r>
      <w:r w:rsidRPr="003D5D1B">
        <w:t xml:space="preserve"> of facilities. These measures mean that prescribed accommodation can function to support heathy living, which in turn reduces the cost of healthcare incurred by the individual and the healthcare system. Councils have the authority to monitor and enforce compliance </w:t>
      </w:r>
      <w:r w:rsidR="00C754FC">
        <w:t>with</w:t>
      </w:r>
      <w:r w:rsidRPr="003D5D1B">
        <w:t xml:space="preserve"> the Regulations </w:t>
      </w:r>
      <w:r w:rsidR="00C754FC">
        <w:t xml:space="preserve">and this </w:t>
      </w:r>
      <w:r w:rsidRPr="003D5D1B">
        <w:t>promotes adherence to high health standards by proprietors.</w:t>
      </w:r>
    </w:p>
    <w:p w14:paraId="074B5F60" w14:textId="1877C1A4" w:rsidR="00FB48D2" w:rsidRPr="003D5D1B" w:rsidRDefault="00FB48D2" w:rsidP="00FB48D2">
      <w:r w:rsidRPr="003D5D1B">
        <w:t xml:space="preserve">Ultimately, it is difficult to assign a score to the health and </w:t>
      </w:r>
      <w:r>
        <w:t xml:space="preserve">wellbeing </w:t>
      </w:r>
      <w:r w:rsidRPr="003D5D1B">
        <w:t xml:space="preserve">benefits given the lack of firm data on the extent to which proprietors would not meet acceptable standards in the absence of the </w:t>
      </w:r>
      <w:r w:rsidR="00C754FC">
        <w:t>R</w:t>
      </w:r>
      <w:r w:rsidRPr="003D5D1B">
        <w:t xml:space="preserve">egulations, and the subsequent cost to the community. However, given the high cost to individuals and the community of illness and injury, and </w:t>
      </w:r>
      <w:r w:rsidR="005107C7">
        <w:t>comparing these avoided costs</w:t>
      </w:r>
      <w:r w:rsidR="005107C7" w:rsidRPr="003D5D1B">
        <w:t xml:space="preserve"> to the cost</w:t>
      </w:r>
      <w:r w:rsidR="005107C7">
        <w:t xml:space="preserve"> of the R</w:t>
      </w:r>
      <w:r w:rsidR="005107C7" w:rsidRPr="003D5D1B">
        <w:t xml:space="preserve">egulations articulated in the previous section, </w:t>
      </w:r>
      <w:r w:rsidR="005107C7">
        <w:t>Option 1 is</w:t>
      </w:r>
      <w:r w:rsidR="005107C7" w:rsidRPr="003D5D1B">
        <w:t xml:space="preserve"> score</w:t>
      </w:r>
      <w:r w:rsidR="005107C7">
        <w:t>d</w:t>
      </w:r>
      <w:r w:rsidR="005107C7" w:rsidRPr="003D5D1B">
        <w:t xml:space="preserve"> +</w:t>
      </w:r>
      <w:r w:rsidR="00A171B9">
        <w:t>7</w:t>
      </w:r>
      <w:r w:rsidR="005107C7" w:rsidRPr="003D5D1B">
        <w:t>.</w:t>
      </w:r>
      <w:r w:rsidR="00FE75AB">
        <w:t xml:space="preserve"> The Regulations are ex</w:t>
      </w:r>
      <w:r w:rsidR="00B15EF0">
        <w:t>pec</w:t>
      </w:r>
      <w:r w:rsidR="00FE75AB">
        <w:t xml:space="preserve">ted to have substantial </w:t>
      </w:r>
      <w:r w:rsidR="00FE75AB" w:rsidRPr="003D5D1B">
        <w:t xml:space="preserve">health and </w:t>
      </w:r>
      <w:r w:rsidR="00FE75AB">
        <w:t xml:space="preserve">wellbeing </w:t>
      </w:r>
      <w:r w:rsidR="00FE75AB" w:rsidRPr="003D5D1B">
        <w:t>benefits</w:t>
      </w:r>
      <w:r w:rsidR="00FE75AB">
        <w:t>.</w:t>
      </w:r>
    </w:p>
    <w:p w14:paraId="7196A44A" w14:textId="3F92821B" w:rsidR="00FB48D2" w:rsidRPr="003D5D1B" w:rsidRDefault="00FB48D2" w:rsidP="00FB48D2">
      <w:pPr>
        <w:pStyle w:val="Caption"/>
      </w:pPr>
      <w:r w:rsidRPr="003D5D1B">
        <w:t xml:space="preserve">Table </w:t>
      </w:r>
      <w:r w:rsidR="004335F8">
        <w:fldChar w:fldCharType="begin"/>
      </w:r>
      <w:r w:rsidR="004335F8">
        <w:instrText xml:space="preserve"> STYLEREF 1 \s </w:instrText>
      </w:r>
      <w:r w:rsidR="004335F8">
        <w:fldChar w:fldCharType="separate"/>
      </w:r>
      <w:r w:rsidR="00795309">
        <w:rPr>
          <w:noProof/>
        </w:rPr>
        <w:t>4</w:t>
      </w:r>
      <w:r w:rsidR="004335F8">
        <w:fldChar w:fldCharType="end"/>
      </w:r>
      <w:r w:rsidR="004335F8">
        <w:noBreakHyphen/>
      </w:r>
      <w:r w:rsidR="004335F8">
        <w:fldChar w:fldCharType="begin"/>
      </w:r>
      <w:r w:rsidR="004335F8">
        <w:instrText xml:space="preserve"> SEQ Table \* ARABIC \s 1 </w:instrText>
      </w:r>
      <w:r w:rsidR="004335F8">
        <w:fldChar w:fldCharType="separate"/>
      </w:r>
      <w:r w:rsidR="00795309">
        <w:rPr>
          <w:noProof/>
        </w:rPr>
        <w:t>18</w:t>
      </w:r>
      <w:r w:rsidR="004335F8">
        <w:fldChar w:fldCharType="end"/>
      </w:r>
      <w:r w:rsidRPr="00BC3000">
        <w:t xml:space="preserve"> MCA Criteria: </w:t>
      </w:r>
      <w:r w:rsidRPr="003D5D1B">
        <w:t xml:space="preserve">Health and Safety </w:t>
      </w:r>
    </w:p>
    <w:tbl>
      <w:tblPr>
        <w:tblStyle w:val="Deloittetable1"/>
        <w:tblW w:w="0" w:type="auto"/>
        <w:tblLook w:val="04A0" w:firstRow="1" w:lastRow="0" w:firstColumn="1" w:lastColumn="0" w:noHBand="0" w:noVBand="1"/>
      </w:tblPr>
      <w:tblGrid>
        <w:gridCol w:w="2256"/>
        <w:gridCol w:w="2256"/>
        <w:gridCol w:w="2257"/>
      </w:tblGrid>
      <w:tr w:rsidR="00FB48D2" w:rsidRPr="003D5D1B" w14:paraId="03F58B0D" w14:textId="77777777" w:rsidTr="00246B9B">
        <w:trPr>
          <w:cnfStyle w:val="100000000000" w:firstRow="1" w:lastRow="0" w:firstColumn="0" w:lastColumn="0" w:oddVBand="0" w:evenVBand="0" w:oddHBand="0" w:evenHBand="0" w:firstRowFirstColumn="0" w:firstRowLastColumn="0" w:lastRowFirstColumn="0" w:lastRowLastColumn="0"/>
        </w:trPr>
        <w:tc>
          <w:tcPr>
            <w:tcW w:w="2256" w:type="dxa"/>
          </w:tcPr>
          <w:p w14:paraId="3B29907C" w14:textId="77777777" w:rsidR="00FB48D2" w:rsidRPr="003D5D1B" w:rsidRDefault="00FB48D2" w:rsidP="00246B9B">
            <w:pPr>
              <w:rPr>
                <w:b/>
              </w:rPr>
            </w:pPr>
            <w:r w:rsidRPr="003D5D1B">
              <w:rPr>
                <w:b/>
              </w:rPr>
              <w:t>MCA Criteria</w:t>
            </w:r>
          </w:p>
        </w:tc>
        <w:tc>
          <w:tcPr>
            <w:tcW w:w="2256" w:type="dxa"/>
          </w:tcPr>
          <w:p w14:paraId="4498CA93" w14:textId="77777777" w:rsidR="00FB48D2" w:rsidRPr="003D5D1B" w:rsidRDefault="00FB48D2" w:rsidP="00246B9B">
            <w:pPr>
              <w:jc w:val="center"/>
              <w:rPr>
                <w:b/>
              </w:rPr>
            </w:pPr>
            <w:r w:rsidRPr="003D5D1B">
              <w:rPr>
                <w:b/>
              </w:rPr>
              <w:t>Base case</w:t>
            </w:r>
          </w:p>
        </w:tc>
        <w:tc>
          <w:tcPr>
            <w:tcW w:w="2257" w:type="dxa"/>
          </w:tcPr>
          <w:p w14:paraId="34A047F6" w14:textId="77777777" w:rsidR="00FB48D2" w:rsidRPr="003D5D1B" w:rsidRDefault="00FB48D2" w:rsidP="00246B9B">
            <w:pPr>
              <w:jc w:val="center"/>
              <w:rPr>
                <w:b/>
              </w:rPr>
            </w:pPr>
            <w:r w:rsidRPr="003D5D1B">
              <w:rPr>
                <w:b/>
              </w:rPr>
              <w:t>Option 1</w:t>
            </w:r>
          </w:p>
        </w:tc>
      </w:tr>
      <w:tr w:rsidR="00FB48D2" w:rsidRPr="003D5D1B" w14:paraId="0A6D1462" w14:textId="77777777" w:rsidTr="00246B9B">
        <w:tc>
          <w:tcPr>
            <w:tcW w:w="2256" w:type="dxa"/>
          </w:tcPr>
          <w:p w14:paraId="7DE42DA9" w14:textId="16A1394C" w:rsidR="00FB48D2" w:rsidRPr="003D5D1B" w:rsidRDefault="00FB48D2" w:rsidP="00246B9B">
            <w:r w:rsidRPr="003D5D1B">
              <w:t>Health and safety</w:t>
            </w:r>
          </w:p>
        </w:tc>
        <w:tc>
          <w:tcPr>
            <w:tcW w:w="2256" w:type="dxa"/>
          </w:tcPr>
          <w:p w14:paraId="35B8B896" w14:textId="77777777" w:rsidR="00FB48D2" w:rsidRPr="003D5D1B" w:rsidRDefault="00FB48D2" w:rsidP="00246B9B">
            <w:pPr>
              <w:jc w:val="center"/>
            </w:pPr>
            <w:r w:rsidRPr="003D5D1B">
              <w:t>0</w:t>
            </w:r>
          </w:p>
        </w:tc>
        <w:tc>
          <w:tcPr>
            <w:tcW w:w="2257" w:type="dxa"/>
          </w:tcPr>
          <w:p w14:paraId="0A8E26A4" w14:textId="5E4E7A5F" w:rsidR="00FB48D2" w:rsidRPr="003D5D1B" w:rsidRDefault="00FB48D2" w:rsidP="00246B9B">
            <w:pPr>
              <w:jc w:val="center"/>
            </w:pPr>
            <w:r w:rsidRPr="003D5D1B">
              <w:t>+</w:t>
            </w:r>
            <w:r w:rsidR="00A171B9">
              <w:t>7</w:t>
            </w:r>
          </w:p>
        </w:tc>
      </w:tr>
    </w:tbl>
    <w:p w14:paraId="15B3ACED" w14:textId="77777777" w:rsidR="00FB48D2" w:rsidRPr="003D5D1B" w:rsidRDefault="00FB48D2" w:rsidP="00FB48D2"/>
    <w:p w14:paraId="28FDB1DA" w14:textId="77777777" w:rsidR="00FB48D2" w:rsidRPr="003D5D1B" w:rsidRDefault="00FB48D2" w:rsidP="000A471E">
      <w:pPr>
        <w:pStyle w:val="Heading3"/>
      </w:pPr>
      <w:r w:rsidRPr="003D5D1B">
        <w:t>Summary of results</w:t>
      </w:r>
    </w:p>
    <w:p w14:paraId="279CC30D" w14:textId="03B9794A" w:rsidR="00FB48D2" w:rsidRPr="003D5D1B" w:rsidRDefault="00FB48D2" w:rsidP="00FB48D2">
      <w:r w:rsidRPr="003D5D1B">
        <w:t xml:space="preserve">Scores for each criteria are summarised in </w:t>
      </w:r>
      <w:r w:rsidR="008B5756">
        <w:t>the table below</w:t>
      </w:r>
      <w:r w:rsidRPr="00BC3000">
        <w:t>.</w:t>
      </w:r>
      <w:r w:rsidRPr="003D5D1B">
        <w:t xml:space="preserve"> Option 1 is preferred to the Base Case of no regulations. This reflects that:</w:t>
      </w:r>
    </w:p>
    <w:p w14:paraId="43F38ECE" w14:textId="6F5CCE62" w:rsidR="00FB48D2" w:rsidRPr="003D5D1B" w:rsidRDefault="00FB48D2" w:rsidP="00FB48D2">
      <w:pPr>
        <w:pStyle w:val="ListBullet"/>
      </w:pPr>
      <w:r w:rsidRPr="003D5D1B">
        <w:t xml:space="preserve">The costs to businesses are higher in Option 1 relative to the Base Case as proprietors incur costs relating to registration, maintaining a register of occupants and undertaking additional maintenance. </w:t>
      </w:r>
      <w:r w:rsidR="008B5756">
        <w:t xml:space="preserve">Proprietors also </w:t>
      </w:r>
      <w:r w:rsidR="0090648E">
        <w:t>pay registration</w:t>
      </w:r>
      <w:r w:rsidR="008B5756">
        <w:t xml:space="preserve"> fees to cover</w:t>
      </w:r>
      <w:r w:rsidR="005770E6">
        <w:t xml:space="preserve"> </w:t>
      </w:r>
      <w:r w:rsidR="008B5756">
        <w:t xml:space="preserve">the </w:t>
      </w:r>
      <w:r w:rsidR="005770E6">
        <w:t>costs of</w:t>
      </w:r>
      <w:r w:rsidR="003157A0">
        <w:t xml:space="preserve"> admin</w:t>
      </w:r>
      <w:r w:rsidR="00EA13A0">
        <w:t xml:space="preserve">istration, inspection and </w:t>
      </w:r>
      <w:r w:rsidR="008B5756">
        <w:t xml:space="preserve">enforcement activities incurred by Councils. </w:t>
      </w:r>
      <w:r w:rsidRPr="003D5D1B">
        <w:t>Relative to the Base Case, these activities are estimated to cost proprietors $</w:t>
      </w:r>
      <w:r w:rsidR="001E05DB">
        <w:t>62.</w:t>
      </w:r>
      <w:r w:rsidR="004B3E3B">
        <w:t>4</w:t>
      </w:r>
      <w:r>
        <w:t xml:space="preserve"> </w:t>
      </w:r>
      <w:r w:rsidRPr="003D5D1B">
        <w:t xml:space="preserve">million </w:t>
      </w:r>
      <w:r w:rsidR="001E05DB">
        <w:t xml:space="preserve">in NPV </w:t>
      </w:r>
      <w:r w:rsidRPr="003D5D1B">
        <w:t>over the life of the Regulations. A score of -</w:t>
      </w:r>
      <w:r w:rsidR="00093FB8">
        <w:t>7</w:t>
      </w:r>
      <w:r w:rsidR="008B5756" w:rsidRPr="003D5D1B">
        <w:t xml:space="preserve"> </w:t>
      </w:r>
      <w:r w:rsidRPr="003D5D1B">
        <w:t>is assigned to this criterion.</w:t>
      </w:r>
    </w:p>
    <w:p w14:paraId="1620B53A" w14:textId="79BD83D7" w:rsidR="00FB48D2" w:rsidRPr="003D5D1B" w:rsidRDefault="00FB48D2" w:rsidP="00FB48D2">
      <w:pPr>
        <w:pStyle w:val="ListBullet"/>
      </w:pPr>
      <w:r w:rsidRPr="003D5D1B">
        <w:t xml:space="preserve">Evidence suggests Regulations on maintenance, cleanliness, maximum occupancy and minimal requirements reduce costs associated with personal and public health and </w:t>
      </w:r>
      <w:r>
        <w:t>wellbeing</w:t>
      </w:r>
      <w:r w:rsidRPr="003D5D1B">
        <w:t>. These benefits particularly apply to vulnerable populations who are predisposed to poor social determinants of health. A score of +</w:t>
      </w:r>
      <w:r w:rsidR="00A171B9">
        <w:t>7</w:t>
      </w:r>
      <w:r w:rsidRPr="003D5D1B">
        <w:t xml:space="preserve"> is assigned to this criterion.</w:t>
      </w:r>
    </w:p>
    <w:p w14:paraId="7FD5253E" w14:textId="7677B7ED" w:rsidR="00FB48D2" w:rsidRPr="003D5D1B" w:rsidRDefault="00FB48D2" w:rsidP="00FB48D2">
      <w:pPr>
        <w:pStyle w:val="ListBullet"/>
      </w:pPr>
      <w:r w:rsidRPr="003D5D1B">
        <w:t xml:space="preserve">The costs of supplying accommodation that aligns with the Regulations may reduce supply; the costs to proprietors, especially those providing budget accommodation, may drive some proprietors out of the market. The recovery costs (built into the price of accommodation) borne by occupants may be a significant deterrent. A score of -2 is assigned to this criterion. </w:t>
      </w:r>
    </w:p>
    <w:p w14:paraId="23755CE7" w14:textId="503E3BEE" w:rsidR="0017208C" w:rsidRPr="0017208C" w:rsidRDefault="0017208C" w:rsidP="00D21C90">
      <w:pPr>
        <w:pStyle w:val="Caption"/>
        <w:tabs>
          <w:tab w:val="left" w:pos="6787"/>
        </w:tabs>
      </w:pPr>
      <w:bookmarkStart w:id="178" w:name="_Ref49328379"/>
      <w:r w:rsidRPr="008B30F9">
        <w:rPr>
          <w:rFonts w:eastAsia="Calibri" w:cs="Calibri"/>
          <w:iCs w:val="0"/>
          <w:color w:val="000000"/>
          <w:sz w:val="18"/>
        </w:rPr>
        <w:t>While the total weighted score is only slightly positive for Options 1 and 2 versus the Base Case, some of the costs estimated in this RIS are considered to be at the upper bound of what would businesses would be expected to incur</w:t>
      </w:r>
      <w:r>
        <w:rPr>
          <w:rFonts w:eastAsia="Calibri" w:cs="Calibri"/>
          <w:iCs w:val="0"/>
          <w:color w:val="000000"/>
          <w:sz w:val="18"/>
        </w:rPr>
        <w:t>, for example maintenance costs is considered an upper bound estimate of costs as discussed in section 4.3.1.</w:t>
      </w:r>
      <w:r w:rsidR="00D21C90">
        <w:rPr>
          <w:rFonts w:eastAsia="Calibri" w:cs="Calibri"/>
          <w:iCs w:val="0"/>
          <w:color w:val="000000"/>
          <w:sz w:val="18"/>
        </w:rPr>
        <w:t xml:space="preserve"> </w:t>
      </w:r>
      <w:r>
        <w:t>Results of sensitivity analysis are provided in Appendix F.</w:t>
      </w:r>
    </w:p>
    <w:p w14:paraId="2F02BE0D" w14:textId="4FFE910C" w:rsidR="00FB48D2" w:rsidRPr="003D5D1B" w:rsidRDefault="00FB48D2" w:rsidP="00FB48D2">
      <w:pPr>
        <w:pStyle w:val="Caption"/>
        <w:tabs>
          <w:tab w:val="left" w:pos="6787"/>
        </w:tabs>
      </w:pPr>
      <w:bookmarkStart w:id="179" w:name="_Ref49935539"/>
      <w:r w:rsidRPr="003D5D1B">
        <w:t xml:space="preserve">Table </w:t>
      </w:r>
      <w:r w:rsidR="004335F8">
        <w:fldChar w:fldCharType="begin"/>
      </w:r>
      <w:r w:rsidR="004335F8">
        <w:instrText xml:space="preserve"> STYLEREF 1 \s </w:instrText>
      </w:r>
      <w:r w:rsidR="004335F8">
        <w:fldChar w:fldCharType="separate"/>
      </w:r>
      <w:r w:rsidR="00795309">
        <w:rPr>
          <w:noProof/>
        </w:rPr>
        <w:t>4</w:t>
      </w:r>
      <w:r w:rsidR="004335F8">
        <w:fldChar w:fldCharType="end"/>
      </w:r>
      <w:r w:rsidR="004335F8">
        <w:noBreakHyphen/>
      </w:r>
      <w:r w:rsidR="004335F8">
        <w:fldChar w:fldCharType="begin"/>
      </w:r>
      <w:r w:rsidR="004335F8">
        <w:instrText xml:space="preserve"> SEQ Table \* ARABIC \s 1 </w:instrText>
      </w:r>
      <w:r w:rsidR="004335F8">
        <w:fldChar w:fldCharType="separate"/>
      </w:r>
      <w:r w:rsidR="00795309">
        <w:rPr>
          <w:noProof/>
        </w:rPr>
        <w:t>19</w:t>
      </w:r>
      <w:r w:rsidR="004335F8">
        <w:fldChar w:fldCharType="end"/>
      </w:r>
      <w:bookmarkEnd w:id="178"/>
      <w:bookmarkEnd w:id="179"/>
      <w:r w:rsidRPr="00BC3000">
        <w:t xml:space="preserve"> MCA results</w:t>
      </w:r>
      <w:r w:rsidRPr="003D5D1B">
        <w:tab/>
      </w:r>
    </w:p>
    <w:tbl>
      <w:tblPr>
        <w:tblStyle w:val="Deloittetable"/>
        <w:tblW w:w="9445" w:type="dxa"/>
        <w:tblLook w:val="04A0" w:firstRow="1" w:lastRow="0" w:firstColumn="1" w:lastColumn="0" w:noHBand="0" w:noVBand="1"/>
      </w:tblPr>
      <w:tblGrid>
        <w:gridCol w:w="2268"/>
        <w:gridCol w:w="1417"/>
        <w:gridCol w:w="1418"/>
        <w:gridCol w:w="1276"/>
        <w:gridCol w:w="1417"/>
        <w:gridCol w:w="1649"/>
      </w:tblGrid>
      <w:tr w:rsidR="00FB48D2" w:rsidRPr="003D5D1B" w14:paraId="41276A97" w14:textId="77777777" w:rsidTr="00855643">
        <w:trPr>
          <w:cnfStyle w:val="100000000000" w:firstRow="1" w:lastRow="0" w:firstColumn="0" w:lastColumn="0" w:oddVBand="0" w:evenVBand="0" w:oddHBand="0" w:evenHBand="0" w:firstRowFirstColumn="0" w:firstRowLastColumn="0" w:lastRowFirstColumn="0" w:lastRowLastColumn="0"/>
          <w:trHeight w:val="551"/>
        </w:trPr>
        <w:tc>
          <w:tcPr>
            <w:tcW w:w="2268" w:type="dxa"/>
          </w:tcPr>
          <w:p w14:paraId="1741BC63" w14:textId="77777777" w:rsidR="00FB48D2" w:rsidRPr="003D5D1B" w:rsidRDefault="00FB48D2" w:rsidP="00143E2D">
            <w:pPr>
              <w:spacing w:after="0" w:line="240" w:lineRule="auto"/>
              <w:rPr>
                <w:b/>
              </w:rPr>
            </w:pPr>
            <w:r w:rsidRPr="003D5D1B">
              <w:rPr>
                <w:b/>
              </w:rPr>
              <w:t>Criteria</w:t>
            </w:r>
          </w:p>
        </w:tc>
        <w:tc>
          <w:tcPr>
            <w:tcW w:w="1417" w:type="dxa"/>
          </w:tcPr>
          <w:p w14:paraId="4FE4D644" w14:textId="77777777" w:rsidR="00FB48D2" w:rsidRPr="003D5D1B" w:rsidRDefault="00FB48D2" w:rsidP="00143E2D">
            <w:pPr>
              <w:spacing w:after="0" w:line="240" w:lineRule="auto"/>
              <w:jc w:val="center"/>
              <w:rPr>
                <w:b/>
              </w:rPr>
            </w:pPr>
            <w:r w:rsidRPr="003D5D1B">
              <w:rPr>
                <w:b/>
              </w:rPr>
              <w:t>Base case non-weighted score</w:t>
            </w:r>
          </w:p>
        </w:tc>
        <w:tc>
          <w:tcPr>
            <w:tcW w:w="1418" w:type="dxa"/>
          </w:tcPr>
          <w:p w14:paraId="18FCC04E" w14:textId="77777777" w:rsidR="00FB48D2" w:rsidRPr="003D5D1B" w:rsidRDefault="00FB48D2" w:rsidP="00143E2D">
            <w:pPr>
              <w:spacing w:after="0" w:line="240" w:lineRule="auto"/>
              <w:jc w:val="center"/>
              <w:rPr>
                <w:b/>
              </w:rPr>
            </w:pPr>
            <w:r w:rsidRPr="003D5D1B">
              <w:rPr>
                <w:b/>
              </w:rPr>
              <w:t>Option 1 non-weighted score</w:t>
            </w:r>
          </w:p>
        </w:tc>
        <w:tc>
          <w:tcPr>
            <w:tcW w:w="1276" w:type="dxa"/>
          </w:tcPr>
          <w:p w14:paraId="336A1C65" w14:textId="77777777" w:rsidR="00FB48D2" w:rsidRPr="003D5D1B" w:rsidRDefault="00FB48D2" w:rsidP="00143E2D">
            <w:pPr>
              <w:spacing w:after="0" w:line="240" w:lineRule="auto"/>
              <w:jc w:val="center"/>
              <w:rPr>
                <w:b/>
              </w:rPr>
            </w:pPr>
            <w:r w:rsidRPr="003D5D1B">
              <w:rPr>
                <w:b/>
              </w:rPr>
              <w:t>Weighting</w:t>
            </w:r>
          </w:p>
        </w:tc>
        <w:tc>
          <w:tcPr>
            <w:tcW w:w="1417" w:type="dxa"/>
          </w:tcPr>
          <w:p w14:paraId="08D0210B" w14:textId="77777777" w:rsidR="00FB48D2" w:rsidRPr="003D5D1B" w:rsidRDefault="00FB48D2" w:rsidP="00143E2D">
            <w:pPr>
              <w:spacing w:after="0" w:line="240" w:lineRule="auto"/>
              <w:jc w:val="center"/>
              <w:rPr>
                <w:b/>
              </w:rPr>
            </w:pPr>
            <w:r w:rsidRPr="003D5D1B">
              <w:rPr>
                <w:b/>
              </w:rPr>
              <w:t>Base case weighted score</w:t>
            </w:r>
          </w:p>
        </w:tc>
        <w:tc>
          <w:tcPr>
            <w:tcW w:w="1649" w:type="dxa"/>
          </w:tcPr>
          <w:p w14:paraId="02130463" w14:textId="77777777" w:rsidR="00515C78" w:rsidRDefault="00FB48D2" w:rsidP="00143E2D">
            <w:pPr>
              <w:spacing w:after="0" w:line="240" w:lineRule="auto"/>
              <w:jc w:val="center"/>
              <w:rPr>
                <w:b/>
              </w:rPr>
            </w:pPr>
            <w:r w:rsidRPr="003D5D1B">
              <w:rPr>
                <w:b/>
              </w:rPr>
              <w:t xml:space="preserve">Option 1 weighted </w:t>
            </w:r>
          </w:p>
          <w:p w14:paraId="33904803" w14:textId="1A60791D" w:rsidR="00FB48D2" w:rsidRPr="003D5D1B" w:rsidRDefault="00FB48D2" w:rsidP="00143E2D">
            <w:pPr>
              <w:spacing w:after="0" w:line="240" w:lineRule="auto"/>
              <w:jc w:val="center"/>
              <w:rPr>
                <w:b/>
              </w:rPr>
            </w:pPr>
            <w:r w:rsidRPr="003D5D1B">
              <w:rPr>
                <w:b/>
              </w:rPr>
              <w:t>score</w:t>
            </w:r>
          </w:p>
        </w:tc>
      </w:tr>
      <w:tr w:rsidR="00FB48D2" w:rsidRPr="003D5D1B" w14:paraId="7DCEFF8A" w14:textId="77777777" w:rsidTr="00855643">
        <w:trPr>
          <w:trHeight w:val="20"/>
        </w:trPr>
        <w:tc>
          <w:tcPr>
            <w:tcW w:w="2268" w:type="dxa"/>
          </w:tcPr>
          <w:p w14:paraId="2030F1FB" w14:textId="77777777" w:rsidR="00FB48D2" w:rsidRPr="003D5D1B" w:rsidRDefault="00FB48D2" w:rsidP="00143E2D">
            <w:pPr>
              <w:spacing w:after="0" w:line="240" w:lineRule="auto"/>
            </w:pPr>
            <w:r w:rsidRPr="003D5D1B">
              <w:t xml:space="preserve">Costs to businesses </w:t>
            </w:r>
          </w:p>
        </w:tc>
        <w:tc>
          <w:tcPr>
            <w:tcW w:w="1417" w:type="dxa"/>
          </w:tcPr>
          <w:p w14:paraId="10BFFCD5" w14:textId="77777777" w:rsidR="00FB48D2" w:rsidRPr="003D5D1B" w:rsidRDefault="00FB48D2" w:rsidP="00143E2D">
            <w:pPr>
              <w:spacing w:after="0" w:line="240" w:lineRule="auto"/>
              <w:jc w:val="center"/>
            </w:pPr>
            <w:r w:rsidRPr="003D5D1B">
              <w:t>0</w:t>
            </w:r>
          </w:p>
        </w:tc>
        <w:tc>
          <w:tcPr>
            <w:tcW w:w="1418" w:type="dxa"/>
          </w:tcPr>
          <w:p w14:paraId="30533845" w14:textId="69D803CB" w:rsidR="00FB48D2" w:rsidRPr="003D5D1B" w:rsidRDefault="00FB48D2" w:rsidP="00143E2D">
            <w:pPr>
              <w:spacing w:after="0" w:line="240" w:lineRule="auto"/>
              <w:jc w:val="center"/>
            </w:pPr>
            <w:r w:rsidRPr="003D5D1B">
              <w:t>-</w:t>
            </w:r>
            <w:r w:rsidR="00093FB8">
              <w:t>7</w:t>
            </w:r>
          </w:p>
        </w:tc>
        <w:tc>
          <w:tcPr>
            <w:tcW w:w="1276" w:type="dxa"/>
          </w:tcPr>
          <w:p w14:paraId="03A26E16" w14:textId="1F1676F6" w:rsidR="00FB48D2" w:rsidRPr="003D5D1B" w:rsidRDefault="00736A2E" w:rsidP="00143E2D">
            <w:pPr>
              <w:spacing w:after="0" w:line="240" w:lineRule="auto"/>
              <w:jc w:val="center"/>
            </w:pPr>
            <w:r>
              <w:t>40</w:t>
            </w:r>
            <w:r w:rsidR="00FB48D2" w:rsidRPr="003D5D1B">
              <w:t>%</w:t>
            </w:r>
          </w:p>
        </w:tc>
        <w:tc>
          <w:tcPr>
            <w:tcW w:w="1417" w:type="dxa"/>
          </w:tcPr>
          <w:p w14:paraId="0965EC41" w14:textId="77777777" w:rsidR="00FB48D2" w:rsidRPr="003D5D1B" w:rsidRDefault="00FB48D2" w:rsidP="00143E2D">
            <w:pPr>
              <w:spacing w:after="0" w:line="240" w:lineRule="auto"/>
              <w:jc w:val="center"/>
            </w:pPr>
            <w:r w:rsidRPr="003D5D1B">
              <w:t>0</w:t>
            </w:r>
          </w:p>
        </w:tc>
        <w:tc>
          <w:tcPr>
            <w:tcW w:w="1649" w:type="dxa"/>
          </w:tcPr>
          <w:p w14:paraId="26253E2D" w14:textId="63799629" w:rsidR="00FB48D2" w:rsidRPr="003D5D1B" w:rsidRDefault="00FB48D2" w:rsidP="00143E2D">
            <w:pPr>
              <w:spacing w:after="0" w:line="240" w:lineRule="auto"/>
              <w:jc w:val="center"/>
            </w:pPr>
            <w:r w:rsidRPr="003D5D1B">
              <w:t>-</w:t>
            </w:r>
            <w:r w:rsidR="00736A2E">
              <w:t>2</w:t>
            </w:r>
            <w:r w:rsidRPr="003D5D1B">
              <w:t>.</w:t>
            </w:r>
            <w:r w:rsidR="00736A2E">
              <w:t>8</w:t>
            </w:r>
          </w:p>
        </w:tc>
      </w:tr>
      <w:tr w:rsidR="00FB48D2" w:rsidRPr="003D5D1B" w14:paraId="6F790E31" w14:textId="77777777" w:rsidTr="00855643">
        <w:trPr>
          <w:trHeight w:val="20"/>
        </w:trPr>
        <w:tc>
          <w:tcPr>
            <w:tcW w:w="2268" w:type="dxa"/>
          </w:tcPr>
          <w:p w14:paraId="2F70ED66" w14:textId="77777777" w:rsidR="00FB48D2" w:rsidRPr="003D5D1B" w:rsidRDefault="00FB48D2" w:rsidP="00143E2D">
            <w:pPr>
              <w:spacing w:after="0" w:line="240" w:lineRule="auto"/>
            </w:pPr>
            <w:r w:rsidRPr="003D5D1B">
              <w:t>Supply of accommodation</w:t>
            </w:r>
          </w:p>
        </w:tc>
        <w:tc>
          <w:tcPr>
            <w:tcW w:w="1417" w:type="dxa"/>
          </w:tcPr>
          <w:p w14:paraId="1A503BBF" w14:textId="77777777" w:rsidR="00FB48D2" w:rsidRPr="003D5D1B" w:rsidRDefault="00FB48D2" w:rsidP="00143E2D">
            <w:pPr>
              <w:spacing w:after="0" w:line="240" w:lineRule="auto"/>
              <w:jc w:val="center"/>
            </w:pPr>
            <w:r w:rsidRPr="003D5D1B">
              <w:t>0</w:t>
            </w:r>
          </w:p>
        </w:tc>
        <w:tc>
          <w:tcPr>
            <w:tcW w:w="1418" w:type="dxa"/>
          </w:tcPr>
          <w:p w14:paraId="1310D220" w14:textId="77777777" w:rsidR="00FB48D2" w:rsidRPr="003D5D1B" w:rsidRDefault="00FB48D2" w:rsidP="00143E2D">
            <w:pPr>
              <w:spacing w:after="0" w:line="240" w:lineRule="auto"/>
              <w:jc w:val="center"/>
            </w:pPr>
            <w:r w:rsidRPr="003D5D1B">
              <w:t>-2</w:t>
            </w:r>
          </w:p>
        </w:tc>
        <w:tc>
          <w:tcPr>
            <w:tcW w:w="1276" w:type="dxa"/>
          </w:tcPr>
          <w:p w14:paraId="0759D0E6" w14:textId="77777777" w:rsidR="00FB48D2" w:rsidRPr="003D5D1B" w:rsidRDefault="00FB48D2" w:rsidP="00143E2D">
            <w:pPr>
              <w:spacing w:after="0" w:line="240" w:lineRule="auto"/>
              <w:jc w:val="center"/>
            </w:pPr>
            <w:r w:rsidRPr="003D5D1B">
              <w:t>10%</w:t>
            </w:r>
          </w:p>
        </w:tc>
        <w:tc>
          <w:tcPr>
            <w:tcW w:w="1417" w:type="dxa"/>
          </w:tcPr>
          <w:p w14:paraId="1BAFAEAB" w14:textId="77777777" w:rsidR="00FB48D2" w:rsidRPr="003D5D1B" w:rsidRDefault="00FB48D2" w:rsidP="00143E2D">
            <w:pPr>
              <w:spacing w:after="0" w:line="240" w:lineRule="auto"/>
              <w:jc w:val="center"/>
            </w:pPr>
            <w:r w:rsidRPr="003D5D1B">
              <w:t>0</w:t>
            </w:r>
          </w:p>
        </w:tc>
        <w:tc>
          <w:tcPr>
            <w:tcW w:w="1649" w:type="dxa"/>
          </w:tcPr>
          <w:p w14:paraId="3DCCA8EB" w14:textId="77777777" w:rsidR="00FB48D2" w:rsidRPr="003D5D1B" w:rsidRDefault="00FB48D2" w:rsidP="00143E2D">
            <w:pPr>
              <w:spacing w:after="0" w:line="240" w:lineRule="auto"/>
              <w:jc w:val="center"/>
            </w:pPr>
            <w:r w:rsidRPr="003D5D1B">
              <w:t>-0.2</w:t>
            </w:r>
          </w:p>
        </w:tc>
      </w:tr>
      <w:tr w:rsidR="00FB48D2" w:rsidRPr="003D5D1B" w14:paraId="4D0CE00C" w14:textId="77777777" w:rsidTr="00855643">
        <w:trPr>
          <w:trHeight w:val="20"/>
        </w:trPr>
        <w:tc>
          <w:tcPr>
            <w:tcW w:w="2268" w:type="dxa"/>
          </w:tcPr>
          <w:p w14:paraId="1222714E" w14:textId="77777777" w:rsidR="00FB48D2" w:rsidRPr="003D5D1B" w:rsidRDefault="00FB48D2" w:rsidP="00143E2D">
            <w:pPr>
              <w:spacing w:after="0" w:line="240" w:lineRule="auto"/>
            </w:pPr>
            <w:r w:rsidRPr="003D5D1B">
              <w:t xml:space="preserve">Health and Safety </w:t>
            </w:r>
          </w:p>
        </w:tc>
        <w:tc>
          <w:tcPr>
            <w:tcW w:w="1417" w:type="dxa"/>
          </w:tcPr>
          <w:p w14:paraId="4E61686B" w14:textId="77777777" w:rsidR="00FB48D2" w:rsidRPr="003D5D1B" w:rsidRDefault="00FB48D2" w:rsidP="00143E2D">
            <w:pPr>
              <w:spacing w:after="0" w:line="240" w:lineRule="auto"/>
              <w:jc w:val="center"/>
            </w:pPr>
            <w:r w:rsidRPr="003D5D1B">
              <w:t>0</w:t>
            </w:r>
          </w:p>
        </w:tc>
        <w:tc>
          <w:tcPr>
            <w:tcW w:w="1418" w:type="dxa"/>
          </w:tcPr>
          <w:p w14:paraId="09EFBBB9" w14:textId="4A8281E7" w:rsidR="00FB48D2" w:rsidRPr="003D5D1B" w:rsidRDefault="00FB48D2" w:rsidP="00143E2D">
            <w:pPr>
              <w:spacing w:after="0" w:line="240" w:lineRule="auto"/>
              <w:jc w:val="center"/>
            </w:pPr>
            <w:r w:rsidRPr="003D5D1B">
              <w:t>+</w:t>
            </w:r>
            <w:r w:rsidR="00A171B9">
              <w:t>7</w:t>
            </w:r>
          </w:p>
        </w:tc>
        <w:tc>
          <w:tcPr>
            <w:tcW w:w="1276" w:type="dxa"/>
          </w:tcPr>
          <w:p w14:paraId="4D015C6E" w14:textId="77777777" w:rsidR="00FB48D2" w:rsidRPr="003D5D1B" w:rsidRDefault="00FB48D2" w:rsidP="00143E2D">
            <w:pPr>
              <w:spacing w:after="0" w:line="240" w:lineRule="auto"/>
              <w:jc w:val="center"/>
            </w:pPr>
            <w:r w:rsidRPr="003D5D1B">
              <w:t>50%</w:t>
            </w:r>
          </w:p>
        </w:tc>
        <w:tc>
          <w:tcPr>
            <w:tcW w:w="1417" w:type="dxa"/>
          </w:tcPr>
          <w:p w14:paraId="4843D8F4" w14:textId="77777777" w:rsidR="00FB48D2" w:rsidRPr="003D5D1B" w:rsidRDefault="00FB48D2" w:rsidP="00143E2D">
            <w:pPr>
              <w:spacing w:after="0" w:line="240" w:lineRule="auto"/>
              <w:jc w:val="center"/>
            </w:pPr>
            <w:r w:rsidRPr="003D5D1B">
              <w:t>0</w:t>
            </w:r>
          </w:p>
        </w:tc>
        <w:tc>
          <w:tcPr>
            <w:tcW w:w="1649" w:type="dxa"/>
          </w:tcPr>
          <w:p w14:paraId="6DE6DF2E" w14:textId="0BBE610C" w:rsidR="00FB48D2" w:rsidRPr="003D5D1B" w:rsidRDefault="00FB48D2" w:rsidP="00143E2D">
            <w:pPr>
              <w:spacing w:after="0" w:line="240" w:lineRule="auto"/>
              <w:jc w:val="center"/>
            </w:pPr>
            <w:r w:rsidRPr="003D5D1B">
              <w:t>+3.</w:t>
            </w:r>
            <w:r w:rsidR="00D4033F">
              <w:t>5</w:t>
            </w:r>
          </w:p>
        </w:tc>
      </w:tr>
      <w:tr w:rsidR="00FB48D2" w14:paraId="37D02B3C" w14:textId="77777777" w:rsidTr="00855643">
        <w:trPr>
          <w:trHeight w:val="20"/>
        </w:trPr>
        <w:tc>
          <w:tcPr>
            <w:tcW w:w="2268" w:type="dxa"/>
          </w:tcPr>
          <w:p w14:paraId="01FBFB6A" w14:textId="77777777" w:rsidR="00FB48D2" w:rsidRPr="003D5D1B" w:rsidRDefault="00FB48D2" w:rsidP="00143E2D">
            <w:pPr>
              <w:spacing w:after="0"/>
              <w:rPr>
                <w:b/>
              </w:rPr>
            </w:pPr>
            <w:r w:rsidRPr="003D5D1B">
              <w:rPr>
                <w:b/>
              </w:rPr>
              <w:t>Total score</w:t>
            </w:r>
          </w:p>
        </w:tc>
        <w:tc>
          <w:tcPr>
            <w:tcW w:w="1417" w:type="dxa"/>
          </w:tcPr>
          <w:p w14:paraId="3AE8B6D3" w14:textId="77777777" w:rsidR="00FB48D2" w:rsidRPr="003D5D1B" w:rsidRDefault="00FB48D2" w:rsidP="00143E2D">
            <w:pPr>
              <w:spacing w:after="0"/>
              <w:jc w:val="center"/>
              <w:rPr>
                <w:b/>
              </w:rPr>
            </w:pPr>
          </w:p>
        </w:tc>
        <w:tc>
          <w:tcPr>
            <w:tcW w:w="1418" w:type="dxa"/>
          </w:tcPr>
          <w:p w14:paraId="0CBA81AB" w14:textId="77777777" w:rsidR="00FB48D2" w:rsidRPr="003D5D1B" w:rsidRDefault="00FB48D2" w:rsidP="00143E2D">
            <w:pPr>
              <w:spacing w:after="0"/>
              <w:jc w:val="center"/>
              <w:rPr>
                <w:b/>
              </w:rPr>
            </w:pPr>
          </w:p>
        </w:tc>
        <w:tc>
          <w:tcPr>
            <w:tcW w:w="1276" w:type="dxa"/>
          </w:tcPr>
          <w:p w14:paraId="6A0D2C66" w14:textId="77777777" w:rsidR="00FB48D2" w:rsidRPr="003D5D1B" w:rsidRDefault="00FB48D2" w:rsidP="00143E2D">
            <w:pPr>
              <w:spacing w:after="0"/>
              <w:jc w:val="center"/>
              <w:rPr>
                <w:b/>
              </w:rPr>
            </w:pPr>
          </w:p>
        </w:tc>
        <w:tc>
          <w:tcPr>
            <w:tcW w:w="1417" w:type="dxa"/>
          </w:tcPr>
          <w:p w14:paraId="166D3680" w14:textId="77777777" w:rsidR="00FB48D2" w:rsidRPr="003D5D1B" w:rsidRDefault="00FB48D2" w:rsidP="00143E2D">
            <w:pPr>
              <w:spacing w:after="0"/>
              <w:jc w:val="center"/>
              <w:rPr>
                <w:b/>
              </w:rPr>
            </w:pPr>
            <w:r w:rsidRPr="003D5D1B">
              <w:rPr>
                <w:b/>
              </w:rPr>
              <w:t>0</w:t>
            </w:r>
          </w:p>
        </w:tc>
        <w:tc>
          <w:tcPr>
            <w:tcW w:w="1649" w:type="dxa"/>
          </w:tcPr>
          <w:p w14:paraId="76D0801F" w14:textId="219DD2F1" w:rsidR="00FB48D2" w:rsidRDefault="00FB48D2" w:rsidP="00143E2D">
            <w:pPr>
              <w:spacing w:after="0"/>
              <w:jc w:val="center"/>
              <w:rPr>
                <w:b/>
              </w:rPr>
            </w:pPr>
            <w:r w:rsidRPr="003D5D1B">
              <w:rPr>
                <w:b/>
              </w:rPr>
              <w:t>+</w:t>
            </w:r>
            <w:r w:rsidR="00D4033F">
              <w:rPr>
                <w:b/>
              </w:rPr>
              <w:t>0.5</w:t>
            </w:r>
          </w:p>
        </w:tc>
      </w:tr>
    </w:tbl>
    <w:p w14:paraId="45E1ABE3" w14:textId="77777777" w:rsidR="00FB48D2" w:rsidRDefault="00FB48D2" w:rsidP="00FB48D2">
      <w:pPr>
        <w:pStyle w:val="Heading2"/>
      </w:pPr>
      <w:bookmarkStart w:id="180" w:name="_Toc49460302"/>
      <w:r>
        <w:lastRenderedPageBreak/>
        <w:t>Step 2: Option 1 versus Option 2</w:t>
      </w:r>
      <w:bookmarkEnd w:id="180"/>
    </w:p>
    <w:p w14:paraId="7D8C0E89" w14:textId="705C0885" w:rsidR="00FB48D2" w:rsidRPr="00926960" w:rsidRDefault="00FB48D2" w:rsidP="00FB48D2">
      <w:r w:rsidRPr="00926960">
        <w:t xml:space="preserve">Option 2 is preferred to Option 1 because it implements targeted changes to improve the efficiency of the current Regulations and achieves consistency with other regulatory frameworks that interact with the </w:t>
      </w:r>
      <w:r w:rsidR="003A25CD">
        <w:t>R</w:t>
      </w:r>
      <w:r w:rsidRPr="00926960">
        <w:t>egulations. As explained in Chapter 3, the following two changes are proposed under Option 2</w:t>
      </w:r>
      <w:r w:rsidR="009B2BDA">
        <w:t xml:space="preserve"> </w:t>
      </w:r>
      <w:r w:rsidRPr="00926960">
        <w:t xml:space="preserve">(there are also some minor </w:t>
      </w:r>
      <w:r w:rsidR="00AE7C85">
        <w:t>drafting</w:t>
      </w:r>
      <w:r w:rsidR="00385EFA">
        <w:t xml:space="preserve"> </w:t>
      </w:r>
      <w:r w:rsidRPr="00926960">
        <w:t xml:space="preserve">changes </w:t>
      </w:r>
      <w:r w:rsidR="00F03C4A">
        <w:t>and technical changes to ensure consistency with the RTA</w:t>
      </w:r>
      <w:r w:rsidR="00930365">
        <w:t xml:space="preserve"> </w:t>
      </w:r>
      <w:r w:rsidRPr="00926960">
        <w:t xml:space="preserve">- see Appendix </w:t>
      </w:r>
      <w:r w:rsidR="00A9610C">
        <w:t>D</w:t>
      </w:r>
      <w:r w:rsidRPr="00926960">
        <w:t>):</w:t>
      </w:r>
    </w:p>
    <w:p w14:paraId="01168D44" w14:textId="2F4D51C9" w:rsidR="00FB48D2" w:rsidRPr="00B15545" w:rsidRDefault="00FB48D2" w:rsidP="00FB48D2">
      <w:pPr>
        <w:numPr>
          <w:ilvl w:val="0"/>
          <w:numId w:val="12"/>
        </w:numPr>
        <w:contextualSpacing/>
      </w:pPr>
      <w:r w:rsidRPr="00F0077F">
        <w:rPr>
          <w:b/>
        </w:rPr>
        <w:t>Definition of ‘residential accommodation’:</w:t>
      </w:r>
      <w:r w:rsidRPr="00926960">
        <w:rPr>
          <w:bCs/>
        </w:rPr>
        <w:t xml:space="preserve"> It is proposed to amend the definition  </w:t>
      </w:r>
      <w:r w:rsidR="00930365">
        <w:rPr>
          <w:bCs/>
        </w:rPr>
        <w:t>to include</w:t>
      </w:r>
      <w:r w:rsidR="00AE3397">
        <w:rPr>
          <w:bCs/>
        </w:rPr>
        <w:t xml:space="preserve"> </w:t>
      </w:r>
      <w:r w:rsidR="005E6F06" w:rsidRPr="00F0077F">
        <w:t>’</w:t>
      </w:r>
      <w:r w:rsidR="00AE3397" w:rsidRPr="00F0077F">
        <w:t>a</w:t>
      </w:r>
      <w:r w:rsidRPr="0029163A">
        <w:t xml:space="preserve">ny </w:t>
      </w:r>
      <w:r w:rsidR="00AE3397" w:rsidRPr="00F0077F">
        <w:t>part</w:t>
      </w:r>
      <w:r w:rsidR="00403A1B" w:rsidRPr="00F0077F">
        <w:t>’ of a</w:t>
      </w:r>
      <w:r w:rsidRPr="00DC0BAC">
        <w:t xml:space="preserve"> </w:t>
      </w:r>
      <w:r w:rsidRPr="0029163A">
        <w:t>house, building, or other structure used as a place of abode where a person or</w:t>
      </w:r>
      <w:r w:rsidRPr="00161909">
        <w:t xml:space="preserve"> persons can live on payment of consideration to the proprietor </w:t>
      </w:r>
      <w:r w:rsidR="005A00C8">
        <w:t xml:space="preserve">in addition to the </w:t>
      </w:r>
      <w:r w:rsidR="005A00C8" w:rsidRPr="00F53100">
        <w:t xml:space="preserve">entire </w:t>
      </w:r>
      <w:r w:rsidRPr="00B15545">
        <w:t xml:space="preserve">house, building or other structure. </w:t>
      </w:r>
    </w:p>
    <w:p w14:paraId="593627F8" w14:textId="42618094" w:rsidR="00FB48D2" w:rsidRPr="00F53100" w:rsidRDefault="00FB48D2" w:rsidP="00FB48D2">
      <w:pPr>
        <w:numPr>
          <w:ilvl w:val="0"/>
          <w:numId w:val="12"/>
        </w:numPr>
        <w:spacing w:after="0"/>
        <w:contextualSpacing/>
      </w:pPr>
      <w:r w:rsidRPr="005A3BEB">
        <w:rPr>
          <w:b/>
        </w:rPr>
        <w:t>Definition of ‘rooming house’:</w:t>
      </w:r>
      <w:r w:rsidRPr="00740106">
        <w:t xml:space="preserve"> The definition is proposed to be amended to incorporate by reference, the definition of ‘rooming house’ in section 3(1) of the </w:t>
      </w:r>
      <w:r w:rsidR="00843A25" w:rsidRPr="00A72683">
        <w:t>RTA</w:t>
      </w:r>
      <w:r w:rsidRPr="00A72683">
        <w:t xml:space="preserve">. </w:t>
      </w:r>
    </w:p>
    <w:p w14:paraId="318E85CF" w14:textId="704D5EBD" w:rsidR="00F53100" w:rsidRPr="00F53100" w:rsidRDefault="00F53100" w:rsidP="00F53100">
      <w:pPr>
        <w:numPr>
          <w:ilvl w:val="0"/>
          <w:numId w:val="12"/>
        </w:numPr>
        <w:spacing w:after="0"/>
        <w:contextualSpacing/>
      </w:pPr>
      <w:r w:rsidRPr="00F53100">
        <w:rPr>
          <w:b/>
          <w:bCs/>
        </w:rPr>
        <w:t xml:space="preserve">Excluding SDA enrolled accommodation from ‘prescribed accommodation’: </w:t>
      </w:r>
      <w:r w:rsidRPr="00F53100">
        <w:t xml:space="preserve">The provision prescribing prescribed accommodation will provide that specialist disability accommodation enrolled under the Commonwealth’s NDIS is not prescribed accommodation. </w:t>
      </w:r>
    </w:p>
    <w:p w14:paraId="7A763E90" w14:textId="579673C0" w:rsidR="004621E2" w:rsidRPr="004621E2" w:rsidRDefault="004621E2" w:rsidP="004C00C8">
      <w:pPr>
        <w:spacing w:before="120"/>
      </w:pPr>
      <w:r w:rsidRPr="004C00C8">
        <w:t>Making these changes ensures consistency between definitions and approaches in the RTA and the Regulations. SDA enrolled accommodation will be excluded from the definition of</w:t>
      </w:r>
      <w:r w:rsidRPr="004621E2">
        <w:t xml:space="preserve"> ‘prescribed accommodation’</w:t>
      </w:r>
      <w:r w:rsidRPr="005A3BEB">
        <w:t xml:space="preserve">, and </w:t>
      </w:r>
      <w:r w:rsidRPr="00740106">
        <w:t xml:space="preserve">that accommodation will continue to comply with the quality and safety requirements under the </w:t>
      </w:r>
      <w:r w:rsidRPr="00A72683">
        <w:t xml:space="preserve">Commonwealth’s </w:t>
      </w:r>
      <w:r w:rsidRPr="004621E2">
        <w:t xml:space="preserve">NDIS. Further, in adopting the RTA definition of ‘rooming house’, rooming houses declared by the Minister for Housing under the RTA to be rooming houses will be required to comply with the standards under the Regulations where they were not already captured. </w:t>
      </w:r>
      <w:r w:rsidR="00826273">
        <w:t>While data on these rooming houses is not available, it</w:t>
      </w:r>
      <w:r w:rsidR="00826273" w:rsidRPr="0018633B">
        <w:t xml:space="preserve"> is likely </w:t>
      </w:r>
      <w:r w:rsidR="00826273">
        <w:t>that this will</w:t>
      </w:r>
      <w:r w:rsidR="00826273" w:rsidRPr="0018633B">
        <w:t xml:space="preserve"> have a minimal impact</w:t>
      </w:r>
      <w:r w:rsidR="00826273">
        <w:t>.</w:t>
      </w:r>
      <w:r w:rsidR="00826273" w:rsidRPr="0018633B">
        <w:t xml:space="preserve"> </w:t>
      </w:r>
      <w:r w:rsidR="00826273">
        <w:t>It</w:t>
      </w:r>
      <w:r w:rsidR="00826273" w:rsidRPr="0018633B">
        <w:t xml:space="preserve"> is expected that most declared rooming houses would </w:t>
      </w:r>
      <w:r w:rsidR="00826273">
        <w:t>already meet the standards of the Regulations whether or not they are covered by the</w:t>
      </w:r>
      <w:r w:rsidR="00826273" w:rsidRPr="0018633B">
        <w:t xml:space="preserve"> current definition in the Regulations. To the extent they </w:t>
      </w:r>
      <w:r w:rsidR="00826273">
        <w:t>do not meet the standards, they will incur costs if they need to improve hygiene or maintenance standards for the benefit of residents.</w:t>
      </w:r>
    </w:p>
    <w:p w14:paraId="4ED77998" w14:textId="77777777" w:rsidR="004621E2" w:rsidRPr="00926960" w:rsidRDefault="004621E2" w:rsidP="004C00C8">
      <w:pPr>
        <w:spacing w:before="120"/>
      </w:pPr>
      <w:r w:rsidRPr="004621E2">
        <w:t>Option 2 is expected to have the same or similar health benefits as the current Regulations (Option 1). There could be an increase in benefits if more proprietors comply with the Regulations due to increased clarity, however this is likely to be minor. Option 2 is expected to lead to a very small decrease in costs compared to the current Regulations due to revision of certain terms in the Regulations which may reduce the costs of compliance and Council regulation, for example administration and enforcement is more efficient due to less ‘grey’ areas. There may also be a minimal reduced cost for SDA enrolled accommodation by reducing regulatory burden in having to comply with the prescribed accommodation standards when complying with the quality and safety framework under the NDIS.</w:t>
      </w:r>
    </w:p>
    <w:p w14:paraId="4B00C951" w14:textId="3BA01AE1" w:rsidR="00B67BB3" w:rsidRPr="004C00C8" w:rsidRDefault="00B67BB3" w:rsidP="004C00C8">
      <w:pPr>
        <w:pStyle w:val="Heading2"/>
        <w:rPr>
          <w:color w:val="000000" w:themeColor="text1"/>
        </w:rPr>
      </w:pPr>
      <w:bookmarkStart w:id="181" w:name="_Toc48638302"/>
      <w:bookmarkStart w:id="182" w:name="_Toc49460303"/>
      <w:r w:rsidRPr="004C00C8">
        <w:rPr>
          <w:color w:val="000000" w:themeColor="text1"/>
        </w:rPr>
        <w:t>Preferred option</w:t>
      </w:r>
      <w:bookmarkEnd w:id="181"/>
      <w:bookmarkEnd w:id="182"/>
    </w:p>
    <w:p w14:paraId="6C96A6E8" w14:textId="37755466" w:rsidR="00FB48D2" w:rsidRPr="00926960" w:rsidRDefault="00FB48D2" w:rsidP="00FB48D2">
      <w:pPr>
        <w:spacing w:after="0"/>
        <w:rPr>
          <w:rFonts w:eastAsia="Calibri" w:cs="Calibri"/>
          <w:b/>
          <w:bCs/>
          <w:color w:val="000000"/>
        </w:rPr>
      </w:pPr>
      <w:r w:rsidRPr="00B67BB3">
        <w:rPr>
          <w:rFonts w:eastAsia="Calibri" w:cs="Calibri"/>
          <w:b/>
          <w:color w:val="000000"/>
        </w:rPr>
        <w:t>P</w:t>
      </w:r>
      <w:r w:rsidRPr="00926960">
        <w:rPr>
          <w:rFonts w:eastAsia="Calibri" w:cs="Calibri"/>
          <w:b/>
          <w:bCs/>
          <w:color w:val="000000"/>
        </w:rPr>
        <w:t>referred option</w:t>
      </w:r>
    </w:p>
    <w:p w14:paraId="6A8E11A8" w14:textId="021BAFB7" w:rsidR="00FB48D2" w:rsidRPr="00926960" w:rsidRDefault="00FB48D2" w:rsidP="00FB48D2">
      <w:pPr>
        <w:rPr>
          <w:rFonts w:eastAsia="Calibri" w:cs="Calibri"/>
          <w:color w:val="000000"/>
        </w:rPr>
      </w:pPr>
      <w:r w:rsidRPr="00926960">
        <w:rPr>
          <w:rFonts w:eastAsia="Calibri" w:cs="Calibri"/>
          <w:color w:val="000000"/>
        </w:rPr>
        <w:t>Scores for each criteria are summarised in</w:t>
      </w:r>
      <w:r w:rsidRPr="00926960" w:rsidDel="00C97C1E">
        <w:rPr>
          <w:rFonts w:eastAsia="Calibri" w:cs="Calibri"/>
          <w:color w:val="000000"/>
        </w:rPr>
        <w:t xml:space="preserve"> </w:t>
      </w:r>
      <w:r w:rsidR="00C97C1E">
        <w:rPr>
          <w:rFonts w:eastAsia="Calibri" w:cs="Calibri"/>
          <w:color w:val="000000"/>
        </w:rPr>
        <w:fldChar w:fldCharType="begin"/>
      </w:r>
      <w:r w:rsidR="00C97C1E">
        <w:rPr>
          <w:rFonts w:eastAsia="Calibri" w:cs="Calibri"/>
          <w:color w:val="000000"/>
        </w:rPr>
        <w:instrText xml:space="preserve"> REF _Ref49935539 \h </w:instrText>
      </w:r>
      <w:r w:rsidR="00C97C1E">
        <w:rPr>
          <w:rFonts w:eastAsia="Calibri" w:cs="Calibri"/>
          <w:color w:val="000000"/>
        </w:rPr>
      </w:r>
      <w:r w:rsidR="00C97C1E">
        <w:rPr>
          <w:rFonts w:eastAsia="Calibri" w:cs="Calibri"/>
          <w:color w:val="000000"/>
        </w:rPr>
        <w:fldChar w:fldCharType="separate"/>
      </w:r>
      <w:r w:rsidR="00795309" w:rsidRPr="003D5D1B">
        <w:t xml:space="preserve">Table </w:t>
      </w:r>
      <w:r w:rsidR="00795309">
        <w:rPr>
          <w:noProof/>
        </w:rPr>
        <w:t>4</w:t>
      </w:r>
      <w:r w:rsidR="00795309">
        <w:noBreakHyphen/>
      </w:r>
      <w:r w:rsidR="00795309">
        <w:rPr>
          <w:noProof/>
        </w:rPr>
        <w:t>19</w:t>
      </w:r>
      <w:r w:rsidR="00C97C1E">
        <w:rPr>
          <w:rFonts w:eastAsia="Calibri" w:cs="Calibri"/>
          <w:color w:val="000000"/>
        </w:rPr>
        <w:fldChar w:fldCharType="end"/>
      </w:r>
      <w:r w:rsidRPr="00926960">
        <w:rPr>
          <w:rFonts w:eastAsia="Calibri" w:cs="Calibri"/>
          <w:color w:val="000000"/>
        </w:rPr>
        <w:t xml:space="preserve">. Option 1 (current Regulations) and Option 2 (current Regulations with minor improvements). These options are both preferred to the Base Case of no regulations. This is because they are both expected to reduce health and </w:t>
      </w:r>
      <w:r>
        <w:rPr>
          <w:rFonts w:eastAsia="Calibri" w:cs="Calibri"/>
          <w:color w:val="000000"/>
        </w:rPr>
        <w:t>wellbeing</w:t>
      </w:r>
      <w:r w:rsidRPr="00926960">
        <w:rPr>
          <w:rFonts w:eastAsia="Calibri" w:cs="Calibri"/>
          <w:color w:val="000000"/>
        </w:rPr>
        <w:t xml:space="preserve"> risks for occupants of prescribed accommodation relative to the Base Case as proprietors enhance sanitation, hygiene and maintenance standards to comply with the Regulations. This in turn reduces the broader public health risk of conditions hazardous to public health, including the spread of infectious disease, and associated costs to the public health system in addressing public health issues for the benefit of the community. This includes vulnerable persons, who will benefit most from the Regulations. Raising the standards however imposes additional costs to proprietors, relative to the Base Case. These costs include registration, more maintenance, reduced maximum occupant capacity and compliance with basic hygiene and sanitation standards. </w:t>
      </w:r>
      <w:r w:rsidR="00915F60">
        <w:rPr>
          <w:rFonts w:eastAsia="Calibri" w:cs="Calibri"/>
          <w:color w:val="000000"/>
        </w:rPr>
        <w:t>Proprietors</w:t>
      </w:r>
      <w:r w:rsidRPr="00926960">
        <w:rPr>
          <w:rFonts w:eastAsia="Calibri" w:cs="Calibri"/>
          <w:color w:val="000000"/>
        </w:rPr>
        <w:t xml:space="preserve"> also incur </w:t>
      </w:r>
      <w:r w:rsidR="00915F60">
        <w:rPr>
          <w:rFonts w:eastAsia="Calibri" w:cs="Calibri"/>
          <w:color w:val="000000"/>
        </w:rPr>
        <w:t xml:space="preserve">Council fees which recover the </w:t>
      </w:r>
      <w:r w:rsidRPr="00926960">
        <w:rPr>
          <w:rFonts w:eastAsia="Calibri" w:cs="Calibri"/>
          <w:color w:val="000000"/>
        </w:rPr>
        <w:t>costs to administer and enforce the Regulations.</w:t>
      </w:r>
    </w:p>
    <w:p w14:paraId="3BFAB5BA" w14:textId="4D13E62C" w:rsidR="0056063F" w:rsidRDefault="00FB48D2" w:rsidP="00E32D4C">
      <w:pPr>
        <w:rPr>
          <w:rFonts w:eastAsia="Calibri" w:cs="Calibri"/>
          <w:color w:val="000000"/>
        </w:rPr>
      </w:pPr>
      <w:r w:rsidRPr="00926960">
        <w:rPr>
          <w:rFonts w:eastAsia="Calibri" w:cs="Calibri"/>
          <w:color w:val="000000"/>
        </w:rPr>
        <w:t xml:space="preserve">The benefits under Options 1 and 2 are however likely to outweigh the increase in costs. While the benefits are difficult to precisely quantify, there is strong evidence indicating poor housing conditions are a driver of </w:t>
      </w:r>
      <w:r>
        <w:rPr>
          <w:rFonts w:eastAsia="Calibri" w:cs="Calibri"/>
          <w:color w:val="000000"/>
        </w:rPr>
        <w:t xml:space="preserve">public </w:t>
      </w:r>
      <w:r w:rsidRPr="00926960">
        <w:rPr>
          <w:rFonts w:eastAsia="Calibri" w:cs="Calibri"/>
          <w:color w:val="000000"/>
        </w:rPr>
        <w:t xml:space="preserve">health risks. There appears to be general consensus that the Regulations have an important role to play in managing or reducing public health risk that can arise in shared accommodation occupied by larger numbers of people, </w:t>
      </w:r>
      <w:r w:rsidR="00B67BB3">
        <w:rPr>
          <w:rFonts w:eastAsia="Calibri" w:cs="Calibri"/>
          <w:color w:val="000000"/>
        </w:rPr>
        <w:t xml:space="preserve">or in facilities with high </w:t>
      </w:r>
      <w:r w:rsidR="00B67BB3">
        <w:rPr>
          <w:rFonts w:eastAsia="Calibri" w:cs="Calibri"/>
          <w:color w:val="000000"/>
        </w:rPr>
        <w:lastRenderedPageBreak/>
        <w:t>turnover,</w:t>
      </w:r>
      <w:r w:rsidRPr="00926960">
        <w:rPr>
          <w:rFonts w:eastAsia="Calibri" w:cs="Calibri"/>
          <w:color w:val="000000"/>
        </w:rPr>
        <w:t xml:space="preserve"> and that the </w:t>
      </w:r>
      <w:r w:rsidR="00B67BB3">
        <w:rPr>
          <w:rFonts w:eastAsia="Calibri" w:cs="Calibri"/>
          <w:color w:val="000000"/>
        </w:rPr>
        <w:t>R</w:t>
      </w:r>
      <w:r w:rsidRPr="00926960">
        <w:rPr>
          <w:rFonts w:eastAsia="Calibri" w:cs="Calibri"/>
          <w:color w:val="000000"/>
        </w:rPr>
        <w:t>egulations do contribute to that risk management. Notwithstanding this, issues have been raised by stakeholders</w:t>
      </w:r>
      <w:r w:rsidDel="00C97C1E">
        <w:rPr>
          <w:rFonts w:ascii="Times New Roman" w:hAnsi="Times New Roman" w:cs="Times New Roman"/>
          <w:sz w:val="24"/>
          <w:szCs w:val="24"/>
          <w:lang w:eastAsia="en-AU"/>
        </w:rPr>
        <w:t xml:space="preserve"> </w:t>
      </w:r>
      <w:r w:rsidRPr="00926960">
        <w:rPr>
          <w:rFonts w:eastAsia="Calibri" w:cs="Calibri"/>
          <w:color w:val="000000"/>
        </w:rPr>
        <w:t xml:space="preserve">about some elements of coverage of the Regulations and standards within the Regulations. </w:t>
      </w:r>
      <w:r w:rsidR="00E32D4C">
        <w:rPr>
          <w:rFonts w:eastAsia="Calibri" w:cs="Calibri"/>
          <w:color w:val="000000"/>
        </w:rPr>
        <w:t xml:space="preserve">These are outlined in </w:t>
      </w:r>
      <w:r w:rsidR="00FB1844">
        <w:rPr>
          <w:rFonts w:eastAsia="Calibri" w:cs="Calibri"/>
          <w:color w:val="000000"/>
        </w:rPr>
        <w:t>a summary of stakeholder consultation in Appendix B.</w:t>
      </w:r>
      <w:r w:rsidRPr="00926960">
        <w:rPr>
          <w:rFonts w:eastAsia="Calibri" w:cs="Calibri"/>
          <w:color w:val="000000"/>
        </w:rPr>
        <w:t xml:space="preserve"> As discussed in Chapter 3, these issues will be addressed as part of considering the outcomes of a range of cross portfolio reviews considering matters related to prescribed accommodation and the Regulations.</w:t>
      </w:r>
    </w:p>
    <w:p w14:paraId="5C840F6F" w14:textId="7E074C4D" w:rsidR="00FB48D2" w:rsidRPr="00926960" w:rsidRDefault="00FB48D2" w:rsidP="00E32D4C">
      <w:pPr>
        <w:rPr>
          <w:rFonts w:eastAsia="Calibri" w:cs="Calibri"/>
          <w:color w:val="000000"/>
        </w:rPr>
      </w:pPr>
      <w:r w:rsidRPr="00926960">
        <w:rPr>
          <w:rFonts w:eastAsia="Calibri" w:cs="Calibri"/>
          <w:color w:val="000000"/>
        </w:rPr>
        <w:t xml:space="preserve">Noting that the benefits of Options 1 and 2 are likely highest in certain types of prescribed accommodation like rooming houses and hostels, the nature of the </w:t>
      </w:r>
      <w:r w:rsidR="0056063F">
        <w:rPr>
          <w:rFonts w:eastAsia="Calibri" w:cs="Calibri"/>
          <w:color w:val="000000"/>
        </w:rPr>
        <w:t>R</w:t>
      </w:r>
      <w:r w:rsidRPr="00926960">
        <w:rPr>
          <w:rFonts w:eastAsia="Calibri" w:cs="Calibri"/>
          <w:color w:val="000000"/>
        </w:rPr>
        <w:t>egulations is such that regulatory effort can be focused on areas of higher risk. Thus, both the costs and benefits are expected to be lower in lower risk parts of the sector.</w:t>
      </w:r>
    </w:p>
    <w:p w14:paraId="515105CA" w14:textId="77777777" w:rsidR="00FB48D2" w:rsidRPr="00926960" w:rsidRDefault="00FB48D2" w:rsidP="00F0077F">
      <w:pPr>
        <w:spacing w:after="0" w:line="240" w:lineRule="auto"/>
        <w:rPr>
          <w:rFonts w:eastAsia="Calibri" w:cs="Calibri"/>
          <w:color w:val="000000"/>
        </w:rPr>
      </w:pPr>
      <w:r w:rsidRPr="00926960">
        <w:rPr>
          <w:rFonts w:eastAsia="Calibri" w:cs="Calibri"/>
          <w:color w:val="000000"/>
        </w:rPr>
        <w:t>Option 2 is preferred to Option 1 because it implements targeted changes to improve the efficiency of the current Regulations and achieves consistency with other regulatory frameworks that interact with the prescribed accommodation regulations, by:</w:t>
      </w:r>
    </w:p>
    <w:p w14:paraId="2C5808E0" w14:textId="77777777" w:rsidR="00FB48D2" w:rsidRPr="00926960" w:rsidRDefault="00FB48D2" w:rsidP="00FB48D2">
      <w:pPr>
        <w:pStyle w:val="ListBullet"/>
        <w:numPr>
          <w:ilvl w:val="0"/>
          <w:numId w:val="94"/>
        </w:numPr>
        <w:spacing w:after="0"/>
        <w:ind w:left="340" w:hanging="340"/>
      </w:pPr>
      <w:r w:rsidRPr="00926960">
        <w:t>Clarifying the current application of certain terms, such as clarifying that ‘residential accommodation’ includes part of a building, modernising the term ‘flat’ to refer to ‘apartment’</w:t>
      </w:r>
    </w:p>
    <w:p w14:paraId="485941D5" w14:textId="79072220" w:rsidR="00FB48D2" w:rsidRDefault="00FB48D2" w:rsidP="00FB48D2">
      <w:pPr>
        <w:pStyle w:val="ListBullet"/>
        <w:numPr>
          <w:ilvl w:val="0"/>
          <w:numId w:val="94"/>
        </w:numPr>
        <w:spacing w:after="0"/>
        <w:ind w:left="340" w:hanging="340"/>
      </w:pPr>
      <w:r w:rsidRPr="00926960">
        <w:t>Reducing regulatory burden such as adopting the definition of ‘rooming house’ in the RTA and thereby making it clear that SDA enrolled accommodation subject to standards under the Commonwealth’s NDIS does not constitute prescribed accommodation</w:t>
      </w:r>
      <w:r>
        <w:t>,</w:t>
      </w:r>
      <w:r w:rsidRPr="00926960">
        <w:t xml:space="preserve"> </w:t>
      </w:r>
    </w:p>
    <w:p w14:paraId="233F54A8" w14:textId="340B1CD4" w:rsidR="00FB48D2" w:rsidRDefault="00FB48D2" w:rsidP="00FB48D2">
      <w:pPr>
        <w:pStyle w:val="ListBullet"/>
        <w:numPr>
          <w:ilvl w:val="0"/>
          <w:numId w:val="94"/>
        </w:numPr>
        <w:spacing w:after="0"/>
        <w:ind w:left="340" w:hanging="340"/>
      </w:pPr>
      <w:r>
        <w:t>M</w:t>
      </w:r>
      <w:r w:rsidRPr="00926960">
        <w:t xml:space="preserve">aking minor or technical drafting updates to reflect updated references or to more accurately reflect current operational practices, such as referring to the updated </w:t>
      </w:r>
      <w:r w:rsidRPr="00F0077F">
        <w:rPr>
          <w:i/>
        </w:rPr>
        <w:t>Heritage Act 2017</w:t>
      </w:r>
      <w:r w:rsidRPr="00926960">
        <w:t xml:space="preserve"> and clarifying the content on application forms to register, renew or transfer prescribed accommodation.  </w:t>
      </w:r>
    </w:p>
    <w:p w14:paraId="295DCB0B" w14:textId="0AAA7A6B" w:rsidR="001F7C9B" w:rsidRDefault="001F7C9B" w:rsidP="001F7C9B">
      <w:pPr>
        <w:pStyle w:val="ListBullet"/>
        <w:numPr>
          <w:ilvl w:val="0"/>
          <w:numId w:val="0"/>
        </w:numPr>
        <w:spacing w:after="0"/>
        <w:ind w:left="720" w:hanging="360"/>
      </w:pPr>
    </w:p>
    <w:p w14:paraId="5E86C634" w14:textId="4CF4634A" w:rsidR="001F7C9B" w:rsidRPr="00926960" w:rsidRDefault="001F7C9B" w:rsidP="00F0077F">
      <w:r w:rsidRPr="00F0077F">
        <w:rPr>
          <w:rFonts w:eastAsia="Calibri" w:cs="Calibri"/>
          <w:color w:val="000000"/>
        </w:rPr>
        <w:t xml:space="preserve">Therefore </w:t>
      </w:r>
      <w:r w:rsidRPr="001F7C9B">
        <w:rPr>
          <w:rFonts w:eastAsia="Calibri" w:cs="Calibri"/>
          <w:color w:val="000000"/>
        </w:rPr>
        <w:t>Option 2 is expected to have the same or similar health benefits as the current Regulations (Option 1)</w:t>
      </w:r>
      <w:r w:rsidR="00915F60">
        <w:rPr>
          <w:rFonts w:eastAsia="Calibri" w:cs="Calibri"/>
          <w:color w:val="000000"/>
        </w:rPr>
        <w:t>. T</w:t>
      </w:r>
      <w:r w:rsidRPr="001F7C9B">
        <w:rPr>
          <w:rFonts w:eastAsia="Calibri" w:cs="Calibri"/>
          <w:color w:val="000000"/>
        </w:rPr>
        <w:t>here could be an increase in benefits if more accommodation owners comply with the Regulations</w:t>
      </w:r>
      <w:r w:rsidR="00915F60">
        <w:rPr>
          <w:rFonts w:eastAsia="Calibri" w:cs="Calibri"/>
          <w:color w:val="000000"/>
        </w:rPr>
        <w:t>,</w:t>
      </w:r>
      <w:r w:rsidRPr="001F7C9B">
        <w:rPr>
          <w:rFonts w:eastAsia="Calibri" w:cs="Calibri"/>
          <w:color w:val="000000"/>
        </w:rPr>
        <w:t xml:space="preserve"> due to increased clarity of coverage of the </w:t>
      </w:r>
      <w:r w:rsidR="00A171B9">
        <w:rPr>
          <w:rFonts w:eastAsia="Calibri" w:cs="Calibri"/>
          <w:color w:val="000000"/>
        </w:rPr>
        <w:t>R</w:t>
      </w:r>
      <w:r w:rsidRPr="001F7C9B">
        <w:rPr>
          <w:rFonts w:eastAsia="Calibri" w:cs="Calibri"/>
          <w:color w:val="000000"/>
        </w:rPr>
        <w:t xml:space="preserve">egulations over particular types of accommodation, however this is not expected to </w:t>
      </w:r>
      <w:r w:rsidR="00915F60">
        <w:rPr>
          <w:rFonts w:eastAsia="Calibri" w:cs="Calibri"/>
          <w:color w:val="000000"/>
        </w:rPr>
        <w:t>have</w:t>
      </w:r>
      <w:r w:rsidRPr="001F7C9B">
        <w:rPr>
          <w:rFonts w:eastAsia="Calibri" w:cs="Calibri"/>
          <w:color w:val="000000"/>
        </w:rPr>
        <w:t xml:space="preserve"> a material impact. In addition, Option 2 is expected to lead to a very small decrease in costs compared to the current Regulations due to revision of certain terms in the Regulations</w:t>
      </w:r>
      <w:r w:rsidR="00915F60">
        <w:rPr>
          <w:rFonts w:eastAsia="Calibri" w:cs="Calibri"/>
          <w:color w:val="000000"/>
        </w:rPr>
        <w:t>,</w:t>
      </w:r>
      <w:r w:rsidRPr="001F7C9B">
        <w:rPr>
          <w:rFonts w:eastAsia="Calibri" w:cs="Calibri"/>
          <w:color w:val="000000"/>
        </w:rPr>
        <w:t xml:space="preserve"> which may reduce the costs of compliance and Council regulation, for example administration and enforcement is more efficient due to less ‘grey’ areas.</w:t>
      </w:r>
    </w:p>
    <w:p w14:paraId="361B24A2" w14:textId="71006EEE" w:rsidR="00FB48D2" w:rsidRDefault="00FB48D2" w:rsidP="000A471E">
      <w:pPr>
        <w:pStyle w:val="Heading3"/>
      </w:pPr>
      <w:r>
        <w:t>Competition and small business</w:t>
      </w:r>
      <w:r w:rsidR="001956C3">
        <w:t xml:space="preserve"> impacts</w:t>
      </w:r>
    </w:p>
    <w:p w14:paraId="4A5931FE" w14:textId="77777777" w:rsidR="00FB48D2" w:rsidRPr="00D407B0" w:rsidRDefault="00FB48D2" w:rsidP="00FB48D2">
      <w:r w:rsidRPr="00D407B0">
        <w:t xml:space="preserve">This section assesses the small business and competition impacts of the preferred option. </w:t>
      </w:r>
    </w:p>
    <w:p w14:paraId="5ADFC0A1" w14:textId="77777777" w:rsidR="00FB48D2" w:rsidRPr="003332E5" w:rsidRDefault="00FB48D2" w:rsidP="00FB48D2">
      <w:r>
        <w:t xml:space="preserve">Small businesses may experience disproportionate effects from regulation for a range of reasons. This may include that the requirement applies mostly to small businesses, or because small businesses have limited resources to interpret compliance requirements or meet substantive compliance requirements compared to larger businesses. Small businesses may also lack the economies of scale that allow fixed regulatory costs to be </w:t>
      </w:r>
      <w:r w:rsidRPr="003332E5">
        <w:t>spread across a large customer base.</w:t>
      </w:r>
    </w:p>
    <w:p w14:paraId="54EDB4C8" w14:textId="36007B0E" w:rsidR="00FB48D2" w:rsidRPr="003332E5" w:rsidRDefault="00FB48D2" w:rsidP="00FB48D2">
      <w:r w:rsidRPr="003332E5">
        <w:t xml:space="preserve">The Victorian Guide to Regulation also requires a RIS to assess the impact of regulations on competition. Regulations can affect competition by preventing or limiting the ability of businesses and individuals to enter and compete within particular markets. In undertaking this assessment we have considered </w:t>
      </w:r>
      <w:r w:rsidR="009D3D0E">
        <w:t xml:space="preserve">these </w:t>
      </w:r>
      <w:r w:rsidRPr="003332E5">
        <w:t xml:space="preserve">questions: </w:t>
      </w:r>
    </w:p>
    <w:p w14:paraId="3E3D43C2" w14:textId="77777777" w:rsidR="00FB48D2" w:rsidRPr="003332E5" w:rsidRDefault="00FB48D2" w:rsidP="00FB48D2">
      <w:pPr>
        <w:pStyle w:val="ListBullet"/>
        <w:numPr>
          <w:ilvl w:val="0"/>
          <w:numId w:val="94"/>
        </w:numPr>
        <w:spacing w:after="0"/>
        <w:ind w:left="340" w:hanging="340"/>
      </w:pPr>
      <w:r w:rsidRPr="003332E5">
        <w:t xml:space="preserve">Is the proposed measure likely to affect the market structure of the affected sector(s) – i.e. will it reduce the number of participants in the market, or increase the size of incumbent firms? </w:t>
      </w:r>
    </w:p>
    <w:p w14:paraId="4F5D40EB" w14:textId="77777777" w:rsidR="00FB48D2" w:rsidRPr="003332E5" w:rsidRDefault="00FB48D2" w:rsidP="00FB48D2">
      <w:pPr>
        <w:pStyle w:val="ListBullet"/>
        <w:numPr>
          <w:ilvl w:val="0"/>
          <w:numId w:val="94"/>
        </w:numPr>
        <w:spacing w:after="0"/>
        <w:ind w:left="340" w:hanging="340"/>
      </w:pPr>
      <w:r w:rsidRPr="003332E5">
        <w:t>Will it be more difficult for new firms or individuals to enter the industry after the imposition of the proposed measure?</w:t>
      </w:r>
    </w:p>
    <w:p w14:paraId="4790503C" w14:textId="77777777" w:rsidR="00FB48D2" w:rsidRPr="003332E5" w:rsidRDefault="00FB48D2" w:rsidP="00FB48D2">
      <w:pPr>
        <w:pStyle w:val="ListBullet"/>
        <w:numPr>
          <w:ilvl w:val="0"/>
          <w:numId w:val="94"/>
        </w:numPr>
        <w:spacing w:after="0"/>
        <w:ind w:left="340" w:hanging="340"/>
      </w:pPr>
      <w:r w:rsidRPr="003332E5">
        <w:t>Will the costs/benefits associated with the proposed measure affect some firms or individuals substantially more than others (e.g. small firms, part-time participants in occupations etc.)?</w:t>
      </w:r>
    </w:p>
    <w:p w14:paraId="0662F7F9" w14:textId="77777777" w:rsidR="00FB48D2" w:rsidRPr="003332E5" w:rsidRDefault="00FB48D2" w:rsidP="00FB48D2">
      <w:pPr>
        <w:pStyle w:val="ListBullet"/>
        <w:numPr>
          <w:ilvl w:val="0"/>
          <w:numId w:val="94"/>
        </w:numPr>
        <w:spacing w:after="0"/>
        <w:ind w:left="340" w:hanging="340"/>
      </w:pPr>
      <w:r w:rsidRPr="003332E5">
        <w:t>Will the proposed measure restrict the ability of businesses to choose the price, quality, range or location of their products?</w:t>
      </w:r>
    </w:p>
    <w:p w14:paraId="1DCFCDB2" w14:textId="77777777" w:rsidR="00FB48D2" w:rsidRPr="003332E5" w:rsidRDefault="00FB48D2" w:rsidP="00FB48D2">
      <w:pPr>
        <w:pStyle w:val="ListBullet"/>
        <w:numPr>
          <w:ilvl w:val="0"/>
          <w:numId w:val="94"/>
        </w:numPr>
        <w:spacing w:after="0"/>
        <w:ind w:left="340" w:hanging="340"/>
      </w:pPr>
      <w:r w:rsidRPr="003332E5">
        <w:t>Will the proposed measure lead to higher ongoing costs for new entrants that existing firms do not have to meet?</w:t>
      </w:r>
    </w:p>
    <w:p w14:paraId="4812EF05" w14:textId="77777777" w:rsidR="00FB48D2" w:rsidRPr="003332E5" w:rsidRDefault="00FB48D2" w:rsidP="004C00C8">
      <w:pPr>
        <w:pStyle w:val="ListBullet"/>
        <w:numPr>
          <w:ilvl w:val="0"/>
          <w:numId w:val="94"/>
        </w:numPr>
        <w:tabs>
          <w:tab w:val="left" w:pos="1843"/>
        </w:tabs>
        <w:spacing w:after="0"/>
        <w:ind w:left="284" w:hanging="284"/>
      </w:pPr>
      <w:r w:rsidRPr="003332E5">
        <w:t>Is the ability or incentive to innovate or develop new products or services likely to be affected by the proposed measure?</w:t>
      </w:r>
    </w:p>
    <w:p w14:paraId="196865FD" w14:textId="77777777" w:rsidR="00FB48D2" w:rsidRPr="003332E5" w:rsidRDefault="00FB48D2" w:rsidP="00FB48D2">
      <w:pPr>
        <w:pStyle w:val="ListBullet"/>
        <w:numPr>
          <w:ilvl w:val="0"/>
          <w:numId w:val="0"/>
        </w:numPr>
        <w:spacing w:after="0"/>
        <w:ind w:left="340"/>
      </w:pPr>
    </w:p>
    <w:p w14:paraId="551D6636" w14:textId="73BA9945" w:rsidR="00FB48D2" w:rsidRPr="003332E5" w:rsidRDefault="00FB48D2" w:rsidP="00FB48D2">
      <w:r w:rsidRPr="003332E5">
        <w:t xml:space="preserve">It is estimated that the preferred option will impose an estimated </w:t>
      </w:r>
      <w:r w:rsidR="00F025E8">
        <w:t xml:space="preserve">quantifiable </w:t>
      </w:r>
      <w:r w:rsidRPr="003332E5">
        <w:t>cost of $</w:t>
      </w:r>
      <w:r w:rsidR="001E05DB">
        <w:t>9,9</w:t>
      </w:r>
      <w:r w:rsidR="004B3E3B">
        <w:t>26</w:t>
      </w:r>
      <w:r w:rsidRPr="003332E5">
        <w:t xml:space="preserve"> on businesses over the 10 year life of the Regulations</w:t>
      </w:r>
      <w:r w:rsidR="00C21DDB">
        <w:t xml:space="preserve"> (average cost across businesses)</w:t>
      </w:r>
      <w:r w:rsidR="00F025E8">
        <w:t>, relative to the Base Case</w:t>
      </w:r>
      <w:r w:rsidR="001D01C7" w:rsidRPr="001D01C7">
        <w:t xml:space="preserve"> </w:t>
      </w:r>
      <w:r w:rsidR="001D01C7">
        <w:t>(as estimated in section 4.3.1</w:t>
      </w:r>
      <w:r w:rsidR="00915F60">
        <w:t>.10</w:t>
      </w:r>
      <w:r w:rsidR="001D01C7">
        <w:t>)</w:t>
      </w:r>
      <w:r w:rsidRPr="003332E5">
        <w:t xml:space="preserve">. This is a material impact and will be relatively more significant for small </w:t>
      </w:r>
      <w:r w:rsidR="00915F60" w:rsidRPr="003332E5">
        <w:t>businesses</w:t>
      </w:r>
      <w:r w:rsidR="00915F60">
        <w:t>. F</w:t>
      </w:r>
      <w:r w:rsidRPr="003332E5">
        <w:t xml:space="preserve">or example, the cost of becoming registered is unlikely to vary significantly across different </w:t>
      </w:r>
      <w:r w:rsidR="00915F60" w:rsidRPr="003332E5">
        <w:t>size</w:t>
      </w:r>
      <w:r w:rsidR="00915F60">
        <w:t>d</w:t>
      </w:r>
      <w:r w:rsidR="00915F60" w:rsidRPr="003332E5">
        <w:t xml:space="preserve"> </w:t>
      </w:r>
      <w:r w:rsidRPr="003332E5">
        <w:t>business</w:t>
      </w:r>
      <w:r w:rsidR="00915F60">
        <w:t>es</w:t>
      </w:r>
      <w:r w:rsidRPr="003332E5">
        <w:t xml:space="preserve"> so</w:t>
      </w:r>
      <w:r w:rsidR="00915F60">
        <w:t xml:space="preserve"> it</w:t>
      </w:r>
      <w:r w:rsidRPr="003332E5">
        <w:t xml:space="preserve"> represents a disproportionately higher amount of turnover </w:t>
      </w:r>
      <w:r w:rsidR="00915F60">
        <w:t>(</w:t>
      </w:r>
      <w:r w:rsidRPr="003332E5">
        <w:t>or costs</w:t>
      </w:r>
      <w:r w:rsidR="00915F60">
        <w:t>)</w:t>
      </w:r>
      <w:r w:rsidRPr="003332E5">
        <w:t xml:space="preserve"> for smaller business</w:t>
      </w:r>
      <w:r w:rsidR="00915F60">
        <w:t>es</w:t>
      </w:r>
      <w:r w:rsidRPr="003332E5">
        <w:t>. The sector is made up a range of businesses from small to large; from a single rooming house through to larger operators of hotels/motels and large student dormitory accommodation or proprietors operating multiple r</w:t>
      </w:r>
      <w:r>
        <w:t>ooming</w:t>
      </w:r>
      <w:r w:rsidRPr="003332E5">
        <w:t xml:space="preserve"> houses. It is known that many proprietors that provide prescribed accommodation are small businesses, however specific data on the number of small businesses operating in the sector is not available. </w:t>
      </w:r>
    </w:p>
    <w:p w14:paraId="63E71482" w14:textId="587EA555" w:rsidR="00FB48D2" w:rsidRDefault="00FB48D2" w:rsidP="00FB48D2">
      <w:r w:rsidRPr="003332E5">
        <w:t xml:space="preserve">It is possible that the </w:t>
      </w:r>
      <w:r w:rsidR="00A171B9">
        <w:t>R</w:t>
      </w:r>
      <w:r w:rsidRPr="003332E5">
        <w:t xml:space="preserve">egulations may deter entry or lead to the exit from the market, </w:t>
      </w:r>
      <w:r w:rsidR="003478E7">
        <w:t xml:space="preserve">and </w:t>
      </w:r>
      <w:r w:rsidR="00FB3FEA">
        <w:t xml:space="preserve">it might slightly </w:t>
      </w:r>
      <w:r w:rsidR="003478E7">
        <w:t xml:space="preserve">reduce </w:t>
      </w:r>
      <w:r w:rsidR="00FB3FEA">
        <w:t>the number of businesses in the sector</w:t>
      </w:r>
      <w:r w:rsidR="000C7C3B">
        <w:t>. A</w:t>
      </w:r>
      <w:r w:rsidRPr="003332E5">
        <w:t>s discussed in section 4.</w:t>
      </w:r>
      <w:r w:rsidR="001D4FD5">
        <w:t>3</w:t>
      </w:r>
      <w:r w:rsidRPr="003332E5">
        <w:t>.</w:t>
      </w:r>
      <w:r w:rsidR="00915F60">
        <w:t>2</w:t>
      </w:r>
      <w:r w:rsidR="00915F60" w:rsidRPr="003332E5">
        <w:t xml:space="preserve"> </w:t>
      </w:r>
      <w:r w:rsidRPr="003332E5">
        <w:t>this impact is not likely to be significant</w:t>
      </w:r>
      <w:r w:rsidR="00953567">
        <w:t xml:space="preserve">. </w:t>
      </w:r>
      <w:r w:rsidR="001800B5" w:rsidRPr="003332E5">
        <w:t xml:space="preserve">However if the </w:t>
      </w:r>
      <w:r w:rsidR="001800B5">
        <w:t>R</w:t>
      </w:r>
      <w:r w:rsidR="001800B5" w:rsidRPr="003332E5">
        <w:t>egulations result in non-compliant businesses not entering or exiting the market, this restriction on competition is necessary to reduce the risk of illness and death, and the public health benefits of the restriction are likely to outweigh the costs.</w:t>
      </w:r>
      <w:r w:rsidR="001800B5" w:rsidRPr="000E7548">
        <w:t xml:space="preserve"> </w:t>
      </w:r>
      <w:r w:rsidR="000C7C3B">
        <w:t xml:space="preserve">By </w:t>
      </w:r>
      <w:r w:rsidR="00E436E1">
        <w:t xml:space="preserve">imposing standards the </w:t>
      </w:r>
      <w:r w:rsidR="002F1211">
        <w:t>Regulations also restrict quality by imposing a minimum quality</w:t>
      </w:r>
      <w:r w:rsidR="001800B5">
        <w:t xml:space="preserve">, although this is clearly </w:t>
      </w:r>
      <w:r w:rsidR="00A53277">
        <w:t>consistent with the objectives of the Regulations</w:t>
      </w:r>
      <w:r w:rsidR="001800B5">
        <w:t>.</w:t>
      </w:r>
      <w:r w:rsidR="00E436E1">
        <w:t xml:space="preserve"> </w:t>
      </w:r>
    </w:p>
    <w:p w14:paraId="141B6032" w14:textId="77C99592" w:rsidR="00DD06AB" w:rsidRDefault="0055175C" w:rsidP="00DD06AB">
      <w:pPr>
        <w:pStyle w:val="Heading3"/>
      </w:pPr>
      <w:r>
        <w:t xml:space="preserve">Human rights impact of </w:t>
      </w:r>
      <w:r w:rsidR="00F93494">
        <w:t>proposed Regulations</w:t>
      </w:r>
    </w:p>
    <w:p w14:paraId="2013DE59" w14:textId="199DD10D" w:rsidR="0055175C" w:rsidRDefault="0055175C" w:rsidP="0055175C">
      <w:r>
        <w:t xml:space="preserve">The proposed Regulations do not limit any human right set out in the </w:t>
      </w:r>
      <w:r w:rsidRPr="004C00C8">
        <w:rPr>
          <w:i/>
        </w:rPr>
        <w:t>Charter of Human Rights and Responsibilities Act 2006</w:t>
      </w:r>
      <w:r>
        <w:t xml:space="preserve">. The proposed Regulations do engage the right to privacy, the right to freedom of expression and the right to property. </w:t>
      </w:r>
    </w:p>
    <w:p w14:paraId="3545ADB6" w14:textId="77777777" w:rsidR="0055175C" w:rsidRDefault="0055175C" w:rsidP="0055175C">
      <w:r>
        <w:t>Proposed Regulations 8, 9 and 10 require the provision of personal information to a Council for the purposes of registration of prescribed accommodation. The information is directly related to the registration process and the provision is not unlawful or arbitrary and engages but does not limit the right to privacy. These regulations also engage the right to freedom of expression as a proprietor is required to provide personal information to a municipal council to be registered. These Regulations do not limit the right to freedom of expression.</w:t>
      </w:r>
    </w:p>
    <w:p w14:paraId="11279CF8" w14:textId="31FDEBB1" w:rsidR="0055175C" w:rsidRDefault="0055175C" w:rsidP="0055175C">
      <w:r>
        <w:t xml:space="preserve">Proposed Regulations 21 and 23 of the proposed Regulations require the proprietor of prescribed accommodation to keep a register containing details relevant to the occupant’s occupation of the premises, such as their name and address. The purpose of this requirement is to ensure the relevant council and Secretary of DHHS has the information required to manage public health risks in relation to the premises. These provisions are not unlawful or arbitrary and engage but do not limit the right to privacy. </w:t>
      </w:r>
    </w:p>
    <w:p w14:paraId="7E7E6A42" w14:textId="49F9416C" w:rsidR="0055175C" w:rsidRDefault="0055175C" w:rsidP="0055175C">
      <w:r>
        <w:t xml:space="preserve">Proposed Regulation 22 restricts the proprietor from stating in an advertisement, notice or sign that the premises are registered when they are not registered, to limit the health risks from the use of unauthorised prescribed accommodation. The regulation engages but does not limit the right to freedom of expression. </w:t>
      </w:r>
    </w:p>
    <w:p w14:paraId="12B1909E" w14:textId="7EBC7D98" w:rsidR="0055175C" w:rsidRDefault="0055175C" w:rsidP="0055175C">
      <w:r>
        <w:t>Proposed Regulations 11,13,14,15,16,17,18,19 and 20 impose obligations on proprietors of prescribed accommodation, e</w:t>
      </w:r>
      <w:r w:rsidR="00F93494">
        <w:t>.</w:t>
      </w:r>
      <w:r>
        <w:t>g</w:t>
      </w:r>
      <w:r w:rsidR="00F93494">
        <w:t>.</w:t>
      </w:r>
      <w:r>
        <w:t xml:space="preserve"> to maintain the property, that impact on their ability to enjoy uninterrupted use of their property. These obligations are intended to manage public health risks and engage but do not limit the right to property. </w:t>
      </w:r>
    </w:p>
    <w:p w14:paraId="5FFA6041" w14:textId="04E2EF2D" w:rsidR="00FB48D2" w:rsidRPr="00C4445E" w:rsidRDefault="0055175C" w:rsidP="0055175C">
      <w:r>
        <w:t>The social burden imposed on sectors of the public in the proposed Regulations, including the proprietors and occupants of prescribed accommodation, are considered to be reasonable and proportionate in the context of regulation of environments which pose a risk to public health unless managed appropriately. The social burden is assessed not to outweigh the cost of significant health risk posed by prescribed accommodation, including through the potential spread of infectious and non-infectious disease, and injury, including negative impacts on mental health and social amenity arising from unhygienic, unsafe and overcrowded premises. Additionally, the requirements of the proposed Regulations provide health system benefits for the community by assisting to avoid health issues and associated costs to the public health system. The social costs are also regarded as being consistent with public expectations.</w:t>
      </w:r>
    </w:p>
    <w:p w14:paraId="2A92249B" w14:textId="2C921131" w:rsidR="00C07963" w:rsidRDefault="00C07963" w:rsidP="0002529A">
      <w:pPr>
        <w:pStyle w:val="Heading1"/>
        <w:ind w:left="567" w:hanging="567"/>
      </w:pPr>
      <w:bookmarkStart w:id="183" w:name="_Toc508207691"/>
      <w:bookmarkStart w:id="184" w:name="_Toc508207692"/>
      <w:bookmarkStart w:id="185" w:name="_Toc508207693"/>
      <w:bookmarkStart w:id="186" w:name="_Toc508207703"/>
      <w:bookmarkStart w:id="187" w:name="_Toc508207715"/>
      <w:bookmarkStart w:id="188" w:name="_Toc508207724"/>
      <w:bookmarkStart w:id="189" w:name="_Toc508207733"/>
      <w:bookmarkStart w:id="190" w:name="_Toc508207745"/>
      <w:bookmarkStart w:id="191" w:name="_Toc508207763"/>
      <w:bookmarkStart w:id="192" w:name="_Toc508207781"/>
      <w:bookmarkStart w:id="193" w:name="_Toc508207799"/>
      <w:bookmarkStart w:id="194" w:name="_Toc508207817"/>
      <w:bookmarkStart w:id="195" w:name="_Toc508207835"/>
      <w:bookmarkStart w:id="196" w:name="_Toc508207853"/>
      <w:bookmarkStart w:id="197" w:name="_Toc508207862"/>
      <w:bookmarkStart w:id="198" w:name="_Toc508207880"/>
      <w:bookmarkStart w:id="199" w:name="_Toc17891964"/>
      <w:bookmarkStart w:id="200" w:name="_Toc17892100"/>
      <w:bookmarkStart w:id="201" w:name="_Toc17892137"/>
      <w:bookmarkStart w:id="202" w:name="_Toc17929103"/>
      <w:bookmarkStart w:id="203" w:name="_Toc17929213"/>
      <w:bookmarkStart w:id="204" w:name="_Toc10111312"/>
      <w:bookmarkStart w:id="205" w:name="_Toc17892142"/>
      <w:bookmarkStart w:id="206" w:name="_Toc49460304"/>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r>
        <w:lastRenderedPageBreak/>
        <w:t>Implementation</w:t>
      </w:r>
      <w:r w:rsidR="009229BE">
        <w:t xml:space="preserve">, enforcement and </w:t>
      </w:r>
      <w:r w:rsidR="00A30524">
        <w:t>evaluation</w:t>
      </w:r>
      <w:bookmarkEnd w:id="204"/>
      <w:bookmarkEnd w:id="205"/>
      <w:bookmarkEnd w:id="206"/>
    </w:p>
    <w:p w14:paraId="171FC870" w14:textId="4450BA83" w:rsidR="00D87D42" w:rsidRDefault="00D87D42" w:rsidP="00D87D42">
      <w:pPr>
        <w:pStyle w:val="Sectionintro"/>
      </w:pPr>
      <w:r w:rsidRPr="00D87D42">
        <w:t>This chapter discusses key issues to be considered in the implementation of the Regulations</w:t>
      </w:r>
    </w:p>
    <w:p w14:paraId="6938572B" w14:textId="77777777" w:rsidR="0011234B" w:rsidRPr="00306D26" w:rsidRDefault="0011234B" w:rsidP="00F0077F">
      <w:pPr>
        <w:pStyle w:val="Heading2"/>
      </w:pPr>
      <w:bookmarkStart w:id="207" w:name="_Toc49460305"/>
      <w:bookmarkStart w:id="208" w:name="_Toc48638304"/>
      <w:r w:rsidRPr="00D305A0">
        <w:t>Implementation</w:t>
      </w:r>
      <w:bookmarkEnd w:id="207"/>
    </w:p>
    <w:p w14:paraId="3174F632" w14:textId="77777777" w:rsidR="0011234B" w:rsidRPr="00390F36" w:rsidRDefault="0011234B" w:rsidP="00F0077F">
      <w:pPr>
        <w:pStyle w:val="Heading3"/>
      </w:pPr>
      <w:r w:rsidRPr="00903A1D">
        <w:t xml:space="preserve">Finalise the remade Regulations </w:t>
      </w:r>
    </w:p>
    <w:p w14:paraId="6F15B361" w14:textId="18304BAB" w:rsidR="0011234B" w:rsidRPr="00390F36" w:rsidRDefault="0011234B" w:rsidP="0011234B">
      <w:pPr>
        <w:spacing w:after="240"/>
        <w:ind w:left="-3" w:right="57"/>
      </w:pPr>
      <w:r w:rsidRPr="00C23D5F">
        <w:t xml:space="preserve">The release of the proposed remade Regulations and this RIS for a </w:t>
      </w:r>
      <w:r w:rsidR="00F24902">
        <w:t xml:space="preserve">minimum 28 </w:t>
      </w:r>
      <w:r w:rsidRPr="00CA6E3B">
        <w:t>day</w:t>
      </w:r>
      <w:r w:rsidRPr="00D305A0">
        <w:t xml:space="preserve"> </w:t>
      </w:r>
      <w:r w:rsidRPr="00306D26">
        <w:t xml:space="preserve">public comment period will provide key stakeholders and members of the public the opportunity to consider the proposed changes to the Regulations and provide feedback. At the conclusion of the public comment period the Victorian Government will review and </w:t>
      </w:r>
      <w:r w:rsidRPr="00903A1D">
        <w:t xml:space="preserve">consider each submission, and take account of the feedback on both the proposed Regulations and the RIS in finalising the Regulations. </w:t>
      </w:r>
    </w:p>
    <w:p w14:paraId="2E8F7A90" w14:textId="1552B68A" w:rsidR="0011234B" w:rsidRPr="00903A1D" w:rsidRDefault="0011234B" w:rsidP="0011234B">
      <w:pPr>
        <w:spacing w:after="240"/>
        <w:ind w:left="-3" w:right="57"/>
      </w:pPr>
      <w:r w:rsidRPr="00C23D5F">
        <w:t xml:space="preserve">On behalf of the Victorian Government, DHHS will prepare a formal Response to Public Comment </w:t>
      </w:r>
      <w:r w:rsidRPr="00D305A0">
        <w:t>document which will de</w:t>
      </w:r>
      <w:r w:rsidRPr="00306D26">
        <w:t xml:space="preserve">tail the comments provided in the Public Comment submissions and a response to those comments. </w:t>
      </w:r>
    </w:p>
    <w:p w14:paraId="515DB68F" w14:textId="13398094" w:rsidR="0011234B" w:rsidRPr="00EC1642" w:rsidRDefault="0011234B" w:rsidP="0011234B">
      <w:pPr>
        <w:spacing w:after="240"/>
        <w:ind w:left="-3" w:right="57"/>
      </w:pPr>
      <w:r w:rsidRPr="00390F36">
        <w:t xml:space="preserve">The Office of Chief Parliamentary Council (OCPC) will review and settle the Regulations which will then be submitted to the Minister for Health </w:t>
      </w:r>
      <w:r w:rsidRPr="00C23D5F">
        <w:t xml:space="preserve">for approval. </w:t>
      </w:r>
    </w:p>
    <w:p w14:paraId="13317A66" w14:textId="77777777" w:rsidR="0011234B" w:rsidRPr="007D03C5" w:rsidRDefault="0011234B" w:rsidP="00F0077F">
      <w:pPr>
        <w:pStyle w:val="Heading3"/>
      </w:pPr>
      <w:r w:rsidRPr="007D03C5">
        <w:t>Changes to Regulations</w:t>
      </w:r>
    </w:p>
    <w:p w14:paraId="6C31447D" w14:textId="77777777" w:rsidR="0011234B" w:rsidRPr="00DE7D3B" w:rsidRDefault="0011234B" w:rsidP="0011234B">
      <w:pPr>
        <w:rPr>
          <w:i/>
          <w:iCs/>
        </w:rPr>
      </w:pPr>
      <w:r w:rsidRPr="00AC5968">
        <w:rPr>
          <w:i/>
          <w:iCs/>
        </w:rPr>
        <w:t>Preferred option</w:t>
      </w:r>
    </w:p>
    <w:p w14:paraId="391D5A69" w14:textId="1CC85703" w:rsidR="0011234B" w:rsidRPr="00D305A0" w:rsidRDefault="0011234B" w:rsidP="0011234B">
      <w:r w:rsidRPr="00CA6E3B">
        <w:t>The proposed remade Regulations largely continue the substance and form of the current Regulations with efficiency and effectiveness improvements rather than wholesale changes</w:t>
      </w:r>
      <w:r w:rsidR="001C443F">
        <w:t>.</w:t>
      </w:r>
    </w:p>
    <w:p w14:paraId="3622304F" w14:textId="0D998D31" w:rsidR="0011234B" w:rsidRPr="00306D26" w:rsidRDefault="0011234B" w:rsidP="0011234B">
      <w:r w:rsidRPr="00306D26">
        <w:t>The main area of cha</w:t>
      </w:r>
      <w:r w:rsidRPr="00903A1D">
        <w:t xml:space="preserve">nge arising in the preferred option is to amend the definition of rooming houses to align with the definition of rooming house that is </w:t>
      </w:r>
      <w:r w:rsidR="00383DE8">
        <w:t>contained</w:t>
      </w:r>
      <w:r w:rsidR="00383DE8" w:rsidRPr="00903A1D">
        <w:t xml:space="preserve"> </w:t>
      </w:r>
      <w:r w:rsidRPr="00903A1D">
        <w:t xml:space="preserve">in the </w:t>
      </w:r>
      <w:r w:rsidR="00383DE8">
        <w:t>RTA</w:t>
      </w:r>
      <w:r w:rsidRPr="00D305A0">
        <w:t>.</w:t>
      </w:r>
    </w:p>
    <w:p w14:paraId="27FD6849" w14:textId="011B300A" w:rsidR="0011234B" w:rsidRPr="00D305A0" w:rsidRDefault="0011234B" w:rsidP="0011234B">
      <w:r w:rsidRPr="00CA6E3B">
        <w:t xml:space="preserve">Implementation activities are therefore expected to be minimal. </w:t>
      </w:r>
      <w:r w:rsidRPr="00CA6E3B">
        <w:rPr>
          <w:rFonts w:asciiTheme="minorHAnsi" w:hAnsiTheme="minorHAnsi"/>
        </w:rPr>
        <w:t xml:space="preserve">DJCS will </w:t>
      </w:r>
      <w:r w:rsidR="0063443C">
        <w:rPr>
          <w:rFonts w:asciiTheme="minorHAnsi" w:hAnsiTheme="minorHAnsi"/>
        </w:rPr>
        <w:t xml:space="preserve">consult with and </w:t>
      </w:r>
      <w:r w:rsidR="006D0608">
        <w:rPr>
          <w:rFonts w:asciiTheme="minorHAnsi" w:hAnsiTheme="minorHAnsi"/>
        </w:rPr>
        <w:t xml:space="preserve">provide </w:t>
      </w:r>
      <w:r w:rsidRPr="00CA6E3B">
        <w:rPr>
          <w:rFonts w:asciiTheme="minorHAnsi" w:hAnsiTheme="minorHAnsi"/>
        </w:rPr>
        <w:t xml:space="preserve">updated guidance to industry and Councils regarding any change to the definition of ‘rooming house’ arising out of its review. DHHS will issue guidance material </w:t>
      </w:r>
      <w:r w:rsidR="006D0608">
        <w:rPr>
          <w:rFonts w:asciiTheme="minorHAnsi" w:hAnsiTheme="minorHAnsi"/>
        </w:rPr>
        <w:t xml:space="preserve">on </w:t>
      </w:r>
      <w:r w:rsidRPr="00CA6E3B">
        <w:rPr>
          <w:rFonts w:asciiTheme="minorHAnsi" w:hAnsiTheme="minorHAnsi"/>
        </w:rPr>
        <w:t>other changes</w:t>
      </w:r>
      <w:r w:rsidR="006D0608">
        <w:rPr>
          <w:rFonts w:asciiTheme="minorHAnsi" w:hAnsiTheme="minorHAnsi"/>
        </w:rPr>
        <w:t xml:space="preserve"> </w:t>
      </w:r>
      <w:r w:rsidRPr="00CA6E3B">
        <w:rPr>
          <w:rFonts w:asciiTheme="minorHAnsi" w:hAnsiTheme="minorHAnsi"/>
        </w:rPr>
        <w:t>to the Regulations to promote compliance.</w:t>
      </w:r>
    </w:p>
    <w:p w14:paraId="0C3D9ED5" w14:textId="77777777" w:rsidR="0011234B" w:rsidRPr="00903A1D" w:rsidRDefault="0011234B" w:rsidP="00F0077F">
      <w:pPr>
        <w:pStyle w:val="Heading3"/>
      </w:pPr>
      <w:r w:rsidRPr="00306D26">
        <w:t>Cross-sector reviews</w:t>
      </w:r>
    </w:p>
    <w:p w14:paraId="330312DE" w14:textId="77777777" w:rsidR="0011234B" w:rsidRPr="00CA6E3B" w:rsidRDefault="0011234B" w:rsidP="0011234B">
      <w:r w:rsidRPr="00CA6E3B">
        <w:t>As discussed in Chapter 1 (Background) and Chapter 3 (Options), a number of cross-portfolio reviews are currently being undertaken by various Victorian Government departments and agencies. The findings of these reviews could require DHHS to consider changes to the Regulations after they have been remade, ranging from minor drafting to potentially substantive changes.</w:t>
      </w:r>
    </w:p>
    <w:p w14:paraId="17F79F0D" w14:textId="6BE69D9C" w:rsidR="0011234B" w:rsidRPr="00CA6E3B" w:rsidRDefault="0011234B" w:rsidP="0011234B">
      <w:r w:rsidRPr="00CA6E3B">
        <w:t xml:space="preserve">On completion of the reviews, DHHS will consider whether the recommendations </w:t>
      </w:r>
      <w:r w:rsidR="0045723B">
        <w:t>and findings</w:t>
      </w:r>
      <w:r w:rsidRPr="00CA6E3B">
        <w:t xml:space="preserve"> require changes to the Regulations and/or the PHWA. DHHS will </w:t>
      </w:r>
      <w:r w:rsidR="00A52FC6">
        <w:t xml:space="preserve">also </w:t>
      </w:r>
      <w:r w:rsidRPr="00CA6E3B">
        <w:t xml:space="preserve">assess whether it is appropriate to progressively address the recommendations, or to bundle multiple changes together. </w:t>
      </w:r>
    </w:p>
    <w:p w14:paraId="119D6561" w14:textId="46F25AC4" w:rsidR="0011234B" w:rsidRPr="00CA6E3B" w:rsidRDefault="0011234B" w:rsidP="0011234B">
      <w:r w:rsidRPr="00CA6E3B">
        <w:t xml:space="preserve">If any material changes to the Regulations or the PHWA are required, DHHS </w:t>
      </w:r>
      <w:r w:rsidR="00C04BBF" w:rsidRPr="00CA6E3B">
        <w:t>w</w:t>
      </w:r>
      <w:r w:rsidR="00C04BBF">
        <w:t>ill</w:t>
      </w:r>
      <w:r w:rsidR="00C04BBF" w:rsidRPr="00CA6E3B">
        <w:t xml:space="preserve"> </w:t>
      </w:r>
      <w:r w:rsidRPr="00CA6E3B">
        <w:t>consult with any sector of the public on which a significant economic or social burden may be imposed by a proposed change.</w:t>
      </w:r>
    </w:p>
    <w:p w14:paraId="651CB47E" w14:textId="56CA4613" w:rsidR="0011234B" w:rsidRPr="00D305A0" w:rsidRDefault="0011234B" w:rsidP="0011234B">
      <w:r w:rsidRPr="00CA6E3B">
        <w:t>Cross</w:t>
      </w:r>
      <w:r w:rsidR="00404EFA">
        <w:t>-</w:t>
      </w:r>
      <w:r w:rsidRPr="00CA6E3B">
        <w:t>portfolio reviews are expected to be progressively completed over the next 3 years. The Department will review the outcomes of the cross</w:t>
      </w:r>
      <w:r w:rsidR="0045723B">
        <w:t>-</w:t>
      </w:r>
      <w:r w:rsidRPr="00CA6E3B">
        <w:t xml:space="preserve">portfolio reviews being undertaken across </w:t>
      </w:r>
      <w:r w:rsidRPr="00CA6E3B">
        <w:lastRenderedPageBreak/>
        <w:t xml:space="preserve">Government and their impact (if any) on the </w:t>
      </w:r>
      <w:r w:rsidR="00A171B9">
        <w:t>R</w:t>
      </w:r>
      <w:r w:rsidRPr="00CA6E3B">
        <w:t xml:space="preserve">egulations within 5 years of remaking the </w:t>
      </w:r>
      <w:r w:rsidR="00A171B9">
        <w:t>R</w:t>
      </w:r>
      <w:r w:rsidRPr="00CA6E3B">
        <w:t>egulations.</w:t>
      </w:r>
    </w:p>
    <w:p w14:paraId="2FB11883" w14:textId="02C6C9CB" w:rsidR="0011234B" w:rsidRPr="00CA6E3B" w:rsidRDefault="0011234B" w:rsidP="00F0077F">
      <w:pPr>
        <w:pStyle w:val="Heading3"/>
      </w:pPr>
      <w:r w:rsidRPr="00DE7D3B">
        <w:t xml:space="preserve">Enforcement strategy </w:t>
      </w:r>
    </w:p>
    <w:p w14:paraId="60183E55" w14:textId="77777777" w:rsidR="0011234B" w:rsidRPr="00CA6E3B" w:rsidRDefault="0011234B" w:rsidP="0011234B">
      <w:pPr>
        <w:ind w:right="57"/>
      </w:pPr>
      <w:r w:rsidRPr="00CA6E3B">
        <w:t>The Act requires that prescribed accommodation business be registered with Council. Councils undertake inspection of all registered prescribed accommodation premises in their area.</w:t>
      </w:r>
    </w:p>
    <w:p w14:paraId="1D1C1E72" w14:textId="0D20268B" w:rsidR="0011234B" w:rsidRPr="00D305A0" w:rsidRDefault="0011234B" w:rsidP="0011234B">
      <w:pPr>
        <w:ind w:right="57"/>
      </w:pPr>
      <w:r w:rsidRPr="00CA6E3B">
        <w:t xml:space="preserve">A number of offences and penalties relating to prescribed accommodation are prescribed in Schedule 8 of the Regulations. Councils currently have </w:t>
      </w:r>
      <w:r w:rsidR="00383DE8">
        <w:t xml:space="preserve">various </w:t>
      </w:r>
      <w:r w:rsidRPr="00CA6E3B">
        <w:t xml:space="preserve">powers of enforcement under the </w:t>
      </w:r>
      <w:r w:rsidR="001E00FF">
        <w:t>PHWA</w:t>
      </w:r>
      <w:r w:rsidRPr="00D305A0">
        <w:t>.</w:t>
      </w:r>
    </w:p>
    <w:p w14:paraId="54A7C03D" w14:textId="15E80723" w:rsidR="00CE396E" w:rsidRPr="00CE396E" w:rsidRDefault="00CE396E" w:rsidP="00CE396E">
      <w:pPr>
        <w:ind w:right="57"/>
      </w:pPr>
      <w:r w:rsidRPr="00CE396E">
        <w:t>The existing enforcement strategy will continue to be applied to the new Regulations. The Depart</w:t>
      </w:r>
      <w:r w:rsidRPr="001704C6">
        <w:t xml:space="preserve">ment will work with councils to improve consistency of interpretation, intent and enforcement (e.g. through information and </w:t>
      </w:r>
      <w:r w:rsidRPr="00F138E8">
        <w:t xml:space="preserve">advice to </w:t>
      </w:r>
      <w:r w:rsidRPr="001419A0">
        <w:t>Councils and their environmental health officers</w:t>
      </w:r>
      <w:r w:rsidRPr="00CE396E">
        <w:t>, outcomes and risk-based approaches, reporting and monitoring)</w:t>
      </w:r>
      <w:r w:rsidR="006F4A4B">
        <w:t xml:space="preserve">, and to </w:t>
      </w:r>
      <w:r w:rsidR="001F0AD6">
        <w:t>establish clarity</w:t>
      </w:r>
      <w:r w:rsidR="009D3663">
        <w:t xml:space="preserve"> about respective</w:t>
      </w:r>
      <w:r w:rsidR="006F4A4B">
        <w:t xml:space="preserve"> roles and responsibilities. </w:t>
      </w:r>
    </w:p>
    <w:p w14:paraId="4286BB87" w14:textId="0D1AF02E" w:rsidR="00CE396E" w:rsidRDefault="00CE396E" w:rsidP="00CE396E">
      <w:pPr>
        <w:ind w:right="57"/>
      </w:pPr>
      <w:r w:rsidRPr="0041389D">
        <w:t xml:space="preserve">In recognition of the ongoing impact of the </w:t>
      </w:r>
      <w:r w:rsidR="00CA5D9C">
        <w:t>current COVID-19 public health emergency</w:t>
      </w:r>
      <w:r w:rsidRPr="0041389D">
        <w:t>, DHHS will continue to monitor and implement strategies to limit transmission in these settings.</w:t>
      </w:r>
      <w:r>
        <w:t xml:space="preserve"> </w:t>
      </w:r>
    </w:p>
    <w:p w14:paraId="5FB674D4" w14:textId="77777777" w:rsidR="0011234B" w:rsidRPr="00306D26" w:rsidRDefault="0011234B" w:rsidP="00F0077F">
      <w:pPr>
        <w:pStyle w:val="Heading2"/>
      </w:pPr>
      <w:bookmarkStart w:id="209" w:name="_Toc49460306"/>
      <w:r w:rsidRPr="00D305A0">
        <w:t>Evaluation</w:t>
      </w:r>
      <w:bookmarkEnd w:id="209"/>
    </w:p>
    <w:p w14:paraId="4DACDECD" w14:textId="77777777" w:rsidR="0041389D" w:rsidRPr="00903A1D" w:rsidRDefault="0041389D" w:rsidP="0041389D">
      <w:r w:rsidRPr="00903A1D">
        <w:t xml:space="preserve">The proposed Regulations will sunset in </w:t>
      </w:r>
      <w:r w:rsidRPr="00CA6E3B">
        <w:t>2030</w:t>
      </w:r>
      <w:r w:rsidRPr="00D305A0">
        <w:t>. This will be the next time the Regulations are due for</w:t>
      </w:r>
      <w:r>
        <w:t xml:space="preserve"> </w:t>
      </w:r>
      <w:r w:rsidRPr="00D305A0">
        <w:t xml:space="preserve">a </w:t>
      </w:r>
      <w:r>
        <w:t xml:space="preserve">full </w:t>
      </w:r>
      <w:r w:rsidRPr="00D305A0">
        <w:t xml:space="preserve">formal evaluation, undertaken via preparation of </w:t>
      </w:r>
      <w:r w:rsidRPr="00306D26">
        <w:t xml:space="preserve">a future RIS. </w:t>
      </w:r>
    </w:p>
    <w:p w14:paraId="7BEC4D37" w14:textId="77777777" w:rsidR="0041389D" w:rsidRPr="00C23D5F" w:rsidRDefault="0041389D" w:rsidP="0041389D">
      <w:bookmarkStart w:id="210" w:name="_Hlk49950294"/>
      <w:r w:rsidRPr="00390F36">
        <w:t>However, as discussed above some elements may be reviewed if necessary</w:t>
      </w:r>
      <w:r>
        <w:t>, within five years,</w:t>
      </w:r>
      <w:r w:rsidRPr="00390F36">
        <w:t xml:space="preserve"> as a consequence of:</w:t>
      </w:r>
    </w:p>
    <w:p w14:paraId="335B2E1E" w14:textId="77777777" w:rsidR="0041389D" w:rsidRPr="007D03C5" w:rsidRDefault="0041389D" w:rsidP="0041389D">
      <w:pPr>
        <w:pStyle w:val="ListBullet"/>
      </w:pPr>
      <w:r w:rsidRPr="00EC1642">
        <w:t xml:space="preserve">The outcomes of cross-portfolio reviews currently being undertaken in other parts of the Victorian Government; or </w:t>
      </w:r>
    </w:p>
    <w:p w14:paraId="4C05078B" w14:textId="77777777" w:rsidR="0041389D" w:rsidRDefault="0041389D" w:rsidP="0041389D">
      <w:pPr>
        <w:pStyle w:val="ListBullet"/>
      </w:pPr>
      <w:r w:rsidRPr="007D03C5">
        <w:t>Regulatory change</w:t>
      </w:r>
      <w:r w:rsidRPr="00B67700">
        <w:t>s required to deliver government initiatives</w:t>
      </w:r>
      <w:r>
        <w:t>; or</w:t>
      </w:r>
    </w:p>
    <w:p w14:paraId="77FF46BF" w14:textId="77777777" w:rsidR="0041389D" w:rsidRDefault="0041389D" w:rsidP="0041389D">
      <w:pPr>
        <w:pStyle w:val="ListBullet"/>
      </w:pPr>
      <w:r>
        <w:t>Stakeholder feedback, where appropriate, provided as part of this RIS process but unable to be incorporated in the remaking of the Regulations in 2020; or</w:t>
      </w:r>
    </w:p>
    <w:p w14:paraId="1749F2C4" w14:textId="06C85723" w:rsidR="0041389D" w:rsidRPr="00AC5968" w:rsidRDefault="0041389D" w:rsidP="0041389D">
      <w:pPr>
        <w:pStyle w:val="ListBullet"/>
      </w:pPr>
      <w:r>
        <w:t xml:space="preserve">The need to implement further measures to minimise the transmission of </w:t>
      </w:r>
      <w:r w:rsidR="00D60916">
        <w:t>c</w:t>
      </w:r>
      <w:r>
        <w:t>oronavirus</w:t>
      </w:r>
      <w:r w:rsidR="00D60916">
        <w:t xml:space="preserve"> (</w:t>
      </w:r>
      <w:r w:rsidR="00613829">
        <w:t>COVID-19</w:t>
      </w:r>
      <w:r w:rsidR="00D60916">
        <w:t>)</w:t>
      </w:r>
      <w:r>
        <w:t>.</w:t>
      </w:r>
    </w:p>
    <w:bookmarkEnd w:id="210"/>
    <w:p w14:paraId="0AF319E8" w14:textId="77777777" w:rsidR="0041389D" w:rsidRPr="00CA6E3B" w:rsidRDefault="0041389D" w:rsidP="0041389D">
      <w:pPr>
        <w:spacing w:before="170"/>
      </w:pPr>
      <w:r w:rsidRPr="00DE7D3B">
        <w:t>DHHS will also specifically monitor the operation and effectiveness of the proposed Regulations, and in particular the proposed changes to the Regulations, via:</w:t>
      </w:r>
    </w:p>
    <w:p w14:paraId="2B357E73" w14:textId="77777777" w:rsidR="0041389D" w:rsidRPr="00CA6E3B" w:rsidRDefault="0041389D" w:rsidP="0041389D">
      <w:pPr>
        <w:pStyle w:val="ListBullet"/>
      </w:pPr>
      <w:r w:rsidRPr="00CA6E3B">
        <w:t>Ongoing engagement with Councils</w:t>
      </w:r>
      <w:r>
        <w:t>,</w:t>
      </w:r>
      <w:r w:rsidRPr="00801DD9">
        <w:t xml:space="preserve"> including through ongoing liaison with Councils’ environmental health officers,</w:t>
      </w:r>
      <w:r w:rsidRPr="00CA6E3B">
        <w:t xml:space="preserve"> and industry stakeholders</w:t>
      </w:r>
    </w:p>
    <w:p w14:paraId="3E40B8DA" w14:textId="3CFC74B2" w:rsidR="0041389D" w:rsidRPr="00CA6E3B" w:rsidRDefault="0041389D" w:rsidP="0041389D">
      <w:pPr>
        <w:pStyle w:val="ListBullet"/>
      </w:pPr>
      <w:r w:rsidRPr="00CA6E3B">
        <w:t>Ongoing review of trends in the accommodation market</w:t>
      </w:r>
      <w:r w:rsidR="00295F20">
        <w:t xml:space="preserve"> and other relevant data</w:t>
      </w:r>
      <w:r w:rsidRPr="00CA6E3B">
        <w:t>.</w:t>
      </w:r>
    </w:p>
    <w:p w14:paraId="54004A14" w14:textId="77777777" w:rsidR="0041389D" w:rsidRPr="00903A1D" w:rsidRDefault="0041389D" w:rsidP="0041389D">
      <w:pPr>
        <w:ind w:right="57"/>
      </w:pPr>
      <w:r w:rsidRPr="00CA6E3B">
        <w:t xml:space="preserve">This review and stakeholder consultation will inform an ongoing assessment of whether the proposed Regulations are meeting the objectives of the </w:t>
      </w:r>
      <w:r>
        <w:t>PHWA</w:t>
      </w:r>
      <w:r w:rsidRPr="00D305A0">
        <w:t>, which are to achieve the highest attainab</w:t>
      </w:r>
      <w:r w:rsidRPr="00306D26">
        <w:t>le standard of public health and wellbeing by:</w:t>
      </w:r>
    </w:p>
    <w:p w14:paraId="2A26B4AA" w14:textId="77777777" w:rsidR="0041389D" w:rsidRPr="00306D26" w:rsidRDefault="0041389D" w:rsidP="0041389D">
      <w:pPr>
        <w:pStyle w:val="ListBullet"/>
      </w:pPr>
      <w:r>
        <w:t>P</w:t>
      </w:r>
      <w:r w:rsidRPr="00D305A0">
        <w:t>rotecting public health and preventing disease, illness, injury, disability or premature death;</w:t>
      </w:r>
    </w:p>
    <w:p w14:paraId="29ED979B" w14:textId="77777777" w:rsidR="0041389D" w:rsidRPr="00306D26" w:rsidRDefault="0041389D" w:rsidP="0041389D">
      <w:pPr>
        <w:pStyle w:val="ListBullet"/>
      </w:pPr>
      <w:r>
        <w:t>P</w:t>
      </w:r>
      <w:r w:rsidRPr="00D305A0">
        <w:t>romoting conditions in which persons can be healthy;</w:t>
      </w:r>
    </w:p>
    <w:p w14:paraId="1ADDD17B" w14:textId="77777777" w:rsidR="0041389D" w:rsidRPr="00903A1D" w:rsidRDefault="0041389D" w:rsidP="0041389D">
      <w:pPr>
        <w:pStyle w:val="ListBullet"/>
      </w:pPr>
      <w:r>
        <w:t>R</w:t>
      </w:r>
      <w:r w:rsidRPr="00D305A0">
        <w:t xml:space="preserve">educing inequalities in the state of public health and </w:t>
      </w:r>
      <w:r w:rsidRPr="00306D26">
        <w:t>wellbeing.</w:t>
      </w:r>
    </w:p>
    <w:p w14:paraId="5F30837C" w14:textId="261E876A" w:rsidR="007C40BD" w:rsidRDefault="007C40BD" w:rsidP="0085590D">
      <w:pPr>
        <w:pStyle w:val="ListBullet"/>
        <w:numPr>
          <w:ilvl w:val="0"/>
          <w:numId w:val="0"/>
        </w:numPr>
        <w:spacing w:after="0"/>
      </w:pPr>
    </w:p>
    <w:p w14:paraId="17C73441" w14:textId="5D35ADAE" w:rsidR="0085590D" w:rsidRPr="00CA6E3B" w:rsidRDefault="0085590D" w:rsidP="0085590D">
      <w:pPr>
        <w:pStyle w:val="Heading3"/>
      </w:pPr>
      <w:r>
        <w:t>COVID-19</w:t>
      </w:r>
    </w:p>
    <w:p w14:paraId="58582B85" w14:textId="4BA2344C" w:rsidR="007C40BD" w:rsidRPr="009517CF" w:rsidRDefault="007C40BD" w:rsidP="007C40BD">
      <w:r w:rsidRPr="00F0077F">
        <w:t xml:space="preserve">It is appropriate for DHHS to carefully consider the data and experiences of the current COVID-19 health emergency to identify ways to tailor regulatory approaches to respond to new and evolving health risks such as </w:t>
      </w:r>
      <w:r w:rsidR="009B1AF6">
        <w:t>coronavirus (</w:t>
      </w:r>
      <w:r w:rsidRPr="00F0077F">
        <w:t>COVID-19</w:t>
      </w:r>
      <w:r w:rsidR="009B1AF6">
        <w:t>)</w:t>
      </w:r>
      <w:r w:rsidRPr="00F0077F">
        <w:t xml:space="preserve">. This includes consulting with relevant sectors, including prescribed accommodation providers and occupants, to obtain their views on how their health needs can be better met in changed and challenging environments such as this. DHHS will consider this data and information and consult with stakeholders with a view to adapting regulatory requirements in the prescribed accommodation sectors as appropriate. This will be an ongoing exercise after the Regulations are remade and information, data and learnings are consolidated. </w:t>
      </w:r>
    </w:p>
    <w:p w14:paraId="2A9224A3" w14:textId="629CC3CD" w:rsidR="00983929" w:rsidRPr="00806743" w:rsidRDefault="00983929" w:rsidP="00876F66">
      <w:pPr>
        <w:pStyle w:val="Heading1un-numbered"/>
      </w:pPr>
      <w:bookmarkStart w:id="211" w:name="_Toc462313131"/>
      <w:bookmarkStart w:id="212" w:name="_Toc462317847"/>
      <w:bookmarkStart w:id="213" w:name="_Toc462397810"/>
      <w:bookmarkStart w:id="214" w:name="_Toc463002435"/>
      <w:bookmarkStart w:id="215" w:name="_Toc472586349"/>
      <w:bookmarkStart w:id="216" w:name="_Toc482168127"/>
      <w:bookmarkStart w:id="217" w:name="_Toc482174914"/>
      <w:bookmarkStart w:id="218" w:name="_Toc10111314"/>
      <w:bookmarkStart w:id="219" w:name="_Toc17892144"/>
      <w:bookmarkStart w:id="220" w:name="_Toc49460307"/>
      <w:bookmarkEnd w:id="157"/>
      <w:bookmarkEnd w:id="208"/>
      <w:r w:rsidRPr="00876F66">
        <w:lastRenderedPageBreak/>
        <w:t>References</w:t>
      </w:r>
      <w:bookmarkEnd w:id="211"/>
      <w:bookmarkEnd w:id="212"/>
      <w:bookmarkEnd w:id="213"/>
      <w:bookmarkEnd w:id="214"/>
      <w:bookmarkEnd w:id="215"/>
      <w:bookmarkEnd w:id="216"/>
      <w:bookmarkEnd w:id="217"/>
      <w:bookmarkEnd w:id="218"/>
      <w:bookmarkEnd w:id="219"/>
      <w:bookmarkEnd w:id="220"/>
    </w:p>
    <w:p w14:paraId="1C8E2572" w14:textId="77777777" w:rsidR="003D045F" w:rsidRPr="00F0077F" w:rsidRDefault="003D045F" w:rsidP="00F0077F">
      <w:pPr>
        <w:pStyle w:val="FootnoteText"/>
        <w:spacing w:after="160"/>
        <w:rPr>
          <w:sz w:val="15"/>
          <w:szCs w:val="15"/>
        </w:rPr>
      </w:pPr>
      <w:r w:rsidRPr="00F0077F">
        <w:rPr>
          <w:sz w:val="15"/>
          <w:szCs w:val="15"/>
        </w:rPr>
        <w:t xml:space="preserve">Accessed at: </w:t>
      </w:r>
      <w:hyperlink r:id="rId35" w:history="1">
        <w:r w:rsidRPr="000A704B">
          <w:rPr>
            <w:rStyle w:val="Hyperlink"/>
            <w:color w:val="002060"/>
            <w:sz w:val="15"/>
            <w:szCs w:val="15"/>
          </w:rPr>
          <w:t>https://ncc.abcb.gov.au/ncc-online/NCC/2016-A1/NCC-2016-Volume-One/Section-F-Health-And-Amenity/Part-F2-Sanitary-And-Other-Facilities-Dts/F21-Facilities-In-Residential-Buildings?inlineLink=4e0202a0-d936-48c2-a892-6c01cff6895e</w:t>
        </w:r>
      </w:hyperlink>
    </w:p>
    <w:p w14:paraId="143F5AB6" w14:textId="77777777" w:rsidR="003D045F" w:rsidRPr="00F0077F" w:rsidRDefault="003D045F" w:rsidP="00F0077F">
      <w:pPr>
        <w:pStyle w:val="FootnoteText"/>
        <w:spacing w:after="160"/>
        <w:rPr>
          <w:rStyle w:val="Hyperlink"/>
          <w:sz w:val="15"/>
          <w:szCs w:val="15"/>
        </w:rPr>
      </w:pPr>
      <w:r w:rsidRPr="00F0077F">
        <w:rPr>
          <w:sz w:val="15"/>
          <w:szCs w:val="15"/>
        </w:rPr>
        <w:t xml:space="preserve">Australian Bureau of Statistics. (2016a). </w:t>
      </w:r>
      <w:hyperlink r:id="rId36" w:history="1">
        <w:r w:rsidRPr="00F0077F">
          <w:rPr>
            <w:i/>
            <w:iCs/>
            <w:sz w:val="15"/>
            <w:szCs w:val="15"/>
          </w:rPr>
          <w:t>ABS Catalogue 2049.0 - Census of Population and Housing: Estimating homelessness, 2016.</w:t>
        </w:r>
      </w:hyperlink>
      <w:r w:rsidRPr="00F0077F">
        <w:rPr>
          <w:sz w:val="15"/>
          <w:szCs w:val="15"/>
        </w:rPr>
        <w:t xml:space="preserve"> Accessed at: </w:t>
      </w:r>
      <w:hyperlink r:id="rId37" w:history="1">
        <w:r w:rsidRPr="000A704B">
          <w:rPr>
            <w:rStyle w:val="Hyperlink"/>
            <w:color w:val="002060"/>
            <w:sz w:val="15"/>
            <w:szCs w:val="15"/>
          </w:rPr>
          <w:t>https://www.abs.gov.au/AUSSTATS/abs@.nsf/DetailsPage/2049.02016?OpenDocument</w:t>
        </w:r>
      </w:hyperlink>
    </w:p>
    <w:p w14:paraId="5D87B8DB" w14:textId="77777777" w:rsidR="003D045F" w:rsidRPr="00F0077F" w:rsidRDefault="003D045F" w:rsidP="00F0077F">
      <w:pPr>
        <w:pStyle w:val="FootnoteText"/>
        <w:spacing w:after="160"/>
        <w:rPr>
          <w:sz w:val="15"/>
          <w:szCs w:val="15"/>
        </w:rPr>
      </w:pPr>
      <w:r w:rsidRPr="00F0077F">
        <w:rPr>
          <w:sz w:val="15"/>
          <w:szCs w:val="15"/>
        </w:rPr>
        <w:t xml:space="preserve">Australian Bureau of Statistics. (2016b). </w:t>
      </w:r>
      <w:r w:rsidRPr="00F0077F">
        <w:rPr>
          <w:i/>
          <w:iCs/>
          <w:sz w:val="15"/>
          <w:szCs w:val="15"/>
        </w:rPr>
        <w:t>ABS Catalogue 1270.0.55.005 - Australian Statistical Geography Standard (ASGS): Volume 5 - Remoteness Structure, July 2016</w:t>
      </w:r>
      <w:r w:rsidRPr="00F0077F">
        <w:rPr>
          <w:sz w:val="15"/>
          <w:szCs w:val="15"/>
        </w:rPr>
        <w:t xml:space="preserve">. Accessed from: </w:t>
      </w:r>
      <w:hyperlink r:id="rId38" w:history="1">
        <w:r w:rsidRPr="000A704B">
          <w:rPr>
            <w:rStyle w:val="Hyperlink"/>
            <w:color w:val="002060"/>
            <w:sz w:val="15"/>
            <w:szCs w:val="15"/>
          </w:rPr>
          <w:t>https://www.abs.gov.au/AUSSTATS/abs@.nsf/Lookup/1270.0.55.005Main+Features1July%202016?OpenDocument</w:t>
        </w:r>
      </w:hyperlink>
      <w:r w:rsidRPr="00F0077F">
        <w:rPr>
          <w:sz w:val="15"/>
          <w:szCs w:val="15"/>
        </w:rPr>
        <w:t xml:space="preserve"> </w:t>
      </w:r>
    </w:p>
    <w:p w14:paraId="3ACB8100" w14:textId="77777777" w:rsidR="003D045F" w:rsidRPr="00F0077F" w:rsidRDefault="003D045F" w:rsidP="00F0077F">
      <w:pPr>
        <w:pStyle w:val="FootnoteText"/>
        <w:spacing w:after="160"/>
        <w:rPr>
          <w:rStyle w:val="Hyperlink"/>
          <w:color w:val="auto"/>
          <w:sz w:val="15"/>
          <w:szCs w:val="15"/>
          <w:u w:val="none"/>
        </w:rPr>
      </w:pPr>
      <w:r w:rsidRPr="00F0077F">
        <w:rPr>
          <w:sz w:val="15"/>
          <w:szCs w:val="15"/>
        </w:rPr>
        <w:t xml:space="preserve">Australian Bureau of Statistics. (2018).  </w:t>
      </w:r>
      <w:r w:rsidRPr="00F0077F">
        <w:rPr>
          <w:i/>
          <w:iCs/>
          <w:sz w:val="15"/>
          <w:szCs w:val="15"/>
        </w:rPr>
        <w:t xml:space="preserve">ABS catalogue 6306.0 Employee Earnings and Hours, Australia, May 2018. </w:t>
      </w:r>
      <w:r w:rsidRPr="00F0077F">
        <w:rPr>
          <w:sz w:val="15"/>
          <w:szCs w:val="15"/>
        </w:rPr>
        <w:t xml:space="preserve">Accessed at: </w:t>
      </w:r>
      <w:hyperlink r:id="rId39" w:history="1">
        <w:r w:rsidRPr="000A704B">
          <w:rPr>
            <w:rStyle w:val="Hyperlink"/>
            <w:color w:val="002060"/>
            <w:sz w:val="15"/>
            <w:szCs w:val="15"/>
          </w:rPr>
          <w:t>https://www.abs.gov.au/ausstats/abs@.nsf/mf/6306.0/</w:t>
        </w:r>
      </w:hyperlink>
    </w:p>
    <w:p w14:paraId="2C20B5DE" w14:textId="43148110" w:rsidR="003D045F" w:rsidRPr="00F0077F" w:rsidRDefault="003D045F" w:rsidP="00F0077F">
      <w:pPr>
        <w:pStyle w:val="FootnoteText"/>
        <w:spacing w:after="160"/>
        <w:rPr>
          <w:sz w:val="15"/>
          <w:szCs w:val="15"/>
        </w:rPr>
      </w:pPr>
      <w:r w:rsidRPr="00F0077F">
        <w:rPr>
          <w:sz w:val="15"/>
          <w:szCs w:val="15"/>
        </w:rPr>
        <w:t>Australian Government Department of Health (20</w:t>
      </w:r>
      <w:r w:rsidR="0062540C">
        <w:rPr>
          <w:sz w:val="15"/>
          <w:szCs w:val="15"/>
        </w:rPr>
        <w:t>1</w:t>
      </w:r>
      <w:r w:rsidRPr="00F0077F">
        <w:rPr>
          <w:sz w:val="15"/>
          <w:szCs w:val="15"/>
        </w:rPr>
        <w:t xml:space="preserve">0). </w:t>
      </w:r>
      <w:r w:rsidRPr="00F0077F">
        <w:rPr>
          <w:i/>
          <w:iCs/>
          <w:sz w:val="15"/>
          <w:szCs w:val="15"/>
        </w:rPr>
        <w:t>Environmental health practitioner manual: a resource manual for environmental health practitioners working with Aboriginal and Torres Strait Islander communities: 2 Poor Hygiene and disease</w:t>
      </w:r>
      <w:r w:rsidRPr="00F0077F">
        <w:rPr>
          <w:sz w:val="15"/>
          <w:szCs w:val="15"/>
        </w:rPr>
        <w:t xml:space="preserve">. Accessed at: </w:t>
      </w:r>
      <w:hyperlink r:id="rId40" w:history="1">
        <w:r w:rsidRPr="000A704B">
          <w:rPr>
            <w:rStyle w:val="Hyperlink"/>
            <w:color w:val="002060"/>
            <w:sz w:val="15"/>
            <w:szCs w:val="15"/>
          </w:rPr>
          <w:t>https://www1.health.gov.au/internet/publications/publishing.nsf/Content/ohp-enhealth-manual-atsi-cnt-l~ohp-enhealth-manual-atsi-cnt-l-ch3~ohp-enhealth-manual-atsi-cnt-l-ch3.2</w:t>
        </w:r>
      </w:hyperlink>
    </w:p>
    <w:p w14:paraId="7DEDC975" w14:textId="77777777" w:rsidR="003D045F" w:rsidRPr="00F0077F" w:rsidRDefault="003D045F" w:rsidP="00F0077F">
      <w:pPr>
        <w:pStyle w:val="FootnoteText"/>
        <w:spacing w:after="160"/>
        <w:rPr>
          <w:color w:val="00A3E0" w:themeColor="hyperlink"/>
          <w:sz w:val="15"/>
          <w:szCs w:val="15"/>
          <w:u w:val="single"/>
        </w:rPr>
      </w:pPr>
      <w:r w:rsidRPr="00F0077F">
        <w:rPr>
          <w:sz w:val="15"/>
          <w:szCs w:val="15"/>
        </w:rPr>
        <w:t xml:space="preserve">Australian Research Data Commons (2020). </w:t>
      </w:r>
      <w:r w:rsidRPr="00F0077F">
        <w:rPr>
          <w:i/>
          <w:iCs/>
          <w:sz w:val="15"/>
          <w:szCs w:val="15"/>
        </w:rPr>
        <w:t>Health, public.</w:t>
      </w:r>
      <w:r w:rsidRPr="00F0077F">
        <w:rPr>
          <w:sz w:val="15"/>
          <w:szCs w:val="15"/>
        </w:rPr>
        <w:t xml:space="preserve"> Accessed at: </w:t>
      </w:r>
      <w:hyperlink r:id="rId41" w:history="1">
        <w:r w:rsidRPr="000A704B">
          <w:rPr>
            <w:rStyle w:val="Hyperlink"/>
            <w:color w:val="002060"/>
            <w:sz w:val="15"/>
            <w:szCs w:val="15"/>
          </w:rPr>
          <w:t>https://researchdata.edu.au/health-public/490094</w:t>
        </w:r>
      </w:hyperlink>
    </w:p>
    <w:p w14:paraId="2656761B" w14:textId="77777777" w:rsidR="003D045F" w:rsidRPr="00F0077F" w:rsidRDefault="003D045F" w:rsidP="00F0077F">
      <w:pPr>
        <w:pStyle w:val="FootnoteText"/>
        <w:spacing w:after="160"/>
        <w:rPr>
          <w:sz w:val="15"/>
          <w:szCs w:val="15"/>
        </w:rPr>
      </w:pPr>
      <w:r w:rsidRPr="00F0077F">
        <w:rPr>
          <w:sz w:val="15"/>
          <w:szCs w:val="15"/>
        </w:rPr>
        <w:t xml:space="preserve">Baker et al. (2012). </w:t>
      </w:r>
      <w:hyperlink r:id="rId42" w:history="1">
        <w:r w:rsidRPr="00F0077F">
          <w:rPr>
            <w:sz w:val="15"/>
            <w:szCs w:val="15"/>
          </w:rPr>
          <w:t>Increasing incidence of serious infectious diseases and inequalities in New Zealand: a national epidemiological study</w:t>
        </w:r>
      </w:hyperlink>
      <w:r w:rsidRPr="00F0077F">
        <w:rPr>
          <w:sz w:val="15"/>
          <w:szCs w:val="15"/>
        </w:rPr>
        <w:t xml:space="preserve">. </w:t>
      </w:r>
      <w:r w:rsidRPr="00F0077F">
        <w:rPr>
          <w:i/>
          <w:iCs/>
          <w:sz w:val="15"/>
          <w:szCs w:val="15"/>
        </w:rPr>
        <w:t>Lancet</w:t>
      </w:r>
      <w:r w:rsidRPr="00F0077F">
        <w:rPr>
          <w:sz w:val="15"/>
          <w:szCs w:val="15"/>
        </w:rPr>
        <w:t xml:space="preserve">. 2012; 379:1112–9. Accessed at: </w:t>
      </w:r>
      <w:hyperlink r:id="rId43" w:history="1">
        <w:r w:rsidRPr="000A704B">
          <w:rPr>
            <w:rStyle w:val="Hyperlink"/>
            <w:color w:val="002060"/>
            <w:sz w:val="15"/>
            <w:szCs w:val="15"/>
          </w:rPr>
          <w:t>https://d1wqtxts1xzle7.cloudfront.net/39652920/Increasing_Incidence_of_Serious_Infectio20151103-22313-1add3pq.pdf?1446593837=&amp;response-content-disposition=inline%3B+filename%3DIncreasing_incidence_of_serious_infectio.pdf&amp;Expires=1598324221&amp;Signature=FSsvC4w0vjChfKAxZhh-eJAXt~g3AeAV3N5OAFruLm7WK143H--onNHgrVTsN9r8Nsg2t-3UA0RSnEbd4uRQWAJNM69Rk-6S5k-U6kGJ2Z-TJfIWIiR6xmlHwLZ2cokboER0fdOI2Sv8FMJPFAaxxT0XBWvwpISVKku5JbeVWtbdivjbmtfQ4bIUJkEa9d~zG3040d7nZd92dyZPbrzc565PniFgv9Zfz8eKYGzY5M8Ko7X5h1BAA310xqLrHUBZCkP6lXS1~Rmxec2hKq5EnMJiVQcIAXHSn6IjpBzEpq7NyzWd91p8ui5BoidfPcw4Bg9SikzLKGyxi4q~C3k1Dw__&amp;Key-Pair-Id=APKAJLOHF5GGSLRBV4ZA</w:t>
        </w:r>
      </w:hyperlink>
    </w:p>
    <w:p w14:paraId="5DFDB329" w14:textId="77777777" w:rsidR="003D045F" w:rsidRPr="00F0077F" w:rsidRDefault="003D045F" w:rsidP="00F0077F">
      <w:pPr>
        <w:pStyle w:val="FootnoteText"/>
        <w:spacing w:after="160"/>
        <w:rPr>
          <w:sz w:val="15"/>
          <w:szCs w:val="15"/>
        </w:rPr>
      </w:pPr>
      <w:r w:rsidRPr="00F0077F">
        <w:rPr>
          <w:sz w:val="15"/>
          <w:szCs w:val="15"/>
        </w:rPr>
        <w:t xml:space="preserve">Baker, M., Keall, M., Au, E.L., &amp; Howden-Chapman, P. (2007). Home is where the heart is – most of the time. </w:t>
      </w:r>
      <w:r w:rsidRPr="00F0077F">
        <w:rPr>
          <w:i/>
          <w:iCs/>
          <w:sz w:val="15"/>
          <w:szCs w:val="15"/>
        </w:rPr>
        <w:t>New Zealand Medical Journal</w:t>
      </w:r>
      <w:r w:rsidRPr="00F0077F">
        <w:rPr>
          <w:sz w:val="15"/>
          <w:szCs w:val="15"/>
        </w:rPr>
        <w:t xml:space="preserve">, 2007; 120(1264). </w:t>
      </w:r>
    </w:p>
    <w:p w14:paraId="68CF256D" w14:textId="77777777" w:rsidR="003D045F" w:rsidRPr="00F0077F" w:rsidRDefault="003D045F" w:rsidP="00F0077F">
      <w:pPr>
        <w:pStyle w:val="FootnoteText"/>
        <w:spacing w:after="160"/>
        <w:rPr>
          <w:sz w:val="15"/>
          <w:szCs w:val="15"/>
        </w:rPr>
      </w:pPr>
      <w:r w:rsidRPr="00F0077F">
        <w:rPr>
          <w:sz w:val="15"/>
          <w:szCs w:val="15"/>
        </w:rPr>
        <w:t>Baker et al. (2016). Poor housing quality: Prevalence and health effects.</w:t>
      </w:r>
      <w:r w:rsidRPr="00F0077F">
        <w:rPr>
          <w:i/>
          <w:iCs/>
          <w:sz w:val="15"/>
          <w:szCs w:val="15"/>
        </w:rPr>
        <w:t xml:space="preserve"> Journal of Prevention &amp; Intervention in the Community.</w:t>
      </w:r>
      <w:r w:rsidRPr="00F0077F">
        <w:rPr>
          <w:sz w:val="15"/>
          <w:szCs w:val="15"/>
        </w:rPr>
        <w:t xml:space="preserve"> 44(4), 219-232. Accessed at: </w:t>
      </w:r>
      <w:hyperlink r:id="rId44" w:history="1">
        <w:r w:rsidRPr="000A704B">
          <w:rPr>
            <w:rStyle w:val="Hyperlink"/>
            <w:color w:val="002060"/>
            <w:sz w:val="15"/>
            <w:szCs w:val="15"/>
          </w:rPr>
          <w:t>https://www.tandfonline.com/doi/full/10.1080/10852352.2016.1197714</w:t>
        </w:r>
      </w:hyperlink>
    </w:p>
    <w:p w14:paraId="6DDBB843" w14:textId="77777777" w:rsidR="003D045F" w:rsidRPr="00F0077F" w:rsidRDefault="003D045F" w:rsidP="00F0077F">
      <w:pPr>
        <w:pStyle w:val="FootnoteText"/>
        <w:spacing w:after="160"/>
        <w:rPr>
          <w:sz w:val="15"/>
          <w:szCs w:val="15"/>
        </w:rPr>
      </w:pPr>
      <w:r w:rsidRPr="00F0077F">
        <w:rPr>
          <w:sz w:val="15"/>
          <w:szCs w:val="15"/>
        </w:rPr>
        <w:t xml:space="preserve">Better Health Victoria. (2015). </w:t>
      </w:r>
      <w:r w:rsidRPr="00F0077F">
        <w:rPr>
          <w:i/>
          <w:iCs/>
          <w:sz w:val="15"/>
          <w:szCs w:val="15"/>
        </w:rPr>
        <w:t xml:space="preserve">Mould and your health. </w:t>
      </w:r>
      <w:r w:rsidRPr="00F0077F">
        <w:rPr>
          <w:sz w:val="15"/>
          <w:szCs w:val="15"/>
        </w:rPr>
        <w:t xml:space="preserve">Accessed at: </w:t>
      </w:r>
      <w:hyperlink r:id="rId45" w:anchor=":~:text=Mould%20associated%20with%20damp%20buildings,allergies" w:history="1">
        <w:r w:rsidRPr="000A704B">
          <w:rPr>
            <w:rStyle w:val="Hyperlink"/>
            <w:color w:val="002060"/>
            <w:sz w:val="15"/>
            <w:szCs w:val="15"/>
          </w:rPr>
          <w:t>https://www.betterhealth.vic.gov.au/health/conditionsandtreatments/mould-and-your-health#:~:text=Mould%20associated%20with%20damp%20buildings,allergies</w:t>
        </w:r>
      </w:hyperlink>
    </w:p>
    <w:p w14:paraId="2138D13C" w14:textId="77777777" w:rsidR="003D045F" w:rsidRPr="00F0077F" w:rsidRDefault="003D045F" w:rsidP="00F0077F">
      <w:pPr>
        <w:pStyle w:val="FootnoteText"/>
        <w:spacing w:after="160"/>
        <w:rPr>
          <w:sz w:val="15"/>
          <w:szCs w:val="15"/>
        </w:rPr>
      </w:pPr>
      <w:r w:rsidRPr="00F0077F">
        <w:rPr>
          <w:sz w:val="15"/>
          <w:szCs w:val="15"/>
        </w:rPr>
        <w:t xml:space="preserve">Building Research Establishment (2015). Briefing Paper: the cost of poor housing to the NHS. Building Research Establishment: London, England. Accessed at: </w:t>
      </w:r>
      <w:hyperlink r:id="rId46" w:history="1">
        <w:r w:rsidRPr="000A704B">
          <w:rPr>
            <w:rStyle w:val="Hyperlink"/>
            <w:color w:val="002060"/>
            <w:sz w:val="15"/>
            <w:szCs w:val="15"/>
          </w:rPr>
          <w:t>https://www.bre.co.uk/filelibrary/pdf/87741-Cost-of-Poor-Housing-Briefing-Paper-v3.pdf</w:t>
        </w:r>
      </w:hyperlink>
      <w:r w:rsidRPr="00F0077F">
        <w:rPr>
          <w:sz w:val="15"/>
          <w:szCs w:val="15"/>
        </w:rPr>
        <w:t xml:space="preserve"> </w:t>
      </w:r>
    </w:p>
    <w:p w14:paraId="1BBFBE0B" w14:textId="77777777" w:rsidR="003D045F" w:rsidRPr="00F0077F" w:rsidRDefault="003D045F" w:rsidP="00F0077F">
      <w:pPr>
        <w:pStyle w:val="FootnoteText"/>
        <w:spacing w:after="160"/>
        <w:rPr>
          <w:sz w:val="15"/>
          <w:szCs w:val="15"/>
        </w:rPr>
      </w:pPr>
      <w:r w:rsidRPr="00F0077F">
        <w:rPr>
          <w:sz w:val="15"/>
          <w:szCs w:val="15"/>
        </w:rPr>
        <w:t xml:space="preserve">Centers for Disease Control and Prevention (2020). </w:t>
      </w:r>
      <w:r w:rsidRPr="00F0077F">
        <w:rPr>
          <w:i/>
          <w:iCs/>
          <w:sz w:val="15"/>
          <w:szCs w:val="15"/>
        </w:rPr>
        <w:t>Neglected Tropical Diseases.</w:t>
      </w:r>
      <w:r w:rsidRPr="00F0077F">
        <w:rPr>
          <w:sz w:val="15"/>
          <w:szCs w:val="15"/>
        </w:rPr>
        <w:t xml:space="preserve"> Accessed at: </w:t>
      </w:r>
      <w:hyperlink r:id="rId47" w:history="1">
        <w:r w:rsidRPr="000A704B">
          <w:rPr>
            <w:rStyle w:val="Hyperlink"/>
            <w:color w:val="002060"/>
            <w:sz w:val="15"/>
            <w:szCs w:val="15"/>
          </w:rPr>
          <w:t>https://www.cdc.gov/globalhealth/ntd/diseases/index.html</w:t>
        </w:r>
      </w:hyperlink>
    </w:p>
    <w:p w14:paraId="25EA7E45" w14:textId="77777777" w:rsidR="003D045F" w:rsidRPr="00F0077F" w:rsidRDefault="003D045F" w:rsidP="00F0077F">
      <w:pPr>
        <w:spacing w:after="160"/>
        <w:rPr>
          <w:rStyle w:val="Hyperlink"/>
          <w:sz w:val="15"/>
          <w:szCs w:val="15"/>
        </w:rPr>
      </w:pPr>
      <w:r w:rsidRPr="00F0077F">
        <w:rPr>
          <w:sz w:val="15"/>
          <w:szCs w:val="15"/>
        </w:rPr>
        <w:t xml:space="preserve">Chamberlain, C. (2012). </w:t>
      </w:r>
      <w:hyperlink r:id="rId48" w:history="1">
        <w:r w:rsidRPr="00F0077F">
          <w:rPr>
            <w:i/>
            <w:iCs/>
            <w:sz w:val="15"/>
            <w:szCs w:val="15"/>
          </w:rPr>
          <w:t>Counting Boarding Houses: Reflections on Homeless Research in Australia</w:t>
        </w:r>
      </w:hyperlink>
      <w:r w:rsidRPr="00F0077F">
        <w:rPr>
          <w:i/>
          <w:iCs/>
          <w:sz w:val="15"/>
          <w:szCs w:val="15"/>
        </w:rPr>
        <w:t>.</w:t>
      </w:r>
      <w:r w:rsidRPr="00F0077F">
        <w:rPr>
          <w:sz w:val="15"/>
          <w:szCs w:val="15"/>
        </w:rPr>
        <w:t xml:space="preserve"> Centre for Applied Social Research, RMIT, Melbourne. Accessed at: </w:t>
      </w:r>
      <w:hyperlink r:id="rId49" w:history="1">
        <w:r w:rsidRPr="000A704B">
          <w:rPr>
            <w:rStyle w:val="Hyperlink"/>
            <w:color w:val="002060"/>
            <w:sz w:val="15"/>
            <w:szCs w:val="15"/>
          </w:rPr>
          <w:t>http://www.nwhn.net.au/admin/file/content2/c7/Counting%20Boarding%20Houses%20-%20%20Chris%20Chamberlain%202012.pdf</w:t>
        </w:r>
      </w:hyperlink>
    </w:p>
    <w:p w14:paraId="2FFAE17A" w14:textId="77777777" w:rsidR="003D045F" w:rsidRPr="00F0077F" w:rsidRDefault="003D045F" w:rsidP="00F0077F">
      <w:pPr>
        <w:pStyle w:val="FootnoteText"/>
        <w:spacing w:after="160"/>
        <w:rPr>
          <w:sz w:val="15"/>
          <w:szCs w:val="15"/>
        </w:rPr>
      </w:pPr>
      <w:r w:rsidRPr="00F0077F">
        <w:rPr>
          <w:sz w:val="15"/>
          <w:szCs w:val="15"/>
        </w:rPr>
        <w:t xml:space="preserve">Chan, K. (2007). An empirical study of maintenance costs for hotels in Hong Kong. </w:t>
      </w:r>
      <w:r w:rsidRPr="00F0077F">
        <w:rPr>
          <w:i/>
          <w:iCs/>
          <w:sz w:val="15"/>
          <w:szCs w:val="15"/>
        </w:rPr>
        <w:t xml:space="preserve">Journal of Retail and Leisure Property. </w:t>
      </w:r>
      <w:r w:rsidRPr="00F0077F">
        <w:rPr>
          <w:sz w:val="15"/>
          <w:szCs w:val="15"/>
        </w:rPr>
        <w:t xml:space="preserve">7(1); pp. 35-52. Accessed at: </w:t>
      </w:r>
      <w:hyperlink r:id="rId50" w:history="1">
        <w:r w:rsidRPr="000A704B">
          <w:rPr>
            <w:rStyle w:val="Hyperlink"/>
            <w:color w:val="002060"/>
            <w:sz w:val="15"/>
            <w:szCs w:val="15"/>
          </w:rPr>
          <w:t>https://link.springer.com/content/pdf/10.1057/palgrave.rlp.5100081.pdf</w:t>
        </w:r>
      </w:hyperlink>
    </w:p>
    <w:p w14:paraId="46A8D8F1" w14:textId="77777777" w:rsidR="003D045F" w:rsidRPr="00F0077F" w:rsidRDefault="003D045F" w:rsidP="00F0077F">
      <w:pPr>
        <w:pStyle w:val="FootnoteText"/>
        <w:spacing w:after="160"/>
        <w:rPr>
          <w:sz w:val="15"/>
          <w:szCs w:val="15"/>
        </w:rPr>
      </w:pPr>
      <w:r w:rsidRPr="00F0077F">
        <w:rPr>
          <w:sz w:val="15"/>
          <w:szCs w:val="15"/>
        </w:rPr>
        <w:t xml:space="preserve">Commissioner for Better Regulation (2016). </w:t>
      </w:r>
      <w:r w:rsidRPr="00F0077F">
        <w:rPr>
          <w:i/>
          <w:sz w:val="15"/>
          <w:szCs w:val="15"/>
        </w:rPr>
        <w:t>Victorian Guide to Regulation: A handbook for policy-makers in Victoria.</w:t>
      </w:r>
      <w:r w:rsidRPr="00F0077F">
        <w:rPr>
          <w:sz w:val="15"/>
          <w:szCs w:val="15"/>
        </w:rPr>
        <w:t xml:space="preserve"> Accessed at: </w:t>
      </w:r>
      <w:hyperlink r:id="rId51" w:history="1">
        <w:r w:rsidRPr="000A704B">
          <w:rPr>
            <w:rStyle w:val="Hyperlink"/>
            <w:color w:val="002060"/>
            <w:sz w:val="15"/>
            <w:szCs w:val="15"/>
          </w:rPr>
          <w:t>http://www.betterregulation.vic.gov.au/Guidance-and-Resources</w:t>
        </w:r>
      </w:hyperlink>
    </w:p>
    <w:p w14:paraId="5697644D" w14:textId="77777777" w:rsidR="003D045F" w:rsidRPr="00F0077F" w:rsidRDefault="003D045F" w:rsidP="00F0077F">
      <w:pPr>
        <w:pStyle w:val="FootnoteText"/>
        <w:spacing w:after="160"/>
        <w:rPr>
          <w:sz w:val="15"/>
          <w:szCs w:val="15"/>
        </w:rPr>
      </w:pPr>
      <w:r w:rsidRPr="00F0077F">
        <w:rPr>
          <w:sz w:val="15"/>
          <w:szCs w:val="15"/>
        </w:rPr>
        <w:t>Dalton, T., Pawson, H. and Hulse, K. (2015). </w:t>
      </w:r>
      <w:r w:rsidRPr="00F0077F">
        <w:rPr>
          <w:i/>
          <w:iCs/>
          <w:sz w:val="15"/>
          <w:szCs w:val="15"/>
        </w:rPr>
        <w:t>Rooming house futures: governing for growth, fairness and transparency, AHURI Final Report No. 245</w:t>
      </w:r>
      <w:r w:rsidRPr="00F0077F">
        <w:rPr>
          <w:sz w:val="15"/>
          <w:szCs w:val="15"/>
        </w:rPr>
        <w:t xml:space="preserve">. Australian Housing and Urban Research Institute Limited, Melbourne. Accessed at: </w:t>
      </w:r>
      <w:hyperlink r:id="rId52" w:history="1">
        <w:r w:rsidRPr="000A704B">
          <w:rPr>
            <w:rStyle w:val="Hyperlink"/>
            <w:color w:val="002060"/>
            <w:sz w:val="15"/>
            <w:szCs w:val="15"/>
          </w:rPr>
          <w:t>https://www.ahuri.edu.au/research/final-reports/245</w:t>
        </w:r>
      </w:hyperlink>
    </w:p>
    <w:p w14:paraId="08EFB425" w14:textId="77777777" w:rsidR="003D045F" w:rsidRPr="00F0077F" w:rsidRDefault="003D045F" w:rsidP="00F0077F">
      <w:pPr>
        <w:pStyle w:val="FootnoteText"/>
        <w:spacing w:after="160"/>
        <w:rPr>
          <w:sz w:val="15"/>
          <w:szCs w:val="15"/>
        </w:rPr>
      </w:pPr>
      <w:r w:rsidRPr="00F0077F">
        <w:rPr>
          <w:sz w:val="15"/>
          <w:szCs w:val="15"/>
        </w:rPr>
        <w:t xml:space="preserve">Department of Health and Human Services. (2011). </w:t>
      </w:r>
      <w:hyperlink r:id="rId53" w:history="1">
        <w:r w:rsidRPr="00F0077F">
          <w:rPr>
            <w:i/>
            <w:iCs/>
            <w:sz w:val="15"/>
            <w:szCs w:val="15"/>
          </w:rPr>
          <w:t>Proposed Residential Tenancies (Rooming House Standards) Regulations Regulatory Impact Statement.</w:t>
        </w:r>
      </w:hyperlink>
      <w:r w:rsidRPr="00F0077F">
        <w:rPr>
          <w:sz w:val="15"/>
          <w:szCs w:val="15"/>
        </w:rPr>
        <w:t xml:space="preserve"> Accessed at: </w:t>
      </w:r>
      <w:hyperlink r:id="rId54" w:history="1">
        <w:r w:rsidRPr="000A704B">
          <w:rPr>
            <w:rStyle w:val="Hyperlink"/>
            <w:color w:val="002060"/>
            <w:sz w:val="15"/>
            <w:szCs w:val="15"/>
          </w:rPr>
          <w:t>https://www.vic.gov.au/sites/default/files/2019-11/Residential-tenancies-Rooming-house-standards-Regulations-2011-RIS.pdf</w:t>
        </w:r>
      </w:hyperlink>
    </w:p>
    <w:p w14:paraId="6EDE9E92" w14:textId="77777777" w:rsidR="003D045F" w:rsidRPr="00F0077F" w:rsidRDefault="003D045F" w:rsidP="00F0077F">
      <w:pPr>
        <w:pStyle w:val="FootnoteText"/>
        <w:spacing w:after="160"/>
        <w:rPr>
          <w:sz w:val="15"/>
          <w:szCs w:val="15"/>
        </w:rPr>
      </w:pPr>
      <w:r w:rsidRPr="00F0077F">
        <w:rPr>
          <w:sz w:val="15"/>
          <w:szCs w:val="15"/>
        </w:rPr>
        <w:lastRenderedPageBreak/>
        <w:t xml:space="preserve">Department of Health and Human Services (2020). </w:t>
      </w:r>
      <w:r w:rsidRPr="00F0077F">
        <w:rPr>
          <w:i/>
          <w:iCs/>
          <w:sz w:val="15"/>
          <w:szCs w:val="15"/>
        </w:rPr>
        <w:t>PSP analysis of all Prescribed Accommodation Data.</w:t>
      </w:r>
      <w:r w:rsidRPr="00F0077F">
        <w:rPr>
          <w:sz w:val="15"/>
          <w:szCs w:val="15"/>
        </w:rPr>
        <w:t xml:space="preserve"> </w:t>
      </w:r>
    </w:p>
    <w:p w14:paraId="6D762A8B" w14:textId="77777777" w:rsidR="003D045F" w:rsidRPr="00F0077F" w:rsidRDefault="003D045F" w:rsidP="00F0077F">
      <w:pPr>
        <w:pStyle w:val="FootnoteText"/>
        <w:spacing w:after="160"/>
        <w:rPr>
          <w:i/>
          <w:iCs/>
          <w:sz w:val="15"/>
          <w:szCs w:val="15"/>
        </w:rPr>
      </w:pPr>
      <w:r w:rsidRPr="00F0077F">
        <w:rPr>
          <w:sz w:val="15"/>
          <w:szCs w:val="15"/>
        </w:rPr>
        <w:t xml:space="preserve">Department of Health and Human Services. (2019). </w:t>
      </w:r>
      <w:r w:rsidRPr="00F0077F">
        <w:rPr>
          <w:i/>
          <w:iCs/>
          <w:sz w:val="15"/>
          <w:szCs w:val="15"/>
        </w:rPr>
        <w:t>Public Health and Wellbeing Regulations Sunset Review – Survey of Environmental Health Officers.</w:t>
      </w:r>
    </w:p>
    <w:p w14:paraId="694AF8BA" w14:textId="77777777" w:rsidR="003D045F" w:rsidRPr="00F0077F" w:rsidRDefault="003D045F" w:rsidP="00F0077F">
      <w:pPr>
        <w:pStyle w:val="FootnoteText"/>
        <w:spacing w:after="160"/>
        <w:rPr>
          <w:sz w:val="15"/>
          <w:szCs w:val="15"/>
        </w:rPr>
      </w:pPr>
      <w:r w:rsidRPr="00F0077F">
        <w:rPr>
          <w:sz w:val="15"/>
          <w:szCs w:val="15"/>
        </w:rPr>
        <w:t xml:space="preserve">Department of Health and Human Services. (2020). </w:t>
      </w:r>
      <w:r w:rsidRPr="00F0077F">
        <w:rPr>
          <w:i/>
          <w:iCs/>
          <w:sz w:val="15"/>
          <w:szCs w:val="15"/>
        </w:rPr>
        <w:t>Rental report.</w:t>
      </w:r>
      <w:r w:rsidRPr="00F0077F">
        <w:rPr>
          <w:sz w:val="15"/>
          <w:szCs w:val="15"/>
        </w:rPr>
        <w:t xml:space="preserve"> Accessed at: </w:t>
      </w:r>
      <w:hyperlink r:id="rId55" w:history="1">
        <w:r w:rsidRPr="000A704B">
          <w:rPr>
            <w:rStyle w:val="Hyperlink"/>
            <w:color w:val="002060"/>
            <w:sz w:val="15"/>
            <w:szCs w:val="15"/>
          </w:rPr>
          <w:t>https://www.dhhs.vic.gov.au/publications/rental-report</w:t>
        </w:r>
      </w:hyperlink>
    </w:p>
    <w:p w14:paraId="2D71E0AB" w14:textId="2566576E" w:rsidR="00004926" w:rsidRPr="004C00C8" w:rsidRDefault="00004926" w:rsidP="00F0077F">
      <w:pPr>
        <w:pStyle w:val="FootnoteText"/>
        <w:spacing w:after="160"/>
        <w:rPr>
          <w:rStyle w:val="Hyperlink"/>
          <w:color w:val="auto"/>
          <w:sz w:val="15"/>
          <w:szCs w:val="15"/>
          <w:u w:val="none"/>
        </w:rPr>
      </w:pPr>
      <w:r w:rsidRPr="004C00C8">
        <w:rPr>
          <w:sz w:val="15"/>
          <w:szCs w:val="15"/>
        </w:rPr>
        <w:t xml:space="preserve">Department of Premier and Cabinet. (2020). </w:t>
      </w:r>
      <w:r w:rsidRPr="004C00C8">
        <w:rPr>
          <w:rFonts w:cs="Segoe UI Light"/>
          <w:i/>
          <w:sz w:val="15"/>
          <w:szCs w:val="15"/>
        </w:rPr>
        <w:t>Subordinate Legislation Act Guidelines</w:t>
      </w:r>
      <w:r w:rsidRPr="004C00C8">
        <w:rPr>
          <w:rFonts w:cs="Segoe UI Light"/>
          <w:sz w:val="15"/>
          <w:szCs w:val="15"/>
        </w:rPr>
        <w:t>.</w:t>
      </w:r>
      <w:r w:rsidRPr="004C00C8">
        <w:rPr>
          <w:rStyle w:val="Hyperlink"/>
          <w:color w:val="auto"/>
          <w:sz w:val="15"/>
          <w:szCs w:val="15"/>
          <w:u w:val="none"/>
        </w:rPr>
        <w:t xml:space="preserve"> </w:t>
      </w:r>
      <w:r w:rsidRPr="00F0077F">
        <w:rPr>
          <w:sz w:val="15"/>
          <w:szCs w:val="15"/>
        </w:rPr>
        <w:t xml:space="preserve">Accessed at: </w:t>
      </w:r>
      <w:r w:rsidRPr="004C00C8">
        <w:rPr>
          <w:rStyle w:val="Hyperlink"/>
          <w:color w:val="auto"/>
          <w:sz w:val="15"/>
          <w:szCs w:val="15"/>
          <w:u w:val="none"/>
        </w:rPr>
        <w:t>https://www.vic.gov.au/sites/default/files/2020-01/Subordinate-Legislation-Act-1994-Guidelines-2020.pdf</w:t>
      </w:r>
      <w:r w:rsidRPr="004C00C8" w:rsidDel="00004926">
        <w:rPr>
          <w:rStyle w:val="Hyperlink"/>
          <w:color w:val="auto"/>
          <w:sz w:val="15"/>
          <w:szCs w:val="15"/>
          <w:u w:val="none"/>
        </w:rPr>
        <w:t xml:space="preserve"> </w:t>
      </w:r>
    </w:p>
    <w:p w14:paraId="7C34D680" w14:textId="32562262" w:rsidR="003D045F" w:rsidRPr="00F0077F" w:rsidRDefault="003D045F" w:rsidP="00F0077F">
      <w:pPr>
        <w:pStyle w:val="FootnoteText"/>
        <w:spacing w:after="160"/>
        <w:rPr>
          <w:sz w:val="15"/>
          <w:szCs w:val="15"/>
        </w:rPr>
      </w:pPr>
      <w:r w:rsidRPr="00F0077F">
        <w:rPr>
          <w:sz w:val="15"/>
          <w:szCs w:val="15"/>
        </w:rPr>
        <w:t xml:space="preserve">Department of Treasury and Finance. (2020). </w:t>
      </w:r>
      <w:r w:rsidRPr="00F0077F">
        <w:rPr>
          <w:i/>
          <w:iCs/>
          <w:sz w:val="15"/>
          <w:szCs w:val="15"/>
        </w:rPr>
        <w:t>Macroeconomic data 2019-2020 Budget Update</w:t>
      </w:r>
      <w:r w:rsidRPr="00F0077F">
        <w:rPr>
          <w:sz w:val="15"/>
          <w:szCs w:val="15"/>
        </w:rPr>
        <w:t xml:space="preserve">. Accessed at: </w:t>
      </w:r>
      <w:hyperlink r:id="rId56" w:history="1">
        <w:r w:rsidRPr="000A704B">
          <w:rPr>
            <w:rStyle w:val="Hyperlink"/>
            <w:color w:val="002060"/>
            <w:sz w:val="15"/>
            <w:szCs w:val="15"/>
          </w:rPr>
          <w:t>https://www.dtf.vic.gov.au/state-financial-data-sets/macroeconomic-indicators</w:t>
        </w:r>
      </w:hyperlink>
    </w:p>
    <w:p w14:paraId="1215F206" w14:textId="77777777" w:rsidR="003D045F" w:rsidRPr="00F0077F" w:rsidRDefault="003D045F" w:rsidP="00F0077F">
      <w:pPr>
        <w:pStyle w:val="FootnoteText"/>
        <w:spacing w:after="160"/>
        <w:rPr>
          <w:color w:val="00A3E0" w:themeColor="hyperlink"/>
          <w:sz w:val="15"/>
          <w:szCs w:val="15"/>
          <w:u w:val="single"/>
        </w:rPr>
      </w:pPr>
      <w:r w:rsidRPr="00F0077F">
        <w:rPr>
          <w:sz w:val="15"/>
          <w:szCs w:val="15"/>
        </w:rPr>
        <w:t xml:space="preserve">Everaardt, T. (2020). </w:t>
      </w:r>
      <w:hyperlink r:id="rId57" w:history="1">
        <w:r w:rsidRPr="00F0077F">
          <w:rPr>
            <w:sz w:val="15"/>
            <w:szCs w:val="15"/>
          </w:rPr>
          <w:t>Underground rooming houses pose COVID-19 risk, says experts.</w:t>
        </w:r>
      </w:hyperlink>
      <w:r w:rsidRPr="00F0077F">
        <w:rPr>
          <w:sz w:val="15"/>
          <w:szCs w:val="15"/>
        </w:rPr>
        <w:t xml:space="preserve"> A Current Affair.</w:t>
      </w:r>
      <w:r w:rsidRPr="000A704B">
        <w:rPr>
          <w:rStyle w:val="Hyperlink"/>
          <w:color w:val="000000" w:themeColor="text1"/>
          <w:sz w:val="15"/>
          <w:szCs w:val="15"/>
        </w:rPr>
        <w:t xml:space="preserve"> Accessed at: </w:t>
      </w:r>
      <w:hyperlink r:id="rId58" w:history="1">
        <w:r w:rsidRPr="000A704B">
          <w:rPr>
            <w:rStyle w:val="Hyperlink"/>
            <w:color w:val="002060"/>
            <w:sz w:val="15"/>
            <w:szCs w:val="15"/>
          </w:rPr>
          <w:t>https://9now.nine.com.au/a-current-affair/coronavirus-overcrowded-student-dorms-exposed-as-potential-covid19-hotspots/f03265e3-d575-4676-8214-3d8deba8110d</w:t>
        </w:r>
      </w:hyperlink>
    </w:p>
    <w:p w14:paraId="6CA5682E" w14:textId="1415F7C1" w:rsidR="003D045F" w:rsidRPr="00F0077F" w:rsidRDefault="003D045F" w:rsidP="00F0077F">
      <w:pPr>
        <w:pStyle w:val="FootnoteText"/>
        <w:spacing w:after="160"/>
        <w:rPr>
          <w:sz w:val="15"/>
          <w:szCs w:val="15"/>
        </w:rPr>
      </w:pPr>
      <w:r w:rsidRPr="00F0077F">
        <w:rPr>
          <w:sz w:val="15"/>
          <w:szCs w:val="15"/>
        </w:rPr>
        <w:t xml:space="preserve">Fair Work Commission. (2019). </w:t>
      </w:r>
      <w:r w:rsidRPr="00F0077F">
        <w:rPr>
          <w:i/>
          <w:iCs/>
          <w:sz w:val="15"/>
          <w:szCs w:val="15"/>
        </w:rPr>
        <w:t>BASS COAST SHIRE COUNCIL ENTERPRISE BARGAINING</w:t>
      </w:r>
      <w:r w:rsidR="00EC4D5D">
        <w:rPr>
          <w:i/>
          <w:iCs/>
          <w:sz w:val="15"/>
          <w:szCs w:val="15"/>
        </w:rPr>
        <w:t xml:space="preserve"> </w:t>
      </w:r>
      <w:r w:rsidRPr="00F0077F">
        <w:rPr>
          <w:i/>
          <w:iCs/>
          <w:sz w:val="15"/>
          <w:szCs w:val="15"/>
        </w:rPr>
        <w:t>AGREEMENT 2019.</w:t>
      </w:r>
      <w:r w:rsidRPr="00F0077F">
        <w:rPr>
          <w:sz w:val="15"/>
          <w:szCs w:val="15"/>
        </w:rPr>
        <w:t xml:space="preserve"> Accessed at: </w:t>
      </w:r>
      <w:hyperlink r:id="rId59" w:history="1">
        <w:r w:rsidRPr="000A704B">
          <w:rPr>
            <w:rStyle w:val="Hyperlink"/>
            <w:color w:val="002060"/>
            <w:sz w:val="15"/>
            <w:szCs w:val="15"/>
          </w:rPr>
          <w:t>https://www.fwc.gov.au/documents/documents/agreements/fwa/ae503309.pdf</w:t>
        </w:r>
      </w:hyperlink>
      <w:r w:rsidRPr="00F0077F">
        <w:rPr>
          <w:sz w:val="15"/>
          <w:szCs w:val="15"/>
        </w:rPr>
        <w:t xml:space="preserve"> </w:t>
      </w:r>
    </w:p>
    <w:p w14:paraId="209A8D72" w14:textId="77777777" w:rsidR="003D045F" w:rsidRPr="00F0077F" w:rsidRDefault="003D045F" w:rsidP="00F0077F">
      <w:pPr>
        <w:pStyle w:val="FootnoteText"/>
        <w:spacing w:after="160"/>
        <w:rPr>
          <w:sz w:val="15"/>
          <w:szCs w:val="15"/>
        </w:rPr>
      </w:pPr>
      <w:r w:rsidRPr="00F0077F">
        <w:rPr>
          <w:sz w:val="15"/>
          <w:szCs w:val="15"/>
        </w:rPr>
        <w:t xml:space="preserve">Fair Work Commission. (2019). </w:t>
      </w:r>
      <w:r w:rsidRPr="00F0077F">
        <w:rPr>
          <w:i/>
          <w:iCs/>
          <w:sz w:val="15"/>
          <w:szCs w:val="15"/>
        </w:rPr>
        <w:t>WHITEHORSE CITY COUNCIL COLLECTIVE AGREEMENT 2019</w:t>
      </w:r>
      <w:r w:rsidRPr="00F0077F">
        <w:rPr>
          <w:sz w:val="15"/>
          <w:szCs w:val="15"/>
        </w:rPr>
        <w:t xml:space="preserve">. Accessed at: </w:t>
      </w:r>
      <w:hyperlink r:id="rId60" w:history="1">
        <w:r w:rsidRPr="000A704B">
          <w:rPr>
            <w:rStyle w:val="Hyperlink"/>
            <w:color w:val="002060"/>
            <w:sz w:val="15"/>
            <w:szCs w:val="15"/>
          </w:rPr>
          <w:t>https://www.fwc.gov.au/documents/documents/agreements/fwa/ae504856.pdf</w:t>
        </w:r>
      </w:hyperlink>
    </w:p>
    <w:p w14:paraId="64311512" w14:textId="77777777" w:rsidR="003D045F" w:rsidRPr="00F0077F" w:rsidRDefault="003D045F" w:rsidP="00F0077F">
      <w:pPr>
        <w:pStyle w:val="FootnoteText"/>
        <w:spacing w:after="160"/>
        <w:rPr>
          <w:sz w:val="15"/>
          <w:szCs w:val="15"/>
        </w:rPr>
      </w:pPr>
      <w:r w:rsidRPr="00F0077F">
        <w:rPr>
          <w:sz w:val="15"/>
          <w:szCs w:val="15"/>
        </w:rPr>
        <w:t xml:space="preserve">Fair Work Commission. (2019). </w:t>
      </w:r>
      <w:r w:rsidRPr="00F0077F">
        <w:rPr>
          <w:i/>
          <w:iCs/>
          <w:sz w:val="15"/>
          <w:szCs w:val="15"/>
        </w:rPr>
        <w:t>MONASH CITY COUNCIL ENTERPRISE AGREEMENT NO. 9, 2019</w:t>
      </w:r>
      <w:r w:rsidRPr="00F0077F">
        <w:rPr>
          <w:sz w:val="15"/>
          <w:szCs w:val="15"/>
        </w:rPr>
        <w:t xml:space="preserve">. Accessed at: </w:t>
      </w:r>
      <w:hyperlink r:id="rId61" w:history="1">
        <w:r w:rsidRPr="000A704B">
          <w:rPr>
            <w:rStyle w:val="Hyperlink"/>
            <w:color w:val="002060"/>
            <w:sz w:val="15"/>
            <w:szCs w:val="15"/>
          </w:rPr>
          <w:t>https://www.fwc.gov.au/documents/documents/agreements/fwa/ae506266.pdf</w:t>
        </w:r>
      </w:hyperlink>
    </w:p>
    <w:p w14:paraId="4A023864" w14:textId="77777777" w:rsidR="003D045F" w:rsidRPr="00F0077F" w:rsidRDefault="003D045F" w:rsidP="00F0077F">
      <w:pPr>
        <w:pStyle w:val="FootnoteText"/>
        <w:spacing w:after="160"/>
        <w:rPr>
          <w:sz w:val="15"/>
          <w:szCs w:val="15"/>
        </w:rPr>
      </w:pPr>
      <w:r w:rsidRPr="00F0077F">
        <w:rPr>
          <w:sz w:val="15"/>
          <w:szCs w:val="15"/>
        </w:rPr>
        <w:t xml:space="preserve">Fisk et al. (2007). Meta-analyses of the association of respiratory health effects with dampness and mould in homes. </w:t>
      </w:r>
      <w:r w:rsidRPr="00F0077F">
        <w:rPr>
          <w:i/>
          <w:iCs/>
          <w:sz w:val="15"/>
          <w:szCs w:val="15"/>
        </w:rPr>
        <w:t xml:space="preserve">Indoor Air, </w:t>
      </w:r>
      <w:r w:rsidRPr="00F0077F">
        <w:rPr>
          <w:sz w:val="15"/>
          <w:szCs w:val="15"/>
        </w:rPr>
        <w:t xml:space="preserve">2007; 17 (4); 284-296. Accessed at: </w:t>
      </w:r>
      <w:hyperlink r:id="rId62" w:history="1">
        <w:r w:rsidRPr="000A704B">
          <w:rPr>
            <w:rStyle w:val="Hyperlink"/>
            <w:color w:val="002060"/>
            <w:sz w:val="15"/>
            <w:szCs w:val="15"/>
          </w:rPr>
          <w:t>https://onlinelibrary.wiley.com/doi/full/10.1111/j.1600-0668.2007.00475.x</w:t>
        </w:r>
      </w:hyperlink>
    </w:p>
    <w:p w14:paraId="523A40E6" w14:textId="77777777" w:rsidR="003D045F" w:rsidRPr="00F0077F" w:rsidRDefault="003D045F" w:rsidP="00F0077F">
      <w:pPr>
        <w:pStyle w:val="FootnoteText"/>
        <w:spacing w:after="160"/>
        <w:rPr>
          <w:i/>
          <w:iCs/>
          <w:sz w:val="15"/>
          <w:szCs w:val="15"/>
        </w:rPr>
      </w:pPr>
      <w:r w:rsidRPr="00F0077F">
        <w:rPr>
          <w:sz w:val="15"/>
          <w:szCs w:val="15"/>
        </w:rPr>
        <w:t>Greenhalgh, E., Miller, A., Minnery, J., Gurran, N., Jacobs, K. &amp; Phibbs, P. (2004</w:t>
      </w:r>
      <w:r w:rsidRPr="00F0077F">
        <w:rPr>
          <w:i/>
          <w:iCs/>
          <w:sz w:val="15"/>
          <w:szCs w:val="15"/>
        </w:rPr>
        <w:t xml:space="preserve">). </w:t>
      </w:r>
      <w:r w:rsidRPr="00F0077F">
        <w:rPr>
          <w:i/>
          <w:iCs/>
          <w:sz w:val="15"/>
          <w:szCs w:val="15"/>
        </w:rPr>
        <w:fldChar w:fldCharType="begin"/>
      </w:r>
      <w:r w:rsidRPr="00F0077F">
        <w:rPr>
          <w:i/>
          <w:iCs/>
          <w:sz w:val="15"/>
          <w:szCs w:val="15"/>
        </w:rPr>
        <w:instrText xml:space="preserve"> HYPERLINK "https://www.ahuri.edu.au/__data/assets/pdf_file/0016/2239/AHURI_Final_Report_No54_Boarding_houses_and_government_supply_side_intervention.pdf" </w:instrText>
      </w:r>
      <w:r w:rsidRPr="00F0077F">
        <w:rPr>
          <w:i/>
          <w:iCs/>
          <w:sz w:val="15"/>
          <w:szCs w:val="15"/>
        </w:rPr>
        <w:fldChar w:fldCharType="separate"/>
      </w:r>
      <w:r w:rsidRPr="00F0077F">
        <w:rPr>
          <w:i/>
          <w:iCs/>
          <w:sz w:val="15"/>
          <w:szCs w:val="15"/>
        </w:rPr>
        <w:t>Boarding houses and</w:t>
      </w:r>
    </w:p>
    <w:p w14:paraId="1FD898F7" w14:textId="77777777" w:rsidR="003D045F" w:rsidRPr="00F0077F" w:rsidRDefault="003D045F" w:rsidP="00F0077F">
      <w:pPr>
        <w:pStyle w:val="FootnoteText"/>
        <w:spacing w:after="160"/>
        <w:rPr>
          <w:sz w:val="15"/>
          <w:szCs w:val="15"/>
        </w:rPr>
      </w:pPr>
      <w:r w:rsidRPr="00F0077F">
        <w:rPr>
          <w:i/>
          <w:iCs/>
          <w:sz w:val="15"/>
          <w:szCs w:val="15"/>
        </w:rPr>
        <w:t>Government supply side intervention</w:t>
      </w:r>
      <w:r w:rsidRPr="00F0077F">
        <w:rPr>
          <w:i/>
          <w:iCs/>
          <w:sz w:val="15"/>
          <w:szCs w:val="15"/>
        </w:rPr>
        <w:fldChar w:fldCharType="end"/>
      </w:r>
      <w:r w:rsidRPr="00F0077F">
        <w:rPr>
          <w:i/>
          <w:iCs/>
          <w:sz w:val="15"/>
          <w:szCs w:val="15"/>
        </w:rPr>
        <w:t>, AHURI Final Report No54.</w:t>
      </w:r>
      <w:r w:rsidRPr="00F0077F">
        <w:rPr>
          <w:sz w:val="15"/>
          <w:szCs w:val="15"/>
        </w:rPr>
        <w:t xml:space="preserve"> Australian Housing and Urban Research Institute Limited, Melbourne. Accessed at: </w:t>
      </w:r>
      <w:hyperlink r:id="rId63" w:history="1">
        <w:r w:rsidRPr="000A704B">
          <w:rPr>
            <w:rStyle w:val="Hyperlink"/>
            <w:color w:val="002060"/>
            <w:sz w:val="15"/>
            <w:szCs w:val="15"/>
          </w:rPr>
          <w:t>https://www.ahuri.edu.au/__data/assets/pdf_file/0016/2239/AHURI_Final_Report_No54_Boarding_houses_and_government_supply_side_intervention.pdf</w:t>
        </w:r>
      </w:hyperlink>
    </w:p>
    <w:p w14:paraId="1801C16B" w14:textId="6280B1E7" w:rsidR="00AD104C" w:rsidRDefault="00AD104C" w:rsidP="00F0077F">
      <w:pPr>
        <w:pStyle w:val="FootnoteText"/>
        <w:spacing w:after="160"/>
        <w:rPr>
          <w:sz w:val="15"/>
          <w:szCs w:val="15"/>
        </w:rPr>
      </w:pPr>
      <w:r w:rsidRPr="004C00C8">
        <w:rPr>
          <w:sz w:val="15"/>
          <w:szCs w:val="15"/>
        </w:rPr>
        <w:t xml:space="preserve">Harker, L (2006). </w:t>
      </w:r>
      <w:hyperlink r:id="rId64" w:history="1">
        <w:r w:rsidRPr="004C00C8">
          <w:rPr>
            <w:sz w:val="15"/>
            <w:szCs w:val="15"/>
          </w:rPr>
          <w:t>Chance of a Lifetime: The impact of bad housing on children’s lives</w:t>
        </w:r>
      </w:hyperlink>
      <w:r w:rsidRPr="004C00C8">
        <w:rPr>
          <w:sz w:val="15"/>
          <w:szCs w:val="15"/>
        </w:rPr>
        <w:t>.</w:t>
      </w:r>
      <w:r>
        <w:rPr>
          <w:sz w:val="15"/>
          <w:szCs w:val="15"/>
        </w:rPr>
        <w:t xml:space="preserve"> Accessed at: </w:t>
      </w:r>
      <w:r w:rsidRPr="004C00C8">
        <w:rPr>
          <w:sz w:val="15"/>
          <w:szCs w:val="15"/>
        </w:rPr>
        <w:t xml:space="preserve"> </w:t>
      </w:r>
      <w:hyperlink r:id="rId65" w:history="1">
        <w:r w:rsidRPr="000A704B">
          <w:rPr>
            <w:rStyle w:val="Hyperlink"/>
            <w:color w:val="002060"/>
            <w:sz w:val="15"/>
            <w:szCs w:val="15"/>
          </w:rPr>
          <w:t>https://england.shelter.org.uk/__data/assets/pdf_file/0016/39202/Chance_of_a_Lifetime.pdf</w:t>
        </w:r>
      </w:hyperlink>
      <w:r>
        <w:rPr>
          <w:sz w:val="15"/>
          <w:szCs w:val="15"/>
        </w:rPr>
        <w:t>.</w:t>
      </w:r>
    </w:p>
    <w:p w14:paraId="5370F44D" w14:textId="2DB51C0C" w:rsidR="003D045F" w:rsidRPr="00F0077F" w:rsidRDefault="003D045F" w:rsidP="00F0077F">
      <w:pPr>
        <w:pStyle w:val="FootnoteText"/>
        <w:spacing w:after="160"/>
        <w:rPr>
          <w:sz w:val="15"/>
          <w:szCs w:val="15"/>
        </w:rPr>
      </w:pPr>
      <w:r w:rsidRPr="00F0077F">
        <w:rPr>
          <w:sz w:val="15"/>
          <w:szCs w:val="15"/>
        </w:rPr>
        <w:t xml:space="preserve">Home Design Directory. (2017). Bathroom cost calculator. Accessed at: </w:t>
      </w:r>
      <w:hyperlink r:id="rId66" w:history="1">
        <w:r w:rsidRPr="000A704B">
          <w:rPr>
            <w:rStyle w:val="Hyperlink"/>
            <w:color w:val="002060"/>
            <w:sz w:val="15"/>
            <w:szCs w:val="15"/>
          </w:rPr>
          <w:t>https://www.homedesigndirectory.com.au/calculators/bathroom-cost-estimates.php</w:t>
        </w:r>
      </w:hyperlink>
    </w:p>
    <w:p w14:paraId="2F590D22" w14:textId="77777777" w:rsidR="003D045F" w:rsidRPr="00F0077F" w:rsidRDefault="003D045F" w:rsidP="00F0077F">
      <w:pPr>
        <w:autoSpaceDE w:val="0"/>
        <w:autoSpaceDN w:val="0"/>
        <w:spacing w:after="160" w:line="240" w:lineRule="auto"/>
        <w:rPr>
          <w:sz w:val="15"/>
          <w:szCs w:val="15"/>
        </w:rPr>
      </w:pPr>
      <w:r w:rsidRPr="00F0077F">
        <w:rPr>
          <w:sz w:val="15"/>
          <w:szCs w:val="15"/>
        </w:rPr>
        <w:t xml:space="preserve">IBISWorld. (2020). </w:t>
      </w:r>
      <w:r w:rsidRPr="00F0077F">
        <w:rPr>
          <w:i/>
          <w:iCs/>
          <w:sz w:val="15"/>
          <w:szCs w:val="15"/>
        </w:rPr>
        <w:t xml:space="preserve">Hotels and Resorts in Australia H4401. </w:t>
      </w:r>
      <w:r w:rsidRPr="00F0077F">
        <w:rPr>
          <w:sz w:val="15"/>
          <w:szCs w:val="15"/>
        </w:rPr>
        <w:t xml:space="preserve">Accessed at: </w:t>
      </w:r>
      <w:hyperlink r:id="rId67" w:history="1">
        <w:r w:rsidRPr="000A704B">
          <w:rPr>
            <w:rStyle w:val="Hyperlink"/>
            <w:rFonts w:cs="Times New Roman"/>
            <w:color w:val="002060"/>
            <w:sz w:val="15"/>
            <w:szCs w:val="15"/>
          </w:rPr>
          <w:t>https://www.ibisworld.com/au/industry/hotels-resorts/1811/</w:t>
        </w:r>
      </w:hyperlink>
      <w:r w:rsidRPr="00F0077F">
        <w:rPr>
          <w:rFonts w:cs="Times New Roman"/>
          <w:sz w:val="15"/>
          <w:szCs w:val="15"/>
        </w:rPr>
        <w:t xml:space="preserve"> </w:t>
      </w:r>
    </w:p>
    <w:p w14:paraId="06599F0E" w14:textId="77777777" w:rsidR="003D045F" w:rsidRPr="00F0077F" w:rsidRDefault="003D045F" w:rsidP="00F0077F">
      <w:pPr>
        <w:pStyle w:val="FootnoteText"/>
        <w:spacing w:after="160"/>
        <w:rPr>
          <w:rStyle w:val="Hyperlink"/>
          <w:color w:val="auto"/>
          <w:sz w:val="15"/>
          <w:szCs w:val="15"/>
          <w:u w:val="none"/>
        </w:rPr>
      </w:pPr>
      <w:r w:rsidRPr="00F0077F">
        <w:rPr>
          <w:sz w:val="15"/>
          <w:szCs w:val="15"/>
        </w:rPr>
        <w:t>Jaguar Consulting. (2009). Regulatory Impact Statement Public Health and Wellbeing Regulations</w:t>
      </w:r>
    </w:p>
    <w:p w14:paraId="37379D6D" w14:textId="77777777" w:rsidR="003D045F" w:rsidRPr="00F0077F" w:rsidRDefault="003D045F" w:rsidP="00F0077F">
      <w:pPr>
        <w:pStyle w:val="FootnoteText"/>
        <w:spacing w:after="160"/>
        <w:rPr>
          <w:sz w:val="15"/>
          <w:szCs w:val="15"/>
        </w:rPr>
      </w:pPr>
      <w:r w:rsidRPr="00F0077F">
        <w:rPr>
          <w:sz w:val="15"/>
          <w:szCs w:val="15"/>
        </w:rPr>
        <w:t xml:space="preserve">Johnson, Guy &amp; Chamberlain, Chris. (2007). Homelessness in Melbourne: Confronting the Challenge. RMIT University Press, Melbourne. Accessed at: </w:t>
      </w:r>
      <w:hyperlink r:id="rId68" w:history="1">
        <w:r w:rsidRPr="000A704B">
          <w:rPr>
            <w:rStyle w:val="Hyperlink"/>
            <w:color w:val="002060"/>
            <w:sz w:val="15"/>
            <w:szCs w:val="15"/>
          </w:rPr>
          <w:t>https://www.researchgate.net/publication/272789417_Homelessness_in_Melbourne_Confronting_the_Challenge</w:t>
        </w:r>
      </w:hyperlink>
    </w:p>
    <w:p w14:paraId="6B9F210F" w14:textId="77777777" w:rsidR="003D045F" w:rsidRPr="00F0077F" w:rsidRDefault="003D045F" w:rsidP="00F0077F">
      <w:pPr>
        <w:pStyle w:val="FootnoteText"/>
        <w:spacing w:after="160"/>
        <w:rPr>
          <w:sz w:val="15"/>
          <w:szCs w:val="15"/>
        </w:rPr>
      </w:pPr>
      <w:r w:rsidRPr="00F0077F">
        <w:rPr>
          <w:sz w:val="15"/>
          <w:szCs w:val="15"/>
        </w:rPr>
        <w:t xml:space="preserve">Krieger, J., &amp; Higgins, D.L. (2002). Housing and Health: Time Again for Public Health Action. </w:t>
      </w:r>
      <w:r w:rsidRPr="00F0077F">
        <w:rPr>
          <w:i/>
          <w:iCs/>
          <w:sz w:val="15"/>
          <w:szCs w:val="15"/>
        </w:rPr>
        <w:t>Am J Public Health Journal</w:t>
      </w:r>
      <w:r w:rsidRPr="00F0077F">
        <w:rPr>
          <w:sz w:val="15"/>
          <w:szCs w:val="15"/>
        </w:rPr>
        <w:t xml:space="preserve">. Accessed at: </w:t>
      </w:r>
      <w:hyperlink r:id="rId69" w:history="1">
        <w:r w:rsidRPr="000A704B">
          <w:rPr>
            <w:rStyle w:val="Hyperlink"/>
            <w:color w:val="002060"/>
            <w:sz w:val="15"/>
            <w:szCs w:val="15"/>
          </w:rPr>
          <w:t>https://ajph.aphapublications.org/doi/10.2105/AJPH.92.5.758</w:t>
        </w:r>
      </w:hyperlink>
    </w:p>
    <w:p w14:paraId="52C41AB5" w14:textId="77777777" w:rsidR="003D045F" w:rsidRPr="00F0077F" w:rsidRDefault="003D045F" w:rsidP="00F0077F">
      <w:pPr>
        <w:pStyle w:val="FootnoteText"/>
        <w:spacing w:after="160"/>
        <w:rPr>
          <w:sz w:val="15"/>
          <w:szCs w:val="15"/>
        </w:rPr>
      </w:pPr>
      <w:r w:rsidRPr="00F0077F">
        <w:rPr>
          <w:sz w:val="15"/>
          <w:szCs w:val="15"/>
        </w:rPr>
        <w:t xml:space="preserve">MacKenzie, D., Flatau, P., Steen, A., Thielking, M. (2016). </w:t>
      </w:r>
      <w:hyperlink r:id="rId70" w:history="1">
        <w:r w:rsidRPr="00F0077F">
          <w:rPr>
            <w:i/>
            <w:iCs/>
            <w:sz w:val="15"/>
            <w:szCs w:val="15"/>
          </w:rPr>
          <w:t>The cost of youth homelessness in Australia</w:t>
        </w:r>
      </w:hyperlink>
      <w:r w:rsidRPr="00F0077F">
        <w:rPr>
          <w:i/>
          <w:iCs/>
          <w:sz w:val="15"/>
          <w:szCs w:val="15"/>
        </w:rPr>
        <w:t>: Research Briefing April 28, 2016</w:t>
      </w:r>
      <w:r w:rsidRPr="00F0077F">
        <w:rPr>
          <w:sz w:val="15"/>
          <w:szCs w:val="15"/>
        </w:rPr>
        <w:t xml:space="preserve">. Accessed at: </w:t>
      </w:r>
      <w:hyperlink r:id="rId71" w:history="1">
        <w:r w:rsidRPr="000A704B">
          <w:rPr>
            <w:rStyle w:val="Hyperlink"/>
            <w:color w:val="002060"/>
            <w:sz w:val="15"/>
            <w:szCs w:val="15"/>
          </w:rPr>
          <w:t>https://researchbank.swinburne.edu.au/file/30e52c92-64a1-477c-993a-0e547c6c7371/1/PDF%20%28Published%20version%29.pdf</w:t>
        </w:r>
      </w:hyperlink>
    </w:p>
    <w:p w14:paraId="48417F13" w14:textId="77777777" w:rsidR="003D045F" w:rsidRPr="00F0077F" w:rsidRDefault="003D045F" w:rsidP="00F0077F">
      <w:pPr>
        <w:pStyle w:val="FootnoteText"/>
        <w:spacing w:after="160"/>
        <w:rPr>
          <w:sz w:val="15"/>
          <w:szCs w:val="15"/>
        </w:rPr>
      </w:pPr>
      <w:r w:rsidRPr="00F0077F">
        <w:rPr>
          <w:sz w:val="15"/>
          <w:szCs w:val="15"/>
        </w:rPr>
        <w:t xml:space="preserve">Mara, D., Lane,J., Scott, B., &amp; Trouba, D. (2010). </w:t>
      </w:r>
      <w:r w:rsidRPr="00F0077F">
        <w:rPr>
          <w:iCs/>
          <w:sz w:val="15"/>
          <w:szCs w:val="15"/>
        </w:rPr>
        <w:t>Sanitation and Health.</w:t>
      </w:r>
      <w:r w:rsidRPr="00F0077F">
        <w:rPr>
          <w:sz w:val="15"/>
          <w:szCs w:val="15"/>
        </w:rPr>
        <w:t xml:space="preserve"> </w:t>
      </w:r>
      <w:r w:rsidRPr="00F0077F">
        <w:rPr>
          <w:i/>
          <w:iCs/>
          <w:sz w:val="15"/>
          <w:szCs w:val="15"/>
        </w:rPr>
        <w:t>PLoS Med Journal.</w:t>
      </w:r>
      <w:r w:rsidRPr="00F0077F">
        <w:rPr>
          <w:sz w:val="15"/>
          <w:szCs w:val="15"/>
        </w:rPr>
        <w:t xml:space="preserve"> Accessed at: </w:t>
      </w:r>
      <w:hyperlink r:id="rId72" w:history="1">
        <w:r w:rsidRPr="000A704B">
          <w:rPr>
            <w:rStyle w:val="Hyperlink"/>
            <w:color w:val="002060"/>
            <w:sz w:val="15"/>
            <w:szCs w:val="15"/>
          </w:rPr>
          <w:t>https://www.ncbi.nlm.nih.gov/pmc/articles/PMC2981586/</w:t>
        </w:r>
      </w:hyperlink>
    </w:p>
    <w:p w14:paraId="13B4D645" w14:textId="77777777" w:rsidR="003D045F" w:rsidRPr="00F0077F" w:rsidRDefault="003D045F" w:rsidP="00F0077F">
      <w:pPr>
        <w:pStyle w:val="FootnoteText"/>
        <w:spacing w:after="160"/>
        <w:rPr>
          <w:sz w:val="15"/>
          <w:szCs w:val="15"/>
        </w:rPr>
      </w:pPr>
      <w:r w:rsidRPr="00F0077F">
        <w:rPr>
          <w:sz w:val="15"/>
          <w:szCs w:val="15"/>
        </w:rPr>
        <w:t xml:space="preserve">Mwambi et al. (2007). Chapter 13: Mapping and Modelling Disease Risk Among Mobile Populations. </w:t>
      </w:r>
      <w:r w:rsidRPr="00F0077F">
        <w:rPr>
          <w:i/>
          <w:iCs/>
          <w:sz w:val="15"/>
          <w:szCs w:val="15"/>
        </w:rPr>
        <w:t xml:space="preserve">Population Mobility and Infectious Disease. </w:t>
      </w:r>
      <w:r w:rsidRPr="00F0077F">
        <w:rPr>
          <w:sz w:val="15"/>
          <w:szCs w:val="15"/>
        </w:rPr>
        <w:t>Springer Science + Business Media: Boston. Pg. 244-266.</w:t>
      </w:r>
    </w:p>
    <w:p w14:paraId="1B8CCACB" w14:textId="77777777" w:rsidR="003D045F" w:rsidRPr="00F0077F" w:rsidRDefault="003D045F" w:rsidP="00F0077F">
      <w:pPr>
        <w:pStyle w:val="FootnoteText"/>
        <w:spacing w:after="160"/>
        <w:rPr>
          <w:color w:val="00A3E0" w:themeColor="hyperlink"/>
          <w:sz w:val="15"/>
          <w:szCs w:val="15"/>
          <w:u w:val="single"/>
        </w:rPr>
      </w:pPr>
      <w:r w:rsidRPr="00F0077F">
        <w:rPr>
          <w:sz w:val="15"/>
          <w:szCs w:val="15"/>
        </w:rPr>
        <w:t xml:space="preserve">National Centre for Housing Health. (2009). </w:t>
      </w:r>
      <w:r w:rsidRPr="00F0077F">
        <w:rPr>
          <w:i/>
          <w:iCs/>
          <w:sz w:val="15"/>
          <w:szCs w:val="15"/>
        </w:rPr>
        <w:t>Housing interventions and health.</w:t>
      </w:r>
      <w:r w:rsidRPr="00F0077F">
        <w:rPr>
          <w:sz w:val="15"/>
          <w:szCs w:val="15"/>
        </w:rPr>
        <w:t xml:space="preserve"> National Centre for Housing Health, Columbia. Accessed at: </w:t>
      </w:r>
      <w:hyperlink r:id="rId73" w:history="1">
        <w:r w:rsidRPr="000A704B">
          <w:rPr>
            <w:rStyle w:val="Hyperlink"/>
            <w:color w:val="002060"/>
            <w:sz w:val="15"/>
            <w:szCs w:val="15"/>
          </w:rPr>
          <w:t>https://nchh.org/resource-library/Housing%20Interventions%20and%20Health.pdf</w:t>
        </w:r>
      </w:hyperlink>
    </w:p>
    <w:p w14:paraId="034C8A4B" w14:textId="77777777" w:rsidR="003D045F" w:rsidRPr="00F0077F" w:rsidRDefault="003D045F" w:rsidP="00F0077F">
      <w:pPr>
        <w:spacing w:after="160"/>
        <w:rPr>
          <w:sz w:val="15"/>
          <w:szCs w:val="15"/>
        </w:rPr>
      </w:pPr>
      <w:r w:rsidRPr="00F0077F">
        <w:rPr>
          <w:sz w:val="15"/>
          <w:szCs w:val="15"/>
        </w:rPr>
        <w:t xml:space="preserve">NSW Department of Health (2010). </w:t>
      </w:r>
      <w:r w:rsidRPr="00F0077F">
        <w:rPr>
          <w:i/>
          <w:iCs/>
          <w:sz w:val="15"/>
          <w:szCs w:val="15"/>
        </w:rPr>
        <w:t xml:space="preserve">Closing the gap: 10 Years of </w:t>
      </w:r>
      <w:r w:rsidRPr="00F0077F">
        <w:rPr>
          <w:sz w:val="15"/>
          <w:szCs w:val="15"/>
        </w:rPr>
        <w:t>Housing for Health</w:t>
      </w:r>
      <w:r w:rsidRPr="00F0077F">
        <w:rPr>
          <w:i/>
          <w:iCs/>
          <w:sz w:val="15"/>
          <w:szCs w:val="15"/>
        </w:rPr>
        <w:t xml:space="preserve"> in NSW – An evaluation of a health housing intervention. </w:t>
      </w:r>
      <w:r w:rsidRPr="00F0077F">
        <w:rPr>
          <w:sz w:val="15"/>
          <w:szCs w:val="15"/>
        </w:rPr>
        <w:t xml:space="preserve">Accessed at: </w:t>
      </w:r>
      <w:hyperlink r:id="rId74" w:history="1">
        <w:r w:rsidRPr="000A704B">
          <w:rPr>
            <w:rStyle w:val="Hyperlink"/>
            <w:color w:val="002060"/>
            <w:sz w:val="15"/>
            <w:szCs w:val="15"/>
          </w:rPr>
          <w:t>https://www.health.nsw.gov.au/environment/aboriginal/Publications/housing-health.pdf</w:t>
        </w:r>
      </w:hyperlink>
    </w:p>
    <w:p w14:paraId="2A6209BB" w14:textId="77777777" w:rsidR="003D045F" w:rsidRPr="00F0077F" w:rsidRDefault="003D045F" w:rsidP="00F0077F">
      <w:pPr>
        <w:spacing w:after="160"/>
        <w:rPr>
          <w:sz w:val="15"/>
          <w:szCs w:val="15"/>
        </w:rPr>
      </w:pPr>
      <w:r w:rsidRPr="00F0077F">
        <w:rPr>
          <w:sz w:val="15"/>
          <w:szCs w:val="15"/>
        </w:rPr>
        <w:t xml:space="preserve">Parliament of Victoria. (2009). </w:t>
      </w:r>
      <w:hyperlink r:id="rId75" w:history="1">
        <w:r w:rsidRPr="00F0077F">
          <w:rPr>
            <w:i/>
            <w:iCs/>
            <w:sz w:val="15"/>
            <w:szCs w:val="15"/>
          </w:rPr>
          <w:t>The Public Health and Wellbeing Regulations of 2009</w:t>
        </w:r>
      </w:hyperlink>
      <w:r w:rsidRPr="00F0077F">
        <w:rPr>
          <w:i/>
          <w:iCs/>
          <w:sz w:val="15"/>
          <w:szCs w:val="15"/>
        </w:rPr>
        <w:t>.</w:t>
      </w:r>
      <w:r w:rsidRPr="00F0077F">
        <w:rPr>
          <w:sz w:val="15"/>
          <w:szCs w:val="15"/>
        </w:rPr>
        <w:t xml:space="preserve"> Accessed at: </w:t>
      </w:r>
      <w:hyperlink r:id="rId76" w:history="1">
        <w:r w:rsidRPr="000A704B">
          <w:rPr>
            <w:rStyle w:val="Hyperlink"/>
            <w:color w:val="002060"/>
            <w:sz w:val="15"/>
            <w:szCs w:val="15"/>
          </w:rPr>
          <w:t>https://www.business.vic.gov.au/__data/assets/pdf_file/0009/1545039/Public_Health_and_Wellbeing_Regulations_2009.pdf</w:t>
        </w:r>
      </w:hyperlink>
    </w:p>
    <w:p w14:paraId="0E1C2467" w14:textId="77777777" w:rsidR="003D045F" w:rsidRPr="00F0077F" w:rsidRDefault="003D045F" w:rsidP="00F0077F">
      <w:pPr>
        <w:pStyle w:val="FootnoteText"/>
        <w:spacing w:after="160"/>
        <w:rPr>
          <w:sz w:val="15"/>
          <w:szCs w:val="15"/>
        </w:rPr>
      </w:pPr>
      <w:r w:rsidRPr="00F0077F">
        <w:rPr>
          <w:sz w:val="15"/>
          <w:szCs w:val="15"/>
        </w:rPr>
        <w:lastRenderedPageBreak/>
        <w:t xml:space="preserve">Reserve Bank of Australia. (2020). </w:t>
      </w:r>
      <w:r w:rsidRPr="00F0077F">
        <w:rPr>
          <w:i/>
          <w:iCs/>
          <w:sz w:val="15"/>
          <w:szCs w:val="15"/>
        </w:rPr>
        <w:t>Statement on Monetary Policy: August 2020.</w:t>
      </w:r>
      <w:r w:rsidRPr="00F0077F">
        <w:rPr>
          <w:sz w:val="15"/>
          <w:szCs w:val="15"/>
        </w:rPr>
        <w:t xml:space="preserve"> Accessed at: </w:t>
      </w:r>
      <w:hyperlink r:id="rId77" w:history="1">
        <w:r w:rsidRPr="000A704B">
          <w:rPr>
            <w:rStyle w:val="Hyperlink"/>
            <w:color w:val="002060"/>
            <w:sz w:val="15"/>
            <w:szCs w:val="15"/>
          </w:rPr>
          <w:t>https://www.rba.gov.au/publications/smp/2020/aug/</w:t>
        </w:r>
      </w:hyperlink>
    </w:p>
    <w:p w14:paraId="68AD4940" w14:textId="77777777" w:rsidR="003D045F" w:rsidRPr="00F0077F" w:rsidRDefault="003D045F" w:rsidP="00F0077F">
      <w:pPr>
        <w:pStyle w:val="FootnoteText"/>
        <w:spacing w:after="160"/>
        <w:rPr>
          <w:color w:val="00A3E0" w:themeColor="hyperlink"/>
          <w:sz w:val="15"/>
          <w:szCs w:val="15"/>
          <w:u w:val="single"/>
        </w:rPr>
      </w:pPr>
      <w:r w:rsidRPr="00F0077F">
        <w:rPr>
          <w:sz w:val="15"/>
          <w:szCs w:val="15"/>
        </w:rPr>
        <w:t xml:space="preserve">Rooming House Standards Taskforce (2009). </w:t>
      </w:r>
      <w:r w:rsidRPr="00F0077F">
        <w:rPr>
          <w:i/>
          <w:iCs/>
          <w:sz w:val="15"/>
          <w:szCs w:val="15"/>
        </w:rPr>
        <w:t>Rooming House Standards Taskforce Chairperson’s report.</w:t>
      </w:r>
      <w:r w:rsidRPr="00F0077F">
        <w:rPr>
          <w:sz w:val="15"/>
          <w:szCs w:val="15"/>
        </w:rPr>
        <w:t xml:space="preserve"> Accessed at: </w:t>
      </w:r>
      <w:hyperlink r:id="rId78" w:history="1">
        <w:r w:rsidRPr="000A704B">
          <w:rPr>
            <w:rStyle w:val="Hyperlink"/>
            <w:color w:val="002060"/>
            <w:sz w:val="15"/>
            <w:szCs w:val="15"/>
          </w:rPr>
          <w:t>http://chp.org.au/wp-content/uploads/2013/05/Appendix-Taskforce-Report.pdf</w:t>
        </w:r>
      </w:hyperlink>
    </w:p>
    <w:p w14:paraId="5AE0012D" w14:textId="77777777" w:rsidR="003D045F" w:rsidRPr="00F0077F" w:rsidRDefault="003D045F" w:rsidP="00F0077F">
      <w:pPr>
        <w:spacing w:after="160"/>
        <w:rPr>
          <w:sz w:val="15"/>
          <w:szCs w:val="15"/>
        </w:rPr>
      </w:pPr>
      <w:r w:rsidRPr="00F0077F">
        <w:rPr>
          <w:sz w:val="15"/>
          <w:szCs w:val="15"/>
        </w:rPr>
        <w:t xml:space="preserve">Small Business Victoria. (2019) </w:t>
      </w:r>
      <w:r w:rsidRPr="00F0077F">
        <w:rPr>
          <w:i/>
          <w:iCs/>
          <w:sz w:val="15"/>
          <w:szCs w:val="15"/>
        </w:rPr>
        <w:t>Starting an accommodation business.</w:t>
      </w:r>
      <w:r w:rsidRPr="00F0077F">
        <w:rPr>
          <w:sz w:val="15"/>
          <w:szCs w:val="15"/>
        </w:rPr>
        <w:t xml:space="preserve"> Accessed at: </w:t>
      </w:r>
      <w:hyperlink r:id="rId79" w:history="1">
        <w:r w:rsidRPr="000A704B">
          <w:rPr>
            <w:rStyle w:val="Hyperlink"/>
            <w:color w:val="002060"/>
            <w:sz w:val="15"/>
            <w:szCs w:val="15"/>
          </w:rPr>
          <w:t>https://www.business.vic.gov.au/tourism-industry-resources/Business-Tools-and-Support/starting-a-tourism-business-A/starting-an-accommodation-business</w:t>
        </w:r>
      </w:hyperlink>
    </w:p>
    <w:p w14:paraId="5E9A0EE3" w14:textId="77777777" w:rsidR="003D045F" w:rsidRPr="00F0077F" w:rsidRDefault="003D045F" w:rsidP="00F0077F">
      <w:pPr>
        <w:spacing w:after="160"/>
        <w:rPr>
          <w:color w:val="00A3E0" w:themeColor="hyperlink"/>
          <w:sz w:val="15"/>
          <w:szCs w:val="15"/>
          <w:u w:val="single"/>
        </w:rPr>
      </w:pPr>
      <w:r w:rsidRPr="00F0077F">
        <w:rPr>
          <w:sz w:val="15"/>
          <w:szCs w:val="15"/>
        </w:rPr>
        <w:t xml:space="preserve">The Salvation Army Adult Services. (2011). </w:t>
      </w:r>
      <w:hyperlink r:id="rId80" w:history="1">
        <w:r w:rsidRPr="00F0077F">
          <w:rPr>
            <w:i/>
            <w:iCs/>
            <w:sz w:val="15"/>
            <w:szCs w:val="15"/>
          </w:rPr>
          <w:t>No Room to move? Report of the Outer West Rooming House Project</w:t>
        </w:r>
      </w:hyperlink>
      <w:r w:rsidRPr="00F0077F">
        <w:rPr>
          <w:i/>
          <w:iCs/>
          <w:sz w:val="15"/>
          <w:szCs w:val="15"/>
        </w:rPr>
        <w:t>.</w:t>
      </w:r>
      <w:r w:rsidRPr="00F0077F">
        <w:rPr>
          <w:sz w:val="15"/>
          <w:szCs w:val="15"/>
        </w:rPr>
        <w:t xml:space="preserve"> Accessed at: </w:t>
      </w:r>
      <w:hyperlink r:id="rId81" w:history="1">
        <w:r w:rsidRPr="000A704B">
          <w:rPr>
            <w:rStyle w:val="Hyperlink"/>
            <w:color w:val="002060"/>
            <w:sz w:val="15"/>
            <w:szCs w:val="15"/>
          </w:rPr>
          <w:t>http://www.nwhn.net.au/admin/file/content101/c6/No%20Room%20to%20move%20Report_1332384268120.pdf</w:t>
        </w:r>
      </w:hyperlink>
    </w:p>
    <w:p w14:paraId="5739F7C0" w14:textId="77777777" w:rsidR="003D045F" w:rsidRPr="00F0077F" w:rsidRDefault="003D045F" w:rsidP="00F0077F">
      <w:pPr>
        <w:spacing w:after="160"/>
        <w:rPr>
          <w:rStyle w:val="Hyperlink"/>
          <w:i/>
          <w:sz w:val="15"/>
          <w:szCs w:val="15"/>
        </w:rPr>
      </w:pPr>
      <w:r w:rsidRPr="00F0077F">
        <w:rPr>
          <w:sz w:val="15"/>
          <w:szCs w:val="15"/>
        </w:rPr>
        <w:t>Sigler, T., &amp; Panczak, R. (2020).</w:t>
      </w:r>
      <w:r w:rsidRPr="00F0077F">
        <w:rPr>
          <w:i/>
          <w:iCs/>
          <w:sz w:val="15"/>
          <w:szCs w:val="15"/>
        </w:rPr>
        <w:t xml:space="preserve"> </w:t>
      </w:r>
      <w:hyperlink r:id="rId82" w:history="1">
        <w:r w:rsidRPr="00F0077F">
          <w:rPr>
            <w:i/>
            <w:iCs/>
            <w:sz w:val="15"/>
            <w:szCs w:val="15"/>
          </w:rPr>
          <w:t>Ever wondered how many Airbnbs Australia has and where they all are? We have the answers</w:t>
        </w:r>
      </w:hyperlink>
      <w:r w:rsidRPr="00F0077F">
        <w:rPr>
          <w:sz w:val="15"/>
          <w:szCs w:val="15"/>
        </w:rPr>
        <w:t xml:space="preserve">. The Conversation. Accessed at: </w:t>
      </w:r>
      <w:hyperlink r:id="rId83" w:history="1">
        <w:r w:rsidRPr="000A704B">
          <w:rPr>
            <w:rStyle w:val="Hyperlink"/>
            <w:color w:val="002060"/>
            <w:sz w:val="15"/>
            <w:szCs w:val="15"/>
          </w:rPr>
          <w:t>https://theconversation.com/ever-wondered-how-many-airbnbs-australia-has-and-where-they-all-are-we-have-the-answers-129003</w:t>
        </w:r>
      </w:hyperlink>
    </w:p>
    <w:p w14:paraId="65E2600F" w14:textId="77777777" w:rsidR="003D045F" w:rsidRPr="00F0077F" w:rsidRDefault="003D045F" w:rsidP="00F0077F">
      <w:pPr>
        <w:pStyle w:val="FootnoteText"/>
        <w:spacing w:after="160"/>
        <w:rPr>
          <w:rStyle w:val="Hyperlink"/>
          <w:sz w:val="15"/>
          <w:szCs w:val="15"/>
        </w:rPr>
      </w:pPr>
      <w:r w:rsidRPr="00F0077F">
        <w:rPr>
          <w:sz w:val="15"/>
          <w:szCs w:val="15"/>
        </w:rPr>
        <w:t xml:space="preserve">Tourism Research Australia. (2019). </w:t>
      </w:r>
      <w:hyperlink r:id="rId84" w:history="1">
        <w:r w:rsidRPr="00F0077F">
          <w:rPr>
            <w:i/>
            <w:iCs/>
            <w:sz w:val="15"/>
            <w:szCs w:val="15"/>
          </w:rPr>
          <w:t>AUSTRALIAN ACCOMMODATION MONITOR</w:t>
        </w:r>
      </w:hyperlink>
      <w:r w:rsidRPr="00F0077F">
        <w:rPr>
          <w:i/>
          <w:iCs/>
          <w:sz w:val="15"/>
          <w:szCs w:val="15"/>
        </w:rPr>
        <w:t>.</w:t>
      </w:r>
      <w:r w:rsidRPr="00F0077F">
        <w:rPr>
          <w:sz w:val="15"/>
          <w:szCs w:val="15"/>
        </w:rPr>
        <w:t xml:space="preserve"> Accessed at:</w:t>
      </w:r>
      <w:r w:rsidRPr="00F0077F">
        <w:rPr>
          <w:rStyle w:val="Hyperlink"/>
          <w:sz w:val="15"/>
          <w:szCs w:val="15"/>
        </w:rPr>
        <w:t xml:space="preserve"> </w:t>
      </w:r>
      <w:hyperlink r:id="rId85" w:history="1">
        <w:r w:rsidRPr="000A704B">
          <w:rPr>
            <w:rStyle w:val="Hyperlink"/>
            <w:color w:val="002060"/>
            <w:sz w:val="15"/>
            <w:szCs w:val="15"/>
          </w:rPr>
          <w:t>https://www.tra.gov.au/Economic-analysis/australian-accommodation-monitor</w:t>
        </w:r>
      </w:hyperlink>
    </w:p>
    <w:p w14:paraId="388BFB16" w14:textId="77777777" w:rsidR="003D045F" w:rsidRPr="00F0077F" w:rsidRDefault="003D045F" w:rsidP="00F0077F">
      <w:pPr>
        <w:spacing w:after="160"/>
        <w:rPr>
          <w:sz w:val="15"/>
          <w:szCs w:val="15"/>
        </w:rPr>
      </w:pPr>
      <w:r w:rsidRPr="00F0077F">
        <w:rPr>
          <w:sz w:val="15"/>
          <w:szCs w:val="15"/>
        </w:rPr>
        <w:t xml:space="preserve">United Nations (2008). Tackling a global crisis: International Year of Sanitation 2008. Accessed at: </w:t>
      </w:r>
      <w:hyperlink r:id="rId86" w:history="1">
        <w:r w:rsidRPr="000A704B">
          <w:rPr>
            <w:rStyle w:val="Hyperlink"/>
            <w:color w:val="002060"/>
            <w:sz w:val="15"/>
            <w:szCs w:val="15"/>
          </w:rPr>
          <w:t>http://www.sanitationyear2008.org/</w:t>
        </w:r>
      </w:hyperlink>
    </w:p>
    <w:p w14:paraId="6D2C5A73" w14:textId="2ACA8117" w:rsidR="003D045F" w:rsidRPr="00F0077F" w:rsidRDefault="003D045F" w:rsidP="00F0077F">
      <w:pPr>
        <w:spacing w:after="160"/>
        <w:rPr>
          <w:rStyle w:val="Hyperlink"/>
          <w:sz w:val="15"/>
          <w:szCs w:val="15"/>
        </w:rPr>
      </w:pPr>
      <w:r w:rsidRPr="00F0077F">
        <w:rPr>
          <w:sz w:val="15"/>
          <w:szCs w:val="15"/>
        </w:rPr>
        <w:t xml:space="preserve">Walters, A.M (2001). </w:t>
      </w:r>
      <w:r w:rsidRPr="00F0077F">
        <w:rPr>
          <w:i/>
          <w:iCs/>
          <w:sz w:val="15"/>
          <w:szCs w:val="15"/>
        </w:rPr>
        <w:t>Do housing conditions impact on health inequalities between Australia's rich and poor? AHURI Final Report No. 4.</w:t>
      </w:r>
      <w:r w:rsidRPr="00F0077F">
        <w:rPr>
          <w:sz w:val="15"/>
          <w:szCs w:val="15"/>
        </w:rPr>
        <w:t xml:space="preserve"> Australian Housing and Urban Research Institute Limited, Melbourne. Accessed at: </w:t>
      </w:r>
      <w:hyperlink r:id="rId87" w:history="1">
        <w:r w:rsidRPr="000A704B">
          <w:rPr>
            <w:rStyle w:val="Hyperlink"/>
            <w:color w:val="002060"/>
            <w:sz w:val="15"/>
            <w:szCs w:val="15"/>
          </w:rPr>
          <w:t>https://www.ahuri.edu.au/research/final-reports/4</w:t>
        </w:r>
      </w:hyperlink>
    </w:p>
    <w:p w14:paraId="5996D75A" w14:textId="77777777" w:rsidR="003D045F" w:rsidRPr="00F0077F" w:rsidRDefault="003D045F" w:rsidP="00F0077F">
      <w:pPr>
        <w:spacing w:after="160"/>
        <w:rPr>
          <w:sz w:val="15"/>
          <w:szCs w:val="15"/>
        </w:rPr>
      </w:pPr>
      <w:r w:rsidRPr="00F0077F">
        <w:rPr>
          <w:sz w:val="15"/>
          <w:szCs w:val="15"/>
        </w:rPr>
        <w:t xml:space="preserve">Witte, E. 2017 </w:t>
      </w:r>
      <w:r w:rsidRPr="00F0077F">
        <w:rPr>
          <w:i/>
          <w:iCs/>
          <w:sz w:val="15"/>
          <w:szCs w:val="15"/>
        </w:rPr>
        <w:t>The case for investing in last resort housing’, MSSI Issues Paper No. 10.</w:t>
      </w:r>
      <w:r w:rsidRPr="00F0077F">
        <w:rPr>
          <w:sz w:val="15"/>
          <w:szCs w:val="15"/>
        </w:rPr>
        <w:t xml:space="preserve"> Melbourne Sustainable Society Institute, The University of Melbourne. Accessed at: </w:t>
      </w:r>
      <w:hyperlink r:id="rId88" w:history="1">
        <w:r w:rsidRPr="000A704B">
          <w:rPr>
            <w:rStyle w:val="Hyperlink"/>
            <w:color w:val="002060"/>
            <w:sz w:val="15"/>
            <w:szCs w:val="15"/>
          </w:rPr>
          <w:t>https://www.sgsep.com.au/assets/main/SGS-Economics-and-Planning-Last-Resort-Housing.pdf</w:t>
        </w:r>
      </w:hyperlink>
    </w:p>
    <w:p w14:paraId="0AD06EFE" w14:textId="77777777" w:rsidR="003D045F" w:rsidRPr="00F0077F" w:rsidRDefault="003D045F" w:rsidP="00F0077F">
      <w:pPr>
        <w:spacing w:after="160"/>
        <w:rPr>
          <w:rStyle w:val="Hyperlink"/>
          <w:sz w:val="15"/>
          <w:szCs w:val="15"/>
        </w:rPr>
      </w:pPr>
      <w:r w:rsidRPr="004C00C8">
        <w:rPr>
          <w:rStyle w:val="Hyperlink"/>
          <w:color w:val="auto"/>
          <w:sz w:val="15"/>
          <w:szCs w:val="15"/>
          <w:u w:val="none"/>
        </w:rPr>
        <w:t xml:space="preserve">World Health Organisation. (2020). </w:t>
      </w:r>
      <w:r w:rsidRPr="004C00C8">
        <w:rPr>
          <w:rStyle w:val="Hyperlink"/>
          <w:i/>
          <w:color w:val="auto"/>
          <w:sz w:val="15"/>
          <w:szCs w:val="15"/>
          <w:u w:val="none"/>
        </w:rPr>
        <w:t>Diarrhoea in the Western Pacific.</w:t>
      </w:r>
      <w:r w:rsidRPr="004C00C8">
        <w:rPr>
          <w:rStyle w:val="Hyperlink"/>
          <w:color w:val="auto"/>
          <w:sz w:val="15"/>
          <w:szCs w:val="15"/>
          <w:u w:val="none"/>
        </w:rPr>
        <w:t xml:space="preserve"> Accessed at:</w:t>
      </w:r>
      <w:r w:rsidRPr="004C00C8">
        <w:rPr>
          <w:rStyle w:val="Hyperlink"/>
          <w:color w:val="auto"/>
          <w:sz w:val="15"/>
          <w:szCs w:val="15"/>
        </w:rPr>
        <w:t xml:space="preserve"> </w:t>
      </w:r>
      <w:hyperlink r:id="rId89" w:history="1">
        <w:r w:rsidRPr="000A704B">
          <w:rPr>
            <w:rStyle w:val="Hyperlink"/>
            <w:color w:val="002060"/>
            <w:sz w:val="15"/>
            <w:szCs w:val="15"/>
          </w:rPr>
          <w:t>https://www.who.int/westernpacific/health-topics/diarrhoea</w:t>
        </w:r>
      </w:hyperlink>
    </w:p>
    <w:p w14:paraId="793EAAD6" w14:textId="77777777" w:rsidR="003D045F" w:rsidRPr="00F0077F" w:rsidRDefault="003D045F" w:rsidP="00F0077F">
      <w:pPr>
        <w:spacing w:after="160"/>
        <w:rPr>
          <w:sz w:val="15"/>
          <w:szCs w:val="15"/>
        </w:rPr>
      </w:pPr>
      <w:r w:rsidRPr="00F0077F">
        <w:rPr>
          <w:sz w:val="15"/>
          <w:szCs w:val="15"/>
        </w:rPr>
        <w:t xml:space="preserve">World Health Organisation. (2018). </w:t>
      </w:r>
      <w:r w:rsidRPr="00F0077F">
        <w:rPr>
          <w:i/>
          <w:iCs/>
          <w:sz w:val="15"/>
          <w:szCs w:val="15"/>
        </w:rPr>
        <w:t>WHO Housing and Health Guidelines.</w:t>
      </w:r>
      <w:r w:rsidRPr="00F0077F">
        <w:rPr>
          <w:sz w:val="15"/>
          <w:szCs w:val="15"/>
        </w:rPr>
        <w:t xml:space="preserve"> Accessed at: </w:t>
      </w:r>
      <w:hyperlink r:id="rId90" w:history="1">
        <w:r w:rsidRPr="000A704B">
          <w:rPr>
            <w:rStyle w:val="Hyperlink"/>
            <w:color w:val="002060"/>
            <w:sz w:val="15"/>
            <w:szCs w:val="15"/>
          </w:rPr>
          <w:t>https://www.who.int/publications/i/item/who-housing-and-health-guidelines</w:t>
        </w:r>
      </w:hyperlink>
      <w:r w:rsidRPr="00F0077F">
        <w:rPr>
          <w:sz w:val="15"/>
          <w:szCs w:val="15"/>
        </w:rPr>
        <w:t xml:space="preserve">  </w:t>
      </w:r>
    </w:p>
    <w:p w14:paraId="332F24E9" w14:textId="77777777" w:rsidR="00241B6D" w:rsidRPr="00F507E8" w:rsidRDefault="00241B6D" w:rsidP="00241B6D">
      <w:pPr>
        <w:tabs>
          <w:tab w:val="left" w:pos="1092"/>
        </w:tabs>
      </w:pPr>
    </w:p>
    <w:p w14:paraId="32A7BCC3" w14:textId="77777777" w:rsidR="00241B6D" w:rsidRPr="00F507E8" w:rsidRDefault="00241B6D" w:rsidP="00241B6D">
      <w:pPr>
        <w:tabs>
          <w:tab w:val="left" w:pos="1092"/>
        </w:tabs>
      </w:pPr>
    </w:p>
    <w:p w14:paraId="68014E91" w14:textId="77777777" w:rsidR="00241B6D" w:rsidRPr="00F507E8" w:rsidRDefault="00241B6D" w:rsidP="00241B6D">
      <w:pPr>
        <w:tabs>
          <w:tab w:val="left" w:pos="1092"/>
        </w:tabs>
      </w:pPr>
    </w:p>
    <w:p w14:paraId="153006B1" w14:textId="77777777" w:rsidR="00241B6D" w:rsidRPr="00F507E8" w:rsidRDefault="00241B6D" w:rsidP="00241B6D">
      <w:pPr>
        <w:tabs>
          <w:tab w:val="left" w:pos="1092"/>
        </w:tabs>
      </w:pPr>
    </w:p>
    <w:p w14:paraId="6E7D6AFF" w14:textId="77777777" w:rsidR="00241B6D" w:rsidRPr="00F507E8" w:rsidRDefault="00241B6D" w:rsidP="00241B6D">
      <w:pPr>
        <w:tabs>
          <w:tab w:val="left" w:pos="1092"/>
        </w:tabs>
      </w:pPr>
    </w:p>
    <w:p w14:paraId="5C7EA967" w14:textId="77777777" w:rsidR="00241B6D" w:rsidRPr="00F507E8" w:rsidRDefault="00241B6D" w:rsidP="00241B6D">
      <w:pPr>
        <w:tabs>
          <w:tab w:val="left" w:pos="1092"/>
        </w:tabs>
      </w:pPr>
    </w:p>
    <w:p w14:paraId="508F3B7D" w14:textId="77777777" w:rsidR="00241B6D" w:rsidRDefault="00241B6D" w:rsidP="007C2EA5">
      <w:pPr>
        <w:pStyle w:val="Reference"/>
        <w:ind w:left="0" w:firstLine="0"/>
        <w:rPr>
          <w:rFonts w:asciiTheme="majorHAnsi" w:hAnsiTheme="majorHAnsi"/>
          <w:szCs w:val="18"/>
        </w:rPr>
        <w:sectPr w:rsidR="00241B6D" w:rsidSect="000B7C0A">
          <w:pgSz w:w="11906" w:h="16838" w:code="9"/>
          <w:pgMar w:top="1440" w:right="1440" w:bottom="1440" w:left="1440" w:header="680" w:footer="425" w:gutter="0"/>
          <w:cols w:space="284"/>
          <w:docGrid w:linePitch="360"/>
        </w:sectPr>
      </w:pPr>
    </w:p>
    <w:p w14:paraId="6653E321" w14:textId="76F4608C" w:rsidR="00D260EC" w:rsidRDefault="00BD0848" w:rsidP="00296DF8">
      <w:pPr>
        <w:pStyle w:val="Heading1un-numbered"/>
      </w:pPr>
      <w:bookmarkStart w:id="221" w:name="_Toc49460308"/>
      <w:bookmarkStart w:id="222" w:name="_Toc17892145"/>
      <w:r>
        <w:lastRenderedPageBreak/>
        <w:t xml:space="preserve">Appendix A: </w:t>
      </w:r>
      <w:r w:rsidR="00D260EC">
        <w:t>20</w:t>
      </w:r>
      <w:r w:rsidR="008D72BB">
        <w:t>09</w:t>
      </w:r>
      <w:r w:rsidR="00D260EC">
        <w:t xml:space="preserve"> Regulations Summary</w:t>
      </w:r>
      <w:bookmarkEnd w:id="221"/>
    </w:p>
    <w:p w14:paraId="1828CA81" w14:textId="31DDFD2A" w:rsidR="006B3D9A" w:rsidRPr="006B3D9A" w:rsidRDefault="006B3D9A" w:rsidP="006B3D9A">
      <w:pPr>
        <w:pStyle w:val="Caption"/>
      </w:pPr>
      <w:r>
        <w:t>Table A-1 Summary of the Regulations</w:t>
      </w:r>
    </w:p>
    <w:tbl>
      <w:tblPr>
        <w:tblStyle w:val="Deloittetable1"/>
        <w:tblW w:w="5116" w:type="pct"/>
        <w:tblLook w:val="04A0" w:firstRow="1" w:lastRow="0" w:firstColumn="1" w:lastColumn="0" w:noHBand="0" w:noVBand="1"/>
      </w:tblPr>
      <w:tblGrid>
        <w:gridCol w:w="916"/>
        <w:gridCol w:w="1703"/>
        <w:gridCol w:w="6616"/>
      </w:tblGrid>
      <w:tr w:rsidR="008D72BB" w14:paraId="3835F526" w14:textId="77777777" w:rsidTr="009E0DFE">
        <w:trPr>
          <w:cnfStyle w:val="100000000000" w:firstRow="1" w:lastRow="0" w:firstColumn="0" w:lastColumn="0" w:oddVBand="0" w:evenVBand="0" w:oddHBand="0" w:evenHBand="0" w:firstRowFirstColumn="0" w:firstRowLastColumn="0" w:lastRowFirstColumn="0" w:lastRowLastColumn="0"/>
          <w:trHeight w:val="369"/>
          <w:tblHeader/>
        </w:trPr>
        <w:tc>
          <w:tcPr>
            <w:tcW w:w="496" w:type="pct"/>
            <w:tcBorders>
              <w:left w:val="nil"/>
              <w:bottom w:val="single" w:sz="4" w:space="0" w:color="000000" w:themeColor="text1"/>
              <w:right w:val="nil"/>
            </w:tcBorders>
            <w:hideMark/>
          </w:tcPr>
          <w:p w14:paraId="33234C7A" w14:textId="77777777" w:rsidR="008D72BB" w:rsidRDefault="008D72BB" w:rsidP="008D72BB">
            <w:pPr>
              <w:spacing w:after="0"/>
              <w:contextualSpacing/>
              <w:rPr>
                <w:rFonts w:asciiTheme="minorHAnsi" w:hAnsiTheme="minorHAnsi"/>
                <w:b/>
                <w:lang w:val="en-GB"/>
              </w:rPr>
            </w:pPr>
            <w:r>
              <w:rPr>
                <w:rFonts w:asciiTheme="minorHAnsi" w:hAnsiTheme="minorHAnsi"/>
                <w:b/>
                <w:lang w:val="en-GB"/>
              </w:rPr>
              <w:t>Clause no</w:t>
            </w:r>
          </w:p>
        </w:tc>
        <w:tc>
          <w:tcPr>
            <w:tcW w:w="922" w:type="pct"/>
            <w:tcBorders>
              <w:left w:val="nil"/>
              <w:bottom w:val="single" w:sz="4" w:space="0" w:color="000000" w:themeColor="text1"/>
              <w:right w:val="nil"/>
            </w:tcBorders>
            <w:hideMark/>
          </w:tcPr>
          <w:p w14:paraId="6C39ABA6" w14:textId="77777777" w:rsidR="008D72BB" w:rsidRDefault="008D72BB" w:rsidP="009E0DFE">
            <w:pPr>
              <w:spacing w:after="0"/>
              <w:ind w:left="144"/>
              <w:contextualSpacing/>
              <w:rPr>
                <w:rFonts w:asciiTheme="minorHAnsi" w:hAnsiTheme="minorHAnsi"/>
                <w:b/>
                <w:lang w:val="en-GB"/>
              </w:rPr>
            </w:pPr>
            <w:r>
              <w:rPr>
                <w:rFonts w:asciiTheme="minorHAnsi" w:hAnsiTheme="minorHAnsi"/>
                <w:b/>
                <w:lang w:val="en-GB"/>
              </w:rPr>
              <w:t>Relates to</w:t>
            </w:r>
          </w:p>
        </w:tc>
        <w:tc>
          <w:tcPr>
            <w:tcW w:w="3581" w:type="pct"/>
            <w:tcBorders>
              <w:left w:val="nil"/>
              <w:bottom w:val="single" w:sz="4" w:space="0" w:color="000000" w:themeColor="text1"/>
              <w:right w:val="nil"/>
            </w:tcBorders>
            <w:hideMark/>
          </w:tcPr>
          <w:p w14:paraId="7B7AFC82" w14:textId="77777777" w:rsidR="008D72BB" w:rsidRDefault="008D72BB" w:rsidP="008D72BB">
            <w:pPr>
              <w:spacing w:after="0"/>
              <w:contextualSpacing/>
              <w:rPr>
                <w:rFonts w:asciiTheme="minorHAnsi" w:hAnsiTheme="minorHAnsi"/>
                <w:b/>
                <w:lang w:val="en-GB"/>
              </w:rPr>
            </w:pPr>
            <w:r>
              <w:rPr>
                <w:rFonts w:asciiTheme="minorHAnsi" w:hAnsiTheme="minorHAnsi"/>
                <w:b/>
                <w:lang w:val="en-GB"/>
              </w:rPr>
              <w:t>Key details</w:t>
            </w:r>
          </w:p>
        </w:tc>
      </w:tr>
      <w:tr w:rsidR="008D72BB" w14:paraId="1ED9F8F9" w14:textId="77777777" w:rsidTr="009E0DFE">
        <w:trPr>
          <w:trHeight w:val="462"/>
        </w:trPr>
        <w:tc>
          <w:tcPr>
            <w:tcW w:w="496" w:type="pct"/>
            <w:tcBorders>
              <w:top w:val="single" w:sz="4" w:space="0" w:color="000000" w:themeColor="text1"/>
              <w:left w:val="nil"/>
              <w:bottom w:val="single" w:sz="4" w:space="0" w:color="000000" w:themeColor="text1"/>
              <w:right w:val="nil"/>
            </w:tcBorders>
          </w:tcPr>
          <w:p w14:paraId="05C3E438" w14:textId="35C70A40" w:rsidR="008D72BB" w:rsidRPr="00FD47A7" w:rsidRDefault="008D72BB" w:rsidP="008D72BB">
            <w:pPr>
              <w:spacing w:after="0"/>
              <w:contextualSpacing/>
              <w:rPr>
                <w:rFonts w:asciiTheme="minorHAnsi" w:hAnsiTheme="minorHAnsi"/>
                <w:color w:val="000000" w:themeColor="text1"/>
                <w:lang w:val="en-GB"/>
              </w:rPr>
            </w:pPr>
            <w:r w:rsidRPr="00FD47A7">
              <w:rPr>
                <w:rFonts w:asciiTheme="minorHAnsi" w:hAnsiTheme="minorHAnsi"/>
                <w:color w:val="000000" w:themeColor="text1"/>
                <w:lang w:val="en-GB"/>
              </w:rPr>
              <w:t>Part 5 regulation 13</w:t>
            </w:r>
            <w:r>
              <w:rPr>
                <w:rFonts w:asciiTheme="minorHAnsi" w:hAnsiTheme="minorHAnsi"/>
                <w:color w:val="000000" w:themeColor="text1"/>
                <w:lang w:val="en-GB"/>
              </w:rPr>
              <w:t xml:space="preserve"> </w:t>
            </w:r>
          </w:p>
        </w:tc>
        <w:tc>
          <w:tcPr>
            <w:tcW w:w="922" w:type="pct"/>
            <w:tcBorders>
              <w:top w:val="single" w:sz="4" w:space="0" w:color="000000" w:themeColor="text1"/>
              <w:left w:val="nil"/>
              <w:bottom w:val="single" w:sz="4" w:space="0" w:color="000000" w:themeColor="text1"/>
              <w:right w:val="nil"/>
            </w:tcBorders>
          </w:tcPr>
          <w:p w14:paraId="4716E214" w14:textId="2FE10A40" w:rsidR="008D72BB" w:rsidRPr="008009AE" w:rsidRDefault="002301D4" w:rsidP="009E0DFE">
            <w:pPr>
              <w:spacing w:after="0"/>
              <w:ind w:left="144"/>
              <w:contextualSpacing/>
              <w:rPr>
                <w:rFonts w:asciiTheme="minorHAnsi" w:hAnsiTheme="minorHAnsi"/>
                <w:color w:val="000000" w:themeColor="text1"/>
                <w:lang w:val="en-GB"/>
              </w:rPr>
            </w:pPr>
            <w:r>
              <w:rPr>
                <w:rFonts w:asciiTheme="minorHAnsi" w:hAnsiTheme="minorHAnsi"/>
                <w:color w:val="000000" w:themeColor="text1"/>
                <w:lang w:val="en-GB"/>
              </w:rPr>
              <w:t>Scope</w:t>
            </w:r>
            <w:r w:rsidR="008D72BB" w:rsidRPr="008009AE">
              <w:rPr>
                <w:rFonts w:asciiTheme="minorHAnsi" w:hAnsiTheme="minorHAnsi"/>
                <w:color w:val="000000" w:themeColor="text1"/>
                <w:lang w:val="en-GB"/>
              </w:rPr>
              <w:t xml:space="preserve">: prescribed accommodation  </w:t>
            </w:r>
          </w:p>
        </w:tc>
        <w:tc>
          <w:tcPr>
            <w:tcW w:w="3581" w:type="pct"/>
            <w:tcBorders>
              <w:top w:val="single" w:sz="4" w:space="0" w:color="000000" w:themeColor="text1"/>
              <w:left w:val="nil"/>
              <w:bottom w:val="single" w:sz="4" w:space="0" w:color="000000" w:themeColor="text1"/>
              <w:right w:val="nil"/>
            </w:tcBorders>
          </w:tcPr>
          <w:p w14:paraId="53EBF9C6" w14:textId="77777777" w:rsidR="008D72BB" w:rsidRPr="001A5A7D" w:rsidRDefault="008D72BB" w:rsidP="008D72BB">
            <w:pPr>
              <w:spacing w:after="0"/>
              <w:contextualSpacing/>
            </w:pPr>
            <w:r>
              <w:t>The following classes of accommodation are prescribed to be prescribed accommodation for the purposes of section 3 of the Act— (a) residential accommodation; (b) hotels and motels; (c) hostels; (d) student dormitories; (e) holiday camps; (f) rooming houses.</w:t>
            </w:r>
          </w:p>
        </w:tc>
      </w:tr>
      <w:tr w:rsidR="008D72BB" w14:paraId="2C72D107" w14:textId="77777777" w:rsidTr="009E0DFE">
        <w:trPr>
          <w:trHeight w:val="462"/>
        </w:trPr>
        <w:tc>
          <w:tcPr>
            <w:tcW w:w="496" w:type="pct"/>
            <w:tcBorders>
              <w:top w:val="single" w:sz="4" w:space="0" w:color="000000" w:themeColor="text1"/>
              <w:left w:val="nil"/>
              <w:bottom w:val="single" w:sz="4" w:space="0" w:color="000000" w:themeColor="text1"/>
              <w:right w:val="nil"/>
            </w:tcBorders>
          </w:tcPr>
          <w:p w14:paraId="2B312C58" w14:textId="67449B1F" w:rsidR="008D72BB" w:rsidRPr="00FD47A7" w:rsidRDefault="008D72BB" w:rsidP="008D72BB">
            <w:pPr>
              <w:spacing w:after="0"/>
              <w:contextualSpacing/>
              <w:rPr>
                <w:rFonts w:asciiTheme="minorHAnsi" w:hAnsiTheme="minorHAnsi"/>
                <w:color w:val="000000" w:themeColor="text1"/>
                <w:lang w:val="en-GB"/>
              </w:rPr>
            </w:pPr>
            <w:r w:rsidRPr="00FD47A7">
              <w:rPr>
                <w:rFonts w:asciiTheme="minorHAnsi" w:hAnsiTheme="minorHAnsi"/>
                <w:color w:val="000000" w:themeColor="text1"/>
                <w:lang w:val="en-GB"/>
              </w:rPr>
              <w:t>Part 5</w:t>
            </w:r>
            <w:r w:rsidR="0067195D">
              <w:rPr>
                <w:rFonts w:asciiTheme="minorHAnsi" w:hAnsiTheme="minorHAnsi"/>
                <w:color w:val="000000" w:themeColor="text1"/>
                <w:lang w:val="en-GB"/>
              </w:rPr>
              <w:t xml:space="preserve"> </w:t>
            </w:r>
            <w:r w:rsidRPr="00FD47A7">
              <w:rPr>
                <w:rFonts w:asciiTheme="minorHAnsi" w:hAnsiTheme="minorHAnsi"/>
                <w:color w:val="000000" w:themeColor="text1"/>
                <w:lang w:val="en-GB"/>
              </w:rPr>
              <w:t>regulation 1</w:t>
            </w:r>
            <w:r>
              <w:rPr>
                <w:rFonts w:asciiTheme="minorHAnsi" w:hAnsiTheme="minorHAnsi"/>
                <w:color w:val="000000" w:themeColor="text1"/>
                <w:lang w:val="en-GB"/>
              </w:rPr>
              <w:t xml:space="preserve">4 </w:t>
            </w:r>
            <w:r w:rsidR="002301D4">
              <w:rPr>
                <w:rFonts w:asciiTheme="minorHAnsi" w:hAnsiTheme="minorHAnsi"/>
                <w:color w:val="000000" w:themeColor="text1"/>
                <w:lang w:val="en-GB"/>
              </w:rPr>
              <w:t>&amp;</w:t>
            </w:r>
            <w:r>
              <w:rPr>
                <w:rFonts w:asciiTheme="minorHAnsi" w:hAnsiTheme="minorHAnsi"/>
                <w:color w:val="000000" w:themeColor="text1"/>
                <w:lang w:val="en-GB"/>
              </w:rPr>
              <w:t>15</w:t>
            </w:r>
          </w:p>
        </w:tc>
        <w:tc>
          <w:tcPr>
            <w:tcW w:w="922" w:type="pct"/>
            <w:tcBorders>
              <w:top w:val="single" w:sz="4" w:space="0" w:color="000000" w:themeColor="text1"/>
              <w:left w:val="nil"/>
              <w:bottom w:val="single" w:sz="4" w:space="0" w:color="000000" w:themeColor="text1"/>
              <w:right w:val="nil"/>
            </w:tcBorders>
          </w:tcPr>
          <w:p w14:paraId="187EF52D" w14:textId="4DFFE015" w:rsidR="008D72BB" w:rsidRPr="008009AE" w:rsidRDefault="008D72BB" w:rsidP="009E0DFE">
            <w:pPr>
              <w:spacing w:after="0"/>
              <w:ind w:left="144"/>
              <w:contextualSpacing/>
              <w:rPr>
                <w:rFonts w:asciiTheme="minorHAnsi" w:hAnsiTheme="minorHAnsi"/>
                <w:color w:val="000000" w:themeColor="text1"/>
                <w:lang w:val="en-GB"/>
              </w:rPr>
            </w:pPr>
            <w:r w:rsidRPr="008009AE">
              <w:rPr>
                <w:rFonts w:asciiTheme="minorHAnsi" w:hAnsiTheme="minorHAnsi"/>
                <w:color w:val="000000" w:themeColor="text1"/>
                <w:lang w:val="en-GB"/>
              </w:rPr>
              <w:t xml:space="preserve">Exemptions to </w:t>
            </w:r>
            <w:r w:rsidR="002301D4">
              <w:rPr>
                <w:rFonts w:asciiTheme="minorHAnsi" w:hAnsiTheme="minorHAnsi"/>
                <w:color w:val="000000" w:themeColor="text1"/>
                <w:lang w:val="en-GB"/>
              </w:rPr>
              <w:t>scope</w:t>
            </w:r>
            <w:r w:rsidR="002301D4" w:rsidRPr="008009AE">
              <w:rPr>
                <w:rFonts w:asciiTheme="minorHAnsi" w:hAnsiTheme="minorHAnsi"/>
                <w:color w:val="000000" w:themeColor="text1"/>
                <w:lang w:val="en-GB"/>
              </w:rPr>
              <w:t xml:space="preserve"> </w:t>
            </w:r>
            <w:r w:rsidRPr="008009AE">
              <w:rPr>
                <w:rFonts w:asciiTheme="minorHAnsi" w:hAnsiTheme="minorHAnsi"/>
                <w:color w:val="000000" w:themeColor="text1"/>
                <w:lang w:val="en-GB"/>
              </w:rPr>
              <w:t xml:space="preserve">of prescribed accommodation </w:t>
            </w:r>
          </w:p>
        </w:tc>
        <w:tc>
          <w:tcPr>
            <w:tcW w:w="3581" w:type="pct"/>
            <w:tcBorders>
              <w:top w:val="single" w:sz="4" w:space="0" w:color="000000" w:themeColor="text1"/>
              <w:left w:val="nil"/>
              <w:bottom w:val="single" w:sz="4" w:space="0" w:color="000000" w:themeColor="text1"/>
              <w:right w:val="nil"/>
            </w:tcBorders>
          </w:tcPr>
          <w:p w14:paraId="59908495" w14:textId="77777777" w:rsidR="008D72BB" w:rsidRDefault="008D72BB" w:rsidP="008D72BB">
            <w:pPr>
              <w:spacing w:after="0"/>
              <w:contextualSpacing/>
            </w:pPr>
            <w:r>
              <w:t xml:space="preserve">The following are prescribed </w:t>
            </w:r>
            <w:r w:rsidRPr="00FD47A7">
              <w:rPr>
                <w:b/>
              </w:rPr>
              <w:t>not to be prescribed accommodation</w:t>
            </w:r>
            <w:r>
              <w:t xml:space="preserve"> for the purposes of these regulations— (a) a house under the exclusive occupation of the occupier; or </w:t>
            </w:r>
          </w:p>
          <w:p w14:paraId="183B1BAD" w14:textId="77777777" w:rsidR="008D72BB" w:rsidRDefault="008D72BB" w:rsidP="008D72BB">
            <w:pPr>
              <w:spacing w:after="0"/>
              <w:contextualSpacing/>
            </w:pPr>
            <w:r>
              <w:t xml:space="preserve">(b) a self-contained flat under the exclusive occupation of the occupier consisting of a suite of rooms that— (i) forms a portion or portions of a building; and (ii) includes kitchen, bathroom and toilet facilities; and (iii) forms a self-contained residence; or </w:t>
            </w:r>
          </w:p>
          <w:p w14:paraId="2EA183A1" w14:textId="77777777" w:rsidR="008D72BB" w:rsidRDefault="008D72BB" w:rsidP="008D72BB">
            <w:pPr>
              <w:spacing w:after="0"/>
              <w:contextualSpacing/>
            </w:pPr>
            <w:r>
              <w:t>(c) temporary crisis accommodation; or</w:t>
            </w:r>
          </w:p>
          <w:p w14:paraId="054391C8" w14:textId="77777777" w:rsidR="008D72BB" w:rsidRDefault="008D72BB" w:rsidP="008D72BB">
            <w:pPr>
              <w:spacing w:after="0"/>
              <w:contextualSpacing/>
            </w:pPr>
            <w:r>
              <w:t xml:space="preserve">(d) a health or residential service within the meaning of section 3(1) of the </w:t>
            </w:r>
            <w:r w:rsidRPr="001A5A7D">
              <w:rPr>
                <w:i/>
              </w:rPr>
              <w:t>Residential Tenancies Act 1997</w:t>
            </w:r>
            <w:r>
              <w:t xml:space="preserve">; or </w:t>
            </w:r>
          </w:p>
          <w:p w14:paraId="0C3C546A" w14:textId="77777777" w:rsidR="008D72BB" w:rsidRDefault="008D72BB" w:rsidP="008D72BB">
            <w:pPr>
              <w:spacing w:after="0"/>
              <w:contextualSpacing/>
            </w:pPr>
            <w:r>
              <w:t xml:space="preserve">(e) a residential care service within the meaning of the </w:t>
            </w:r>
            <w:r w:rsidRPr="001A5A7D">
              <w:rPr>
                <w:i/>
              </w:rPr>
              <w:t>Aged Care Act 1997</w:t>
            </w:r>
            <w:r>
              <w:t xml:space="preserve"> of the Commonwealth; or </w:t>
            </w:r>
          </w:p>
          <w:p w14:paraId="017F272D" w14:textId="77777777" w:rsidR="008D72BB" w:rsidRDefault="008D72BB" w:rsidP="008D72BB">
            <w:pPr>
              <w:spacing w:after="0"/>
              <w:contextualSpacing/>
            </w:pPr>
            <w:r>
              <w:t xml:space="preserve">(f) any retirement village within the meaning of section 3(1) of the </w:t>
            </w:r>
            <w:r w:rsidRPr="001A5A7D">
              <w:rPr>
                <w:i/>
              </w:rPr>
              <w:t>Retirement Villages Act 1986</w:t>
            </w:r>
            <w:r>
              <w:t xml:space="preserve">; or </w:t>
            </w:r>
          </w:p>
          <w:p w14:paraId="060E9376" w14:textId="77777777" w:rsidR="008D72BB" w:rsidRDefault="008D72BB" w:rsidP="008D72BB">
            <w:pPr>
              <w:spacing w:after="0"/>
              <w:contextualSpacing/>
            </w:pPr>
            <w:r>
              <w:t xml:space="preserve">(g) any house, building or structure to which </w:t>
            </w:r>
            <w:r w:rsidRPr="001A5A7D">
              <w:rPr>
                <w:i/>
              </w:rPr>
              <w:t>Part 4 of the Residential Tenancies Act 1997</w:t>
            </w:r>
            <w:r>
              <w:t xml:space="preserve"> applies; or </w:t>
            </w:r>
          </w:p>
          <w:p w14:paraId="783BCC7D" w14:textId="77777777" w:rsidR="008D72BB" w:rsidRDefault="008D72BB" w:rsidP="008D72BB">
            <w:pPr>
              <w:spacing w:after="0"/>
              <w:contextualSpacing/>
            </w:pPr>
            <w:r>
              <w:t xml:space="preserve">(h) any vessel, vehicle, tent or caravan; or </w:t>
            </w:r>
          </w:p>
          <w:p w14:paraId="74383C6B" w14:textId="6402E258" w:rsidR="008D72BB" w:rsidRDefault="008D72BB" w:rsidP="008D72BB">
            <w:pPr>
              <w:spacing w:after="0"/>
              <w:contextualSpacing/>
            </w:pPr>
            <w:r>
              <w:t>(i) premises in which, other than the family of the proprietor, not more than 5 persons are accommodated, and which is not a rooming house</w:t>
            </w:r>
          </w:p>
        </w:tc>
      </w:tr>
      <w:tr w:rsidR="008D72BB" w14:paraId="02B11116" w14:textId="77777777" w:rsidTr="009E0DFE">
        <w:trPr>
          <w:trHeight w:val="462"/>
        </w:trPr>
        <w:tc>
          <w:tcPr>
            <w:tcW w:w="496" w:type="pct"/>
            <w:tcBorders>
              <w:top w:val="single" w:sz="4" w:space="0" w:color="000000" w:themeColor="text1"/>
              <w:left w:val="nil"/>
              <w:bottom w:val="single" w:sz="4" w:space="0" w:color="000000" w:themeColor="text1"/>
              <w:right w:val="nil"/>
            </w:tcBorders>
          </w:tcPr>
          <w:p w14:paraId="4BC9D2A2" w14:textId="7FD4D215" w:rsidR="008D72BB" w:rsidRPr="00FD47A7" w:rsidRDefault="008D72BB" w:rsidP="008D72BB">
            <w:pPr>
              <w:spacing w:after="0"/>
              <w:contextualSpacing/>
              <w:rPr>
                <w:rFonts w:asciiTheme="minorHAnsi" w:hAnsiTheme="minorHAnsi"/>
                <w:color w:val="000000" w:themeColor="text1"/>
                <w:lang w:val="en-GB"/>
              </w:rPr>
            </w:pPr>
            <w:r>
              <w:rPr>
                <w:rFonts w:asciiTheme="minorHAnsi" w:hAnsiTheme="minorHAnsi"/>
                <w:color w:val="000000" w:themeColor="text1"/>
                <w:lang w:val="en-GB"/>
              </w:rPr>
              <w:t>Part 5 regulation 16</w:t>
            </w:r>
          </w:p>
        </w:tc>
        <w:tc>
          <w:tcPr>
            <w:tcW w:w="922" w:type="pct"/>
            <w:tcBorders>
              <w:top w:val="single" w:sz="4" w:space="0" w:color="000000" w:themeColor="text1"/>
              <w:left w:val="nil"/>
              <w:bottom w:val="single" w:sz="4" w:space="0" w:color="000000" w:themeColor="text1"/>
              <w:right w:val="nil"/>
            </w:tcBorders>
          </w:tcPr>
          <w:p w14:paraId="18A26992" w14:textId="77777777" w:rsidR="008D72BB" w:rsidRPr="00172771" w:rsidRDefault="008D72BB" w:rsidP="009E0DFE">
            <w:pPr>
              <w:spacing w:after="0"/>
              <w:ind w:left="144"/>
              <w:contextualSpacing/>
              <w:rPr>
                <w:rFonts w:asciiTheme="minorHAnsi" w:hAnsiTheme="minorHAnsi"/>
                <w:color w:val="000000" w:themeColor="text1"/>
                <w:lang w:val="en-GB"/>
              </w:rPr>
            </w:pPr>
            <w:r w:rsidRPr="00172771">
              <w:rPr>
                <w:rFonts w:asciiTheme="minorHAnsi" w:hAnsiTheme="minorHAnsi"/>
                <w:color w:val="000000" w:themeColor="text1"/>
                <w:lang w:val="en-GB"/>
              </w:rPr>
              <w:t>Applica</w:t>
            </w:r>
            <w:r>
              <w:rPr>
                <w:rFonts w:asciiTheme="minorHAnsi" w:hAnsiTheme="minorHAnsi"/>
                <w:color w:val="000000" w:themeColor="text1"/>
                <w:lang w:val="en-GB"/>
              </w:rPr>
              <w:t>tions including applications to register, renew or transfer prescribed accommodation and applications concerning registered premises</w:t>
            </w:r>
          </w:p>
        </w:tc>
        <w:tc>
          <w:tcPr>
            <w:tcW w:w="3581" w:type="pct"/>
            <w:tcBorders>
              <w:top w:val="single" w:sz="4" w:space="0" w:color="000000" w:themeColor="text1"/>
              <w:left w:val="nil"/>
              <w:bottom w:val="single" w:sz="4" w:space="0" w:color="000000" w:themeColor="text1"/>
              <w:right w:val="nil"/>
            </w:tcBorders>
          </w:tcPr>
          <w:p w14:paraId="29B8BBEA" w14:textId="6C446E14" w:rsidR="008D72BB" w:rsidRDefault="008D72BB" w:rsidP="008D72BB">
            <w:pPr>
              <w:spacing w:after="0"/>
              <w:contextualSpacing/>
              <w:rPr>
                <w:color w:val="FF0000"/>
              </w:rPr>
            </w:pPr>
            <w:r>
              <w:t>Note section 71C of the PHWA  relates to application of registration</w:t>
            </w:r>
          </w:p>
          <w:p w14:paraId="2F0DCA7D" w14:textId="7B7E5673" w:rsidR="008D72BB" w:rsidRDefault="008D72BB" w:rsidP="008D72BB">
            <w:pPr>
              <w:spacing w:after="0"/>
              <w:contextualSpacing/>
            </w:pPr>
            <w:r w:rsidRPr="00172771">
              <w:rPr>
                <w:color w:val="000000" w:themeColor="text1"/>
                <w:u w:val="single"/>
              </w:rPr>
              <w:t>Regulations</w:t>
            </w:r>
            <w:r w:rsidR="00590C51">
              <w:rPr>
                <w:color w:val="000000" w:themeColor="text1"/>
                <w:u w:val="single"/>
              </w:rPr>
              <w:t xml:space="preserve"> state</w:t>
            </w:r>
            <w:r w:rsidRPr="00172771">
              <w:rPr>
                <w:color w:val="000000" w:themeColor="text1"/>
                <w:u w:val="single"/>
              </w:rPr>
              <w:t>:</w:t>
            </w:r>
            <w:r>
              <w:rPr>
                <w:color w:val="000000" w:themeColor="text1"/>
                <w:u w:val="single"/>
              </w:rPr>
              <w:t xml:space="preserve"> </w:t>
            </w:r>
            <w:r>
              <w:t>For the purpose of section 71(c) of the Act, the prescribed particulars are—</w:t>
            </w:r>
          </w:p>
          <w:p w14:paraId="3F1DE604" w14:textId="77777777" w:rsidR="008D72BB" w:rsidRDefault="008D72BB" w:rsidP="008D72BB">
            <w:pPr>
              <w:spacing w:after="0"/>
              <w:contextualSpacing/>
            </w:pPr>
          </w:p>
          <w:p w14:paraId="790E01AA" w14:textId="6429C2D8" w:rsidR="008D72BB" w:rsidRDefault="008D72BB" w:rsidP="008D72BB">
            <w:pPr>
              <w:spacing w:after="0"/>
              <w:contextualSpacing/>
            </w:pPr>
            <w:r w:rsidRPr="00172771">
              <w:rPr>
                <w:i/>
              </w:rPr>
              <w:t xml:space="preserve">(a) for an application to </w:t>
            </w:r>
            <w:r w:rsidRPr="00514507">
              <w:rPr>
                <w:b/>
                <w:i/>
              </w:rPr>
              <w:t>register</w:t>
            </w:r>
            <w:r w:rsidRPr="00172771">
              <w:rPr>
                <w:i/>
              </w:rPr>
              <w:t xml:space="preserve"> prescribed accommodation:</w:t>
            </w:r>
            <w:r>
              <w:t xml:space="preserve"> (i) a plan of the premises drawn to a scale of not less tha</w:t>
            </w:r>
            <w:r w:rsidR="00385EFA">
              <w:t>n</w:t>
            </w:r>
            <w:r>
              <w:t xml:space="preserve"> 1:100 and showing the proposed use of each room; (ii) the date of the application for registration; (iii) the name and address of the proprietor; (iv) the address of the premises; (v) the date of the registration;</w:t>
            </w:r>
          </w:p>
          <w:p w14:paraId="2962CB46" w14:textId="77777777" w:rsidR="008D72BB" w:rsidRDefault="008D72BB" w:rsidP="008D72BB">
            <w:pPr>
              <w:spacing w:after="0"/>
              <w:contextualSpacing/>
            </w:pPr>
          </w:p>
          <w:p w14:paraId="4E1D014A" w14:textId="3124D05B" w:rsidR="008D72BB" w:rsidRDefault="008D72BB" w:rsidP="008D72BB">
            <w:pPr>
              <w:spacing w:after="0"/>
              <w:contextualSpacing/>
            </w:pPr>
            <w:r>
              <w:t xml:space="preserve">(b) </w:t>
            </w:r>
            <w:r w:rsidRPr="00172771">
              <w:rPr>
                <w:i/>
              </w:rPr>
              <w:t xml:space="preserve">for an application to </w:t>
            </w:r>
            <w:r w:rsidRPr="00514507">
              <w:rPr>
                <w:b/>
                <w:i/>
              </w:rPr>
              <w:t>renew</w:t>
            </w:r>
            <w:r w:rsidRPr="00172771">
              <w:rPr>
                <w:i/>
              </w:rPr>
              <w:t xml:space="preserve"> </w:t>
            </w:r>
            <w:r>
              <w:rPr>
                <w:i/>
              </w:rPr>
              <w:t xml:space="preserve">a </w:t>
            </w:r>
            <w:r w:rsidRPr="00172771">
              <w:rPr>
                <w:i/>
              </w:rPr>
              <w:t>registration of prescribed accommodation</w:t>
            </w:r>
            <w:r>
              <w:t xml:space="preserve">: (i) the date of renewal; (ii) any conditions on the grant of registration or renewal; </w:t>
            </w:r>
          </w:p>
          <w:p w14:paraId="49C74AF3" w14:textId="77777777" w:rsidR="008D72BB" w:rsidRDefault="008D72BB" w:rsidP="008D72BB">
            <w:pPr>
              <w:spacing w:after="0"/>
              <w:contextualSpacing/>
            </w:pPr>
          </w:p>
          <w:p w14:paraId="3D3DB0B6" w14:textId="6C59FE82" w:rsidR="008D72BB" w:rsidRDefault="008D72BB" w:rsidP="008D72BB">
            <w:pPr>
              <w:spacing w:after="0"/>
              <w:contextualSpacing/>
            </w:pPr>
            <w:r>
              <w:t xml:space="preserve">(c) </w:t>
            </w:r>
            <w:r w:rsidRPr="00172771">
              <w:rPr>
                <w:i/>
              </w:rPr>
              <w:t xml:space="preserve">for an application to </w:t>
            </w:r>
            <w:r w:rsidRPr="00514507">
              <w:rPr>
                <w:b/>
                <w:i/>
              </w:rPr>
              <w:t>transfer</w:t>
            </w:r>
            <w:r w:rsidRPr="00172771">
              <w:rPr>
                <w:i/>
              </w:rPr>
              <w:t xml:space="preserve"> the registration of prescribed accommodation:</w:t>
            </w:r>
            <w:r>
              <w:t xml:space="preserve"> (i) the date of transfer of registration; (ii) the name and address of the person to whom the registration is transferred; (iii) the address of the premises to which the registration is transferred; </w:t>
            </w:r>
          </w:p>
        </w:tc>
      </w:tr>
      <w:tr w:rsidR="008D72BB" w14:paraId="56D7FB24" w14:textId="77777777" w:rsidTr="009E0DFE">
        <w:trPr>
          <w:trHeight w:val="462"/>
        </w:trPr>
        <w:tc>
          <w:tcPr>
            <w:tcW w:w="496" w:type="pct"/>
            <w:tcBorders>
              <w:top w:val="single" w:sz="4" w:space="0" w:color="000000" w:themeColor="text1"/>
              <w:left w:val="nil"/>
              <w:bottom w:val="single" w:sz="4" w:space="0" w:color="000000" w:themeColor="text1"/>
              <w:right w:val="nil"/>
            </w:tcBorders>
          </w:tcPr>
          <w:p w14:paraId="5DE919BC" w14:textId="77777777" w:rsidR="008D72BB" w:rsidRDefault="008D72BB" w:rsidP="008D72BB">
            <w:pPr>
              <w:spacing w:after="0"/>
              <w:contextualSpacing/>
              <w:rPr>
                <w:rFonts w:asciiTheme="minorHAnsi" w:hAnsiTheme="minorHAnsi"/>
                <w:color w:val="000000" w:themeColor="text1"/>
                <w:lang w:val="en-GB"/>
              </w:rPr>
            </w:pPr>
            <w:r>
              <w:rPr>
                <w:rFonts w:asciiTheme="minorHAnsi" w:hAnsiTheme="minorHAnsi"/>
                <w:color w:val="000000" w:themeColor="text1"/>
                <w:lang w:val="en-GB"/>
              </w:rPr>
              <w:t xml:space="preserve">Part 5 Division 2 </w:t>
            </w:r>
            <w:r>
              <w:rPr>
                <w:rFonts w:asciiTheme="minorHAnsi" w:hAnsiTheme="minorHAnsi"/>
                <w:color w:val="000000" w:themeColor="text1"/>
                <w:lang w:val="en-GB"/>
              </w:rPr>
              <w:lastRenderedPageBreak/>
              <w:t>regulation 17</w:t>
            </w:r>
          </w:p>
        </w:tc>
        <w:tc>
          <w:tcPr>
            <w:tcW w:w="922" w:type="pct"/>
            <w:tcBorders>
              <w:top w:val="single" w:sz="4" w:space="0" w:color="000000" w:themeColor="text1"/>
              <w:left w:val="nil"/>
              <w:bottom w:val="single" w:sz="4" w:space="0" w:color="000000" w:themeColor="text1"/>
              <w:right w:val="nil"/>
            </w:tcBorders>
          </w:tcPr>
          <w:p w14:paraId="528D2999" w14:textId="77777777" w:rsidR="008D72BB" w:rsidRPr="00172771" w:rsidRDefault="008D72BB" w:rsidP="009E0DFE">
            <w:pPr>
              <w:spacing w:after="0"/>
              <w:ind w:left="144"/>
              <w:contextualSpacing/>
              <w:rPr>
                <w:rFonts w:asciiTheme="minorHAnsi" w:hAnsiTheme="minorHAnsi"/>
                <w:color w:val="000000" w:themeColor="text1"/>
                <w:lang w:val="en-GB"/>
              </w:rPr>
            </w:pPr>
            <w:r>
              <w:lastRenderedPageBreak/>
              <w:t xml:space="preserve">Overcrowding in prescribed </w:t>
            </w:r>
            <w:r>
              <w:lastRenderedPageBreak/>
              <w:t>accommodation: Rules for proprietor of prescribed accommodation</w:t>
            </w:r>
          </w:p>
        </w:tc>
        <w:tc>
          <w:tcPr>
            <w:tcW w:w="3581" w:type="pct"/>
            <w:tcBorders>
              <w:top w:val="single" w:sz="4" w:space="0" w:color="000000" w:themeColor="text1"/>
              <w:left w:val="nil"/>
              <w:bottom w:val="single" w:sz="4" w:space="0" w:color="000000" w:themeColor="text1"/>
              <w:right w:val="nil"/>
            </w:tcBorders>
          </w:tcPr>
          <w:p w14:paraId="0C81BD6F" w14:textId="77777777" w:rsidR="008D72BB" w:rsidRDefault="008D72BB" w:rsidP="008D72BB">
            <w:pPr>
              <w:spacing w:after="0"/>
              <w:contextualSpacing/>
            </w:pPr>
            <w:r>
              <w:lastRenderedPageBreak/>
              <w:t>A proprietor of prescribed accommodation:</w:t>
            </w:r>
          </w:p>
          <w:p w14:paraId="684CFF8C" w14:textId="77777777" w:rsidR="008D72BB" w:rsidRDefault="008D72BB" w:rsidP="008D72BB">
            <w:pPr>
              <w:spacing w:after="0"/>
              <w:contextualSpacing/>
            </w:pPr>
            <w:r>
              <w:lastRenderedPageBreak/>
              <w:t>(1) must comply with this regulation in relation to the maximum number of persons permitted to be accommodated in each bedroom in the prescribed accommodation (20 PU)</w:t>
            </w:r>
          </w:p>
          <w:p w14:paraId="6CF48ED9" w14:textId="77777777" w:rsidR="008D72BB" w:rsidRDefault="008D72BB" w:rsidP="008D72BB">
            <w:pPr>
              <w:spacing w:after="0"/>
              <w:contextualSpacing/>
            </w:pPr>
            <w:r>
              <w:t>(2) must not permit a room in the prescribed accommodation to be used as a bedroom if it has a floor area of less than 7·5 square metres (20 PU)</w:t>
            </w:r>
          </w:p>
          <w:p w14:paraId="7D1917BC" w14:textId="77777777" w:rsidR="008D72BB" w:rsidRDefault="008D72BB" w:rsidP="008D72BB">
            <w:pPr>
              <w:spacing w:after="0"/>
              <w:contextualSpacing/>
            </w:pPr>
          </w:p>
          <w:p w14:paraId="46B07FB5" w14:textId="77777777" w:rsidR="008D72BB" w:rsidRDefault="008D72BB" w:rsidP="008D72BB">
            <w:pPr>
              <w:spacing w:after="0"/>
              <w:contextualSpacing/>
            </w:pPr>
            <w:r>
              <w:t xml:space="preserve">(3) If persons are accommodated in prescribed accommodation for a period of </w:t>
            </w:r>
            <w:r w:rsidRPr="008009AE">
              <w:rPr>
                <w:b/>
              </w:rPr>
              <w:t>more than 31 days</w:t>
            </w:r>
            <w:r>
              <w:t>, the maximum number of persons permitted to occupy a bedroom after 30 days is:</w:t>
            </w:r>
          </w:p>
          <w:p w14:paraId="7C2018B1" w14:textId="5385BE0E" w:rsidR="008D72BB" w:rsidRDefault="008D72BB" w:rsidP="008D72BB">
            <w:pPr>
              <w:spacing w:after="0"/>
              <w:ind w:left="1304"/>
              <w:contextualSpacing/>
              <w:rPr>
                <w:rFonts w:eastAsiaTheme="minorEastAsia"/>
              </w:rPr>
            </w:pPr>
            <w:r>
              <w:t>(a) one person if bedroom with a floor area less than 12</w:t>
            </w:r>
            <m:oMath>
              <m:sSup>
                <m:sSupPr>
                  <m:ctrlPr>
                    <w:rPr>
                      <w:rFonts w:ascii="Cambria Math" w:hAnsi="Cambria Math"/>
                      <w:i/>
                    </w:rPr>
                  </m:ctrlPr>
                </m:sSupPr>
                <m:e>
                  <m:r>
                    <w:rPr>
                      <w:rFonts w:ascii="Cambria Math" w:hAnsi="Cambria Math"/>
                    </w:rPr>
                    <m:t>m</m:t>
                  </m:r>
                </m:e>
                <m:sup>
                  <m:r>
                    <w:rPr>
                      <w:rFonts w:ascii="Cambria Math" w:hAnsi="Cambria Math"/>
                    </w:rPr>
                    <m:t>2</m:t>
                  </m:r>
                </m:sup>
              </m:sSup>
            </m:oMath>
            <w:r>
              <w:rPr>
                <w:rFonts w:eastAsiaTheme="minorEastAsia"/>
              </w:rPr>
              <w:t xml:space="preserve"> </w:t>
            </w:r>
          </w:p>
          <w:p w14:paraId="76604B9D" w14:textId="4CD9109A" w:rsidR="008D72BB" w:rsidRDefault="008D72BB" w:rsidP="008D72BB">
            <w:pPr>
              <w:spacing w:after="0"/>
              <w:ind w:left="1304"/>
              <w:contextualSpacing/>
              <w:rPr>
                <w:rFonts w:eastAsiaTheme="minorEastAsia"/>
              </w:rPr>
            </w:pPr>
            <w:r>
              <w:rPr>
                <w:rFonts w:eastAsiaTheme="minorEastAsia"/>
              </w:rPr>
              <w:t>(b) 2 people for a bedroom with a floor area of 12</w:t>
            </w:r>
            <m:oMath>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w:r>
              <w:rPr>
                <w:rFonts w:eastAsiaTheme="minorEastAsia"/>
              </w:rPr>
              <w:t xml:space="preserve"> or more, and an additional person for every 4</w:t>
            </w:r>
            <m:oMath>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w:r>
              <w:rPr>
                <w:rFonts w:eastAsiaTheme="minorEastAsia"/>
              </w:rPr>
              <w:t xml:space="preserve"> that exceeds the floor area of 12</w:t>
            </w:r>
            <m:oMath>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w:p>
          <w:p w14:paraId="6741B60D" w14:textId="77777777" w:rsidR="008D72BB" w:rsidRDefault="008D72BB" w:rsidP="008D72BB">
            <w:pPr>
              <w:spacing w:after="0"/>
              <w:ind w:left="1304"/>
              <w:contextualSpacing/>
              <w:rPr>
                <w:rFonts w:eastAsiaTheme="minorEastAsia"/>
              </w:rPr>
            </w:pPr>
          </w:p>
          <w:p w14:paraId="5EF1FFD7" w14:textId="77777777" w:rsidR="008D72BB" w:rsidRDefault="008D72BB" w:rsidP="008D72BB">
            <w:pPr>
              <w:spacing w:after="0"/>
              <w:contextualSpacing/>
              <w:rPr>
                <w:rFonts w:eastAsiaTheme="minorEastAsia"/>
              </w:rPr>
            </w:pPr>
            <w:r>
              <w:rPr>
                <w:rFonts w:eastAsiaTheme="minorEastAsia"/>
              </w:rPr>
              <w:t xml:space="preserve">(4) </w:t>
            </w:r>
            <w:r w:rsidRPr="008009AE">
              <w:rPr>
                <w:rFonts w:eastAsiaTheme="minorEastAsia"/>
              </w:rPr>
              <w:t>If persons are accommodated in prescribed</w:t>
            </w:r>
            <w:r>
              <w:rPr>
                <w:rFonts w:eastAsiaTheme="minorEastAsia"/>
              </w:rPr>
              <w:t xml:space="preserve"> </w:t>
            </w:r>
            <w:r w:rsidRPr="008009AE">
              <w:rPr>
                <w:rFonts w:eastAsiaTheme="minorEastAsia"/>
              </w:rPr>
              <w:t>accommodation, other than a holiday camp, for a</w:t>
            </w:r>
            <w:r>
              <w:rPr>
                <w:rFonts w:eastAsiaTheme="minorEastAsia"/>
              </w:rPr>
              <w:t xml:space="preserve"> </w:t>
            </w:r>
            <w:r w:rsidRPr="008009AE">
              <w:rPr>
                <w:rFonts w:eastAsiaTheme="minorEastAsia"/>
              </w:rPr>
              <w:t xml:space="preserve">period of </w:t>
            </w:r>
            <w:r w:rsidRPr="008009AE">
              <w:rPr>
                <w:rFonts w:eastAsiaTheme="minorEastAsia"/>
                <w:b/>
              </w:rPr>
              <w:t>31 days or less</w:t>
            </w:r>
            <w:r w:rsidRPr="008009AE">
              <w:rPr>
                <w:rFonts w:eastAsiaTheme="minorEastAsia"/>
              </w:rPr>
              <w:t>, the maximum number of</w:t>
            </w:r>
            <w:r>
              <w:rPr>
                <w:rFonts w:eastAsiaTheme="minorEastAsia"/>
              </w:rPr>
              <w:t xml:space="preserve"> </w:t>
            </w:r>
            <w:r w:rsidRPr="008009AE">
              <w:rPr>
                <w:rFonts w:eastAsiaTheme="minorEastAsia"/>
              </w:rPr>
              <w:t>persons permitted to occupy a bedroom is—</w:t>
            </w:r>
          </w:p>
          <w:p w14:paraId="04F0C342" w14:textId="77777777" w:rsidR="008D72BB" w:rsidRDefault="008D72BB" w:rsidP="008D72BB">
            <w:pPr>
              <w:spacing w:after="0"/>
              <w:ind w:left="1304"/>
              <w:contextualSpacing/>
              <w:rPr>
                <w:rFonts w:eastAsiaTheme="minorEastAsia"/>
              </w:rPr>
            </w:pPr>
            <w:r>
              <w:rPr>
                <w:rFonts w:eastAsiaTheme="minorEastAsia"/>
              </w:rPr>
              <w:t>(a) 2 people for a bedroom with a floor area of less than 10</w:t>
            </w:r>
            <m:oMath>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w:p>
          <w:p w14:paraId="237F80E3" w14:textId="77777777" w:rsidR="008D72BB" w:rsidRDefault="008D72BB" w:rsidP="008D72BB">
            <w:pPr>
              <w:spacing w:after="0"/>
              <w:ind w:left="1304"/>
              <w:contextualSpacing/>
              <w:rPr>
                <w:rFonts w:eastAsiaTheme="minorEastAsia"/>
              </w:rPr>
            </w:pPr>
            <w:r>
              <w:rPr>
                <w:rFonts w:eastAsiaTheme="minorEastAsia"/>
              </w:rPr>
              <w:t>(b) 3 people for a bedroom with a floor area of 10</w:t>
            </w:r>
            <m:oMath>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w:r>
              <w:rPr>
                <w:rFonts w:eastAsiaTheme="minorEastAsia"/>
              </w:rPr>
              <w:t xml:space="preserve"> or more, and an additional person for every 2</w:t>
            </w:r>
            <m:oMath>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w:r>
              <w:rPr>
                <w:rFonts w:eastAsiaTheme="minorEastAsia"/>
              </w:rPr>
              <w:t xml:space="preserve"> that exceeds 10</w:t>
            </w:r>
            <m:oMath>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w:r>
              <w:rPr>
                <w:rFonts w:eastAsiaTheme="minorEastAsia"/>
              </w:rPr>
              <w:t xml:space="preserve"> of floor area</w:t>
            </w:r>
          </w:p>
          <w:p w14:paraId="6D8049FF" w14:textId="77777777" w:rsidR="008D72BB" w:rsidRDefault="008D72BB" w:rsidP="008D72BB">
            <w:pPr>
              <w:spacing w:after="0"/>
              <w:contextualSpacing/>
              <w:rPr>
                <w:rFonts w:eastAsiaTheme="minorEastAsia"/>
              </w:rPr>
            </w:pPr>
          </w:p>
          <w:p w14:paraId="6DA3AB0D" w14:textId="306BCAD8" w:rsidR="008D72BB" w:rsidRDefault="008D72BB" w:rsidP="008D72BB">
            <w:pPr>
              <w:spacing w:after="0"/>
              <w:contextualSpacing/>
              <w:rPr>
                <w:rFonts w:eastAsiaTheme="minorEastAsia"/>
              </w:rPr>
            </w:pPr>
            <w:r>
              <w:rPr>
                <w:rFonts w:eastAsiaTheme="minorEastAsia"/>
              </w:rPr>
              <w:t xml:space="preserve">(5) </w:t>
            </w:r>
            <w:r w:rsidR="002301D4">
              <w:rPr>
                <w:rFonts w:eastAsiaTheme="minorEastAsia"/>
              </w:rPr>
              <w:t>Subject to sub</w:t>
            </w:r>
            <w:r w:rsidR="00C15403">
              <w:rPr>
                <w:rFonts w:eastAsiaTheme="minorEastAsia"/>
              </w:rPr>
              <w:t>-</w:t>
            </w:r>
            <w:r w:rsidR="002301D4">
              <w:rPr>
                <w:rFonts w:eastAsiaTheme="minorEastAsia"/>
              </w:rPr>
              <w:t>regulation (2) a</w:t>
            </w:r>
            <w:r w:rsidRPr="00DD4615">
              <w:rPr>
                <w:rFonts w:eastAsiaTheme="minorEastAsia"/>
              </w:rPr>
              <w:t xml:space="preserve"> proprietor of a</w:t>
            </w:r>
            <w:r>
              <w:rPr>
                <w:rFonts w:eastAsiaTheme="minorEastAsia"/>
              </w:rPr>
              <w:t xml:space="preserve"> </w:t>
            </w:r>
            <w:r w:rsidRPr="00DD4615">
              <w:rPr>
                <w:rFonts w:eastAsiaTheme="minorEastAsia"/>
              </w:rPr>
              <w:t>holiday camp must provide at least 2 square</w:t>
            </w:r>
            <w:r>
              <w:rPr>
                <w:rFonts w:eastAsiaTheme="minorEastAsia"/>
              </w:rPr>
              <w:t xml:space="preserve"> </w:t>
            </w:r>
            <w:r w:rsidRPr="00DD4615">
              <w:rPr>
                <w:rFonts w:eastAsiaTheme="minorEastAsia"/>
              </w:rPr>
              <w:t>metres of floor area in a bedroom for each person</w:t>
            </w:r>
            <w:r>
              <w:rPr>
                <w:rFonts w:eastAsiaTheme="minorEastAsia"/>
              </w:rPr>
              <w:t xml:space="preserve"> </w:t>
            </w:r>
            <w:r w:rsidRPr="00DD4615">
              <w:rPr>
                <w:rFonts w:eastAsiaTheme="minorEastAsia"/>
              </w:rPr>
              <w:t>who is accommodated for a period of 31 days or</w:t>
            </w:r>
            <w:r>
              <w:rPr>
                <w:rFonts w:eastAsiaTheme="minorEastAsia"/>
              </w:rPr>
              <w:t xml:space="preserve"> </w:t>
            </w:r>
            <w:r w:rsidRPr="00DD4615">
              <w:rPr>
                <w:rFonts w:eastAsiaTheme="minorEastAsia"/>
              </w:rPr>
              <w:t>less.</w:t>
            </w:r>
            <w:r w:rsidRPr="00DD4615">
              <w:rPr>
                <w:rFonts w:eastAsiaTheme="minorEastAsia"/>
              </w:rPr>
              <w:cr/>
            </w:r>
          </w:p>
          <w:p w14:paraId="3AE615D2" w14:textId="326D404E" w:rsidR="008D72BB" w:rsidRPr="00DD4615" w:rsidRDefault="008D72BB" w:rsidP="008D72BB">
            <w:pPr>
              <w:spacing w:after="0"/>
              <w:contextualSpacing/>
              <w:rPr>
                <w:rFonts w:eastAsiaTheme="minorEastAsia"/>
              </w:rPr>
            </w:pPr>
            <w:r>
              <w:rPr>
                <w:rFonts w:eastAsiaTheme="minorEastAsia"/>
              </w:rPr>
              <w:t>(6)</w:t>
            </w:r>
            <w:r w:rsidRPr="00DD4615">
              <w:rPr>
                <w:rFonts w:eastAsiaTheme="minorEastAsia"/>
              </w:rPr>
              <w:t xml:space="preserve"> For the purposes of this regulation</w:t>
            </w:r>
            <w:r>
              <w:rPr>
                <w:rFonts w:eastAsiaTheme="minorEastAsia"/>
              </w:rPr>
              <w:t xml:space="preserve">: </w:t>
            </w:r>
            <w:r w:rsidRPr="00DD4615">
              <w:rPr>
                <w:rFonts w:eastAsiaTheme="minorEastAsia"/>
              </w:rPr>
              <w:t>(a) one child under the age of 3 years is not</w:t>
            </w:r>
            <w:r>
              <w:rPr>
                <w:rFonts w:eastAsiaTheme="minorEastAsia"/>
              </w:rPr>
              <w:t xml:space="preserve"> </w:t>
            </w:r>
            <w:r w:rsidRPr="00DD4615">
              <w:rPr>
                <w:rFonts w:eastAsiaTheme="minorEastAsia"/>
              </w:rPr>
              <w:t>counted as a person;</w:t>
            </w:r>
            <w:r>
              <w:rPr>
                <w:rFonts w:eastAsiaTheme="minorEastAsia"/>
              </w:rPr>
              <w:t xml:space="preserve"> but </w:t>
            </w:r>
            <w:r w:rsidRPr="00DD4615">
              <w:rPr>
                <w:rFonts w:eastAsiaTheme="minorEastAsia"/>
              </w:rPr>
              <w:t>(b) two children under the age of 3 years are</w:t>
            </w:r>
            <w:r>
              <w:rPr>
                <w:rFonts w:eastAsiaTheme="minorEastAsia"/>
              </w:rPr>
              <w:t xml:space="preserve"> </w:t>
            </w:r>
            <w:r w:rsidRPr="00DD4615">
              <w:rPr>
                <w:rFonts w:eastAsiaTheme="minorEastAsia"/>
              </w:rPr>
              <w:t>counted as one person;</w:t>
            </w:r>
          </w:p>
          <w:p w14:paraId="27DFFC1F" w14:textId="77777777" w:rsidR="008D72BB" w:rsidRPr="00DD4615" w:rsidRDefault="008D72BB" w:rsidP="008D72BB">
            <w:pPr>
              <w:spacing w:after="0"/>
              <w:contextualSpacing/>
              <w:rPr>
                <w:rFonts w:eastAsiaTheme="minorEastAsia"/>
              </w:rPr>
            </w:pPr>
            <w:r w:rsidRPr="00DD4615">
              <w:rPr>
                <w:rFonts w:eastAsiaTheme="minorEastAsia"/>
              </w:rPr>
              <w:t>(c) floor area includes the area occupied by any</w:t>
            </w:r>
            <w:r>
              <w:rPr>
                <w:rFonts w:eastAsiaTheme="minorEastAsia"/>
              </w:rPr>
              <w:t xml:space="preserve"> </w:t>
            </w:r>
            <w:r w:rsidRPr="00DD4615">
              <w:rPr>
                <w:rFonts w:eastAsiaTheme="minorEastAsia"/>
              </w:rPr>
              <w:t>cupboard or other built-in furniture, fixture</w:t>
            </w:r>
            <w:r>
              <w:rPr>
                <w:rFonts w:eastAsiaTheme="minorEastAsia"/>
              </w:rPr>
              <w:t xml:space="preserve"> </w:t>
            </w:r>
            <w:r w:rsidRPr="00DD4615">
              <w:rPr>
                <w:rFonts w:eastAsiaTheme="minorEastAsia"/>
              </w:rPr>
              <w:t>or fitting but does not include any area</w:t>
            </w:r>
            <w:r>
              <w:rPr>
                <w:rFonts w:eastAsiaTheme="minorEastAsia"/>
              </w:rPr>
              <w:t xml:space="preserve"> </w:t>
            </w:r>
            <w:r w:rsidRPr="00DD4615">
              <w:rPr>
                <w:rFonts w:eastAsiaTheme="minorEastAsia"/>
              </w:rPr>
              <w:t>occupied by any bathroom or toilet in, or</w:t>
            </w:r>
            <w:r>
              <w:rPr>
                <w:rFonts w:eastAsiaTheme="minorEastAsia"/>
              </w:rPr>
              <w:t xml:space="preserve"> attached to, the bedroom.</w:t>
            </w:r>
          </w:p>
        </w:tc>
      </w:tr>
      <w:tr w:rsidR="008D72BB" w14:paraId="2E4CFE02" w14:textId="77777777" w:rsidTr="009E0DFE">
        <w:trPr>
          <w:trHeight w:val="462"/>
        </w:trPr>
        <w:tc>
          <w:tcPr>
            <w:tcW w:w="496" w:type="pct"/>
            <w:tcBorders>
              <w:top w:val="single" w:sz="4" w:space="0" w:color="000000" w:themeColor="text1"/>
              <w:left w:val="nil"/>
              <w:bottom w:val="single" w:sz="4" w:space="0" w:color="000000" w:themeColor="text1"/>
              <w:right w:val="nil"/>
            </w:tcBorders>
          </w:tcPr>
          <w:p w14:paraId="36CA71AA" w14:textId="77777777" w:rsidR="008D72BB" w:rsidRDefault="008D72BB" w:rsidP="008D72BB">
            <w:pPr>
              <w:spacing w:after="0"/>
              <w:contextualSpacing/>
              <w:rPr>
                <w:rFonts w:asciiTheme="minorHAnsi" w:hAnsiTheme="minorHAnsi"/>
                <w:color w:val="000000" w:themeColor="text1"/>
                <w:lang w:val="en-GB"/>
              </w:rPr>
            </w:pPr>
            <w:r>
              <w:rPr>
                <w:rFonts w:asciiTheme="minorHAnsi" w:hAnsiTheme="minorHAnsi"/>
                <w:color w:val="000000" w:themeColor="text1"/>
                <w:lang w:val="en-GB"/>
              </w:rPr>
              <w:lastRenderedPageBreak/>
              <w:t>Part 5 Division 2 regulation 17A</w:t>
            </w:r>
          </w:p>
        </w:tc>
        <w:tc>
          <w:tcPr>
            <w:tcW w:w="922" w:type="pct"/>
            <w:tcBorders>
              <w:top w:val="single" w:sz="4" w:space="0" w:color="000000" w:themeColor="text1"/>
              <w:left w:val="nil"/>
              <w:bottom w:val="single" w:sz="4" w:space="0" w:color="000000" w:themeColor="text1"/>
              <w:right w:val="nil"/>
            </w:tcBorders>
          </w:tcPr>
          <w:p w14:paraId="0F775B94" w14:textId="77777777" w:rsidR="008D72BB" w:rsidRDefault="008D72BB" w:rsidP="009E0DFE">
            <w:pPr>
              <w:spacing w:after="0"/>
              <w:ind w:left="144"/>
              <w:contextualSpacing/>
            </w:pPr>
            <w:r>
              <w:t>Overcrowding in prescribed accommodation: Cultural heritage exemptions</w:t>
            </w:r>
          </w:p>
        </w:tc>
        <w:tc>
          <w:tcPr>
            <w:tcW w:w="3581" w:type="pct"/>
            <w:tcBorders>
              <w:top w:val="single" w:sz="4" w:space="0" w:color="000000" w:themeColor="text1"/>
              <w:left w:val="nil"/>
              <w:bottom w:val="single" w:sz="4" w:space="0" w:color="000000" w:themeColor="text1"/>
              <w:right w:val="nil"/>
            </w:tcBorders>
          </w:tcPr>
          <w:p w14:paraId="710107EB" w14:textId="42A74467" w:rsidR="008D72BB" w:rsidRDefault="008D72BB" w:rsidP="008D72BB">
            <w:pPr>
              <w:spacing w:after="0"/>
              <w:contextualSpacing/>
            </w:pPr>
            <w:r>
              <w:t xml:space="preserve">(1) A proprietor of prescribed accommodation that is a holiday camp is </w:t>
            </w:r>
            <w:r w:rsidRPr="00DD4615">
              <w:rPr>
                <w:b/>
              </w:rPr>
              <w:t>exempted</w:t>
            </w:r>
            <w:r>
              <w:t xml:space="preserve"> from compliance with regulation 17(2) in relation to a building situated on the premises of the holiday camp if (a) council determines that modification of the building to comply with the minimum bedroom size in regulation 17(2) is inappropriate because it would comprise the building</w:t>
            </w:r>
            <w:r w:rsidR="006B7ED0">
              <w:t>’</w:t>
            </w:r>
            <w:r>
              <w:t xml:space="preserve">s cultural heritage significance and (b) the maximum period for which persons are accommodated in the building is 7 nights. </w:t>
            </w:r>
          </w:p>
          <w:p w14:paraId="541BA927" w14:textId="77777777" w:rsidR="008D72BB" w:rsidRDefault="008D72BB" w:rsidP="008D72BB">
            <w:pPr>
              <w:spacing w:after="0"/>
              <w:contextualSpacing/>
            </w:pPr>
            <w:r>
              <w:t>(2) A Council may determine a building to be of cultural heritage significance if the building:</w:t>
            </w:r>
          </w:p>
          <w:p w14:paraId="44351CA0" w14:textId="77777777" w:rsidR="008D72BB" w:rsidRDefault="008D72BB" w:rsidP="00C16490">
            <w:pPr>
              <w:pStyle w:val="ListParagraph"/>
              <w:numPr>
                <w:ilvl w:val="0"/>
                <w:numId w:val="18"/>
              </w:numPr>
              <w:spacing w:after="0"/>
            </w:pPr>
            <w:r>
              <w:t xml:space="preserve">Is subject to a heritage overlay in the planning scheme </w:t>
            </w:r>
          </w:p>
          <w:p w14:paraId="44980FB3" w14:textId="77777777" w:rsidR="008D72BB" w:rsidRDefault="008D72BB" w:rsidP="00C16490">
            <w:pPr>
              <w:pStyle w:val="ListParagraph"/>
              <w:numPr>
                <w:ilvl w:val="0"/>
                <w:numId w:val="18"/>
              </w:numPr>
              <w:spacing w:after="0"/>
            </w:pPr>
            <w:r>
              <w:t>Is included on the Heritage Register</w:t>
            </w:r>
          </w:p>
          <w:p w14:paraId="189F1D3F" w14:textId="77777777" w:rsidR="008D72BB" w:rsidRDefault="008D72BB" w:rsidP="00C16490">
            <w:pPr>
              <w:pStyle w:val="ListParagraph"/>
              <w:numPr>
                <w:ilvl w:val="0"/>
                <w:numId w:val="18"/>
              </w:numPr>
              <w:spacing w:after="0"/>
            </w:pPr>
            <w:r>
              <w:t>Is included on the Commonwealth Heritage List or the National Heritage List OR</w:t>
            </w:r>
          </w:p>
          <w:p w14:paraId="2B31BDD9" w14:textId="77777777" w:rsidR="008D72BB" w:rsidRDefault="008D72BB" w:rsidP="00C16490">
            <w:pPr>
              <w:pStyle w:val="ListParagraph"/>
              <w:numPr>
                <w:ilvl w:val="0"/>
                <w:numId w:val="18"/>
              </w:numPr>
              <w:spacing w:after="0"/>
            </w:pPr>
            <w:r>
              <w:t>the Council has had regard to a heritage study that considers the building</w:t>
            </w:r>
          </w:p>
        </w:tc>
      </w:tr>
      <w:tr w:rsidR="008D72BB" w14:paraId="31385591" w14:textId="77777777" w:rsidTr="009E0DFE">
        <w:trPr>
          <w:trHeight w:val="462"/>
        </w:trPr>
        <w:tc>
          <w:tcPr>
            <w:tcW w:w="496" w:type="pct"/>
            <w:tcBorders>
              <w:top w:val="single" w:sz="4" w:space="0" w:color="000000" w:themeColor="text1"/>
              <w:left w:val="nil"/>
              <w:bottom w:val="single" w:sz="4" w:space="0" w:color="000000" w:themeColor="text1"/>
              <w:right w:val="nil"/>
            </w:tcBorders>
          </w:tcPr>
          <w:p w14:paraId="5AB953D7" w14:textId="1E1A6358" w:rsidR="008D72BB" w:rsidRDefault="008D72BB" w:rsidP="008D72BB">
            <w:pPr>
              <w:spacing w:after="0"/>
              <w:contextualSpacing/>
              <w:rPr>
                <w:rFonts w:asciiTheme="minorHAnsi" w:hAnsiTheme="minorHAnsi"/>
                <w:color w:val="000000" w:themeColor="text1"/>
                <w:lang w:val="en-GB"/>
              </w:rPr>
            </w:pPr>
            <w:r>
              <w:rPr>
                <w:rFonts w:asciiTheme="minorHAnsi" w:hAnsiTheme="minorHAnsi"/>
                <w:color w:val="000000" w:themeColor="text1"/>
                <w:lang w:val="en-GB"/>
              </w:rPr>
              <w:t>Part 5 Division 2 regulation 18 &amp;</w:t>
            </w:r>
            <w:r w:rsidR="00077EEA">
              <w:rPr>
                <w:rFonts w:asciiTheme="minorHAnsi" w:hAnsiTheme="minorHAnsi"/>
                <w:color w:val="000000" w:themeColor="text1"/>
                <w:lang w:val="en-GB"/>
              </w:rPr>
              <w:t xml:space="preserve"> </w:t>
            </w:r>
            <w:r>
              <w:rPr>
                <w:rFonts w:asciiTheme="minorHAnsi" w:hAnsiTheme="minorHAnsi"/>
                <w:color w:val="000000" w:themeColor="text1"/>
                <w:lang w:val="en-GB"/>
              </w:rPr>
              <w:t>19</w:t>
            </w:r>
          </w:p>
        </w:tc>
        <w:tc>
          <w:tcPr>
            <w:tcW w:w="922" w:type="pct"/>
            <w:tcBorders>
              <w:top w:val="single" w:sz="4" w:space="0" w:color="000000" w:themeColor="text1"/>
              <w:left w:val="nil"/>
              <w:bottom w:val="single" w:sz="4" w:space="0" w:color="000000" w:themeColor="text1"/>
              <w:right w:val="nil"/>
            </w:tcBorders>
          </w:tcPr>
          <w:p w14:paraId="12D23307" w14:textId="77777777" w:rsidR="008D72BB" w:rsidRDefault="008D72BB" w:rsidP="009E0DFE">
            <w:pPr>
              <w:spacing w:after="0"/>
              <w:ind w:left="144"/>
              <w:contextualSpacing/>
            </w:pPr>
            <w:r>
              <w:t xml:space="preserve">Maintenance and cleanliness of prescribed accommodation: </w:t>
            </w:r>
            <w:r>
              <w:lastRenderedPageBreak/>
              <w:t>Proprietor responsibilities</w:t>
            </w:r>
          </w:p>
        </w:tc>
        <w:tc>
          <w:tcPr>
            <w:tcW w:w="3581" w:type="pct"/>
            <w:tcBorders>
              <w:top w:val="single" w:sz="4" w:space="0" w:color="000000" w:themeColor="text1"/>
              <w:left w:val="nil"/>
              <w:bottom w:val="single" w:sz="4" w:space="0" w:color="000000" w:themeColor="text1"/>
              <w:right w:val="nil"/>
            </w:tcBorders>
          </w:tcPr>
          <w:p w14:paraId="24FC57CE" w14:textId="77777777" w:rsidR="008D72BB" w:rsidRDefault="008D72BB" w:rsidP="008D72BB">
            <w:pPr>
              <w:spacing w:after="0"/>
              <w:contextualSpacing/>
            </w:pPr>
            <w:r>
              <w:lastRenderedPageBreak/>
              <w:t xml:space="preserve">A proprietor of prescribed accommodation must - </w:t>
            </w:r>
          </w:p>
          <w:p w14:paraId="7FC13F84" w14:textId="055B4786" w:rsidR="008D72BB" w:rsidRDefault="008D72BB" w:rsidP="008D72BB">
            <w:pPr>
              <w:spacing w:after="0"/>
              <w:contextualSpacing/>
            </w:pPr>
            <w:r>
              <w:t xml:space="preserve">Reg18: </w:t>
            </w:r>
            <w:r w:rsidRPr="00621794">
              <w:t>maintain the prescribed accommodation</w:t>
            </w:r>
            <w:r>
              <w:t xml:space="preserve"> and all bedrooms, toilets, bathrooms, laundries, kitchens, living rooms and any common areas provided with the accommodation – (a) in good working order, </w:t>
            </w:r>
            <w:r w:rsidR="00A26C53">
              <w:t>(b)</w:t>
            </w:r>
            <w:r>
              <w:t xml:space="preserve"> in a </w:t>
            </w:r>
            <w:r>
              <w:lastRenderedPageBreak/>
              <w:t>clean, sanitary and hygienic condition and (c) in a good state of repair. PU=20</w:t>
            </w:r>
          </w:p>
          <w:p w14:paraId="33AEA84F" w14:textId="77777777" w:rsidR="008D72BB" w:rsidRDefault="008D72BB" w:rsidP="008D72BB">
            <w:pPr>
              <w:spacing w:after="0"/>
              <w:contextualSpacing/>
            </w:pPr>
          </w:p>
          <w:p w14:paraId="4E7BB431" w14:textId="0C0BBEA5" w:rsidR="008D72BB" w:rsidRDefault="008D72BB" w:rsidP="008D72BB">
            <w:pPr>
              <w:spacing w:after="0"/>
              <w:contextualSpacing/>
            </w:pPr>
            <w:r>
              <w:t>Reg</w:t>
            </w:r>
            <w:r w:rsidR="00590C51">
              <w:t>ulation 19</w:t>
            </w:r>
            <w:r>
              <w:t xml:space="preserve">(1) … ensure that each bedroom and any toilet or bathroom attached to the bedroom is cleaned after the bedroom is vacated and before its re-use by another occupier and </w:t>
            </w:r>
          </w:p>
          <w:p w14:paraId="7ABC9F4D" w14:textId="5A1A67DA" w:rsidR="008D72BB" w:rsidRDefault="00590C51" w:rsidP="008D72BB">
            <w:pPr>
              <w:spacing w:after="0"/>
              <w:contextualSpacing/>
            </w:pPr>
            <w:r>
              <w:t>Regulation 19</w:t>
            </w:r>
            <w:r w:rsidR="008D72BB">
              <w:t>(2) … ensure that all bed linen provided with the accommodation is changed with clean linen (a) at least weekly; and (b) after the accommodation is vacated and before its re-use by another occupier. PU=20</w:t>
            </w:r>
          </w:p>
        </w:tc>
      </w:tr>
      <w:tr w:rsidR="008D72BB" w14:paraId="4EE275D8" w14:textId="77777777" w:rsidTr="009E0DFE">
        <w:trPr>
          <w:trHeight w:val="462"/>
        </w:trPr>
        <w:tc>
          <w:tcPr>
            <w:tcW w:w="496" w:type="pct"/>
            <w:tcBorders>
              <w:top w:val="single" w:sz="4" w:space="0" w:color="000000" w:themeColor="text1"/>
              <w:left w:val="nil"/>
              <w:bottom w:val="single" w:sz="4" w:space="0" w:color="000000" w:themeColor="text1"/>
              <w:right w:val="nil"/>
            </w:tcBorders>
          </w:tcPr>
          <w:p w14:paraId="59377A9C" w14:textId="77777777" w:rsidR="008D72BB" w:rsidRDefault="008D72BB" w:rsidP="008D72BB">
            <w:pPr>
              <w:spacing w:after="0"/>
              <w:contextualSpacing/>
              <w:rPr>
                <w:rFonts w:asciiTheme="minorHAnsi" w:hAnsiTheme="minorHAnsi"/>
                <w:color w:val="000000" w:themeColor="text1"/>
                <w:lang w:val="en-GB"/>
              </w:rPr>
            </w:pPr>
            <w:r>
              <w:rPr>
                <w:rFonts w:asciiTheme="minorHAnsi" w:hAnsiTheme="minorHAnsi"/>
                <w:color w:val="000000" w:themeColor="text1"/>
                <w:lang w:val="en-GB"/>
              </w:rPr>
              <w:lastRenderedPageBreak/>
              <w:t>Part 5 Division 2 regulation 20 &amp;21</w:t>
            </w:r>
          </w:p>
        </w:tc>
        <w:tc>
          <w:tcPr>
            <w:tcW w:w="922" w:type="pct"/>
            <w:tcBorders>
              <w:top w:val="single" w:sz="4" w:space="0" w:color="000000" w:themeColor="text1"/>
              <w:left w:val="nil"/>
              <w:bottom w:val="single" w:sz="4" w:space="0" w:color="000000" w:themeColor="text1"/>
              <w:right w:val="nil"/>
            </w:tcBorders>
          </w:tcPr>
          <w:p w14:paraId="406791D5" w14:textId="77777777" w:rsidR="008D72BB" w:rsidRDefault="008D72BB" w:rsidP="009E0DFE">
            <w:pPr>
              <w:spacing w:after="0"/>
              <w:ind w:left="144"/>
              <w:contextualSpacing/>
            </w:pPr>
            <w:r>
              <w:t>Water and drinking water supplied to prescribed accommodation</w:t>
            </w:r>
          </w:p>
        </w:tc>
        <w:tc>
          <w:tcPr>
            <w:tcW w:w="3581" w:type="pct"/>
            <w:tcBorders>
              <w:top w:val="single" w:sz="4" w:space="0" w:color="000000" w:themeColor="text1"/>
              <w:left w:val="nil"/>
              <w:bottom w:val="single" w:sz="4" w:space="0" w:color="000000" w:themeColor="text1"/>
              <w:right w:val="nil"/>
            </w:tcBorders>
          </w:tcPr>
          <w:p w14:paraId="60526614" w14:textId="77777777" w:rsidR="008D72BB" w:rsidRDefault="008D72BB" w:rsidP="008D72BB">
            <w:pPr>
              <w:spacing w:after="0"/>
              <w:contextualSpacing/>
            </w:pPr>
            <w:r>
              <w:t>A proprietor of prescribed accommodation must -</w:t>
            </w:r>
          </w:p>
          <w:p w14:paraId="5422F4F7" w14:textId="15B0F140" w:rsidR="008D72BB" w:rsidRDefault="008D72BB" w:rsidP="008D72BB">
            <w:pPr>
              <w:spacing w:after="0"/>
              <w:contextualSpacing/>
            </w:pPr>
            <w:r>
              <w:t>Reg</w:t>
            </w:r>
            <w:r w:rsidR="00590C51">
              <w:t>ulation</w:t>
            </w:r>
            <w:r>
              <w:t xml:space="preserve"> 20: </w:t>
            </w:r>
            <w:r w:rsidRPr="00621794">
              <w:t xml:space="preserve">provide </w:t>
            </w:r>
            <w:r w:rsidR="00DD061E">
              <w:t xml:space="preserve">(1) </w:t>
            </w:r>
            <w:r w:rsidRPr="00621794">
              <w:t xml:space="preserve">a continuous and adequate supply of water </w:t>
            </w:r>
            <w:r>
              <w:t xml:space="preserve">to all toilet, bathing, kitchen, laundry and drinking water facilities and </w:t>
            </w:r>
            <w:r w:rsidR="00F71F45">
              <w:t xml:space="preserve">(2) an </w:t>
            </w:r>
            <w:r>
              <w:t>adequate supply of hot water to all bathing, laundry and kitchen facilities. PU=20</w:t>
            </w:r>
          </w:p>
          <w:p w14:paraId="5C1C908E" w14:textId="77777777" w:rsidR="008D72BB" w:rsidRDefault="008D72BB" w:rsidP="008D72BB">
            <w:pPr>
              <w:spacing w:after="0"/>
              <w:contextualSpacing/>
            </w:pPr>
            <w:r>
              <w:t xml:space="preserve">Reg 21: ensure that </w:t>
            </w:r>
            <w:r w:rsidRPr="00621794">
              <w:t>drinking water</w:t>
            </w:r>
            <w:r>
              <w:t xml:space="preserve"> supplied by the proprietor to another person is fit for human consumption if the drinking water was not supplied to the proprietor by a water supplier. PU=20</w:t>
            </w:r>
          </w:p>
        </w:tc>
      </w:tr>
      <w:tr w:rsidR="008D72BB" w14:paraId="46076675" w14:textId="77777777" w:rsidTr="009E0DFE">
        <w:trPr>
          <w:trHeight w:val="462"/>
        </w:trPr>
        <w:tc>
          <w:tcPr>
            <w:tcW w:w="496" w:type="pct"/>
            <w:tcBorders>
              <w:top w:val="single" w:sz="4" w:space="0" w:color="000000" w:themeColor="text1"/>
              <w:left w:val="nil"/>
              <w:bottom w:val="single" w:sz="4" w:space="0" w:color="000000" w:themeColor="text1"/>
              <w:right w:val="nil"/>
            </w:tcBorders>
          </w:tcPr>
          <w:p w14:paraId="60CFCCA3" w14:textId="77777777" w:rsidR="008D72BB" w:rsidRDefault="008D72BB" w:rsidP="008D72BB">
            <w:pPr>
              <w:spacing w:after="0"/>
              <w:contextualSpacing/>
              <w:rPr>
                <w:rFonts w:asciiTheme="minorHAnsi" w:hAnsiTheme="minorHAnsi"/>
                <w:color w:val="000000" w:themeColor="text1"/>
                <w:lang w:val="en-GB"/>
              </w:rPr>
            </w:pPr>
            <w:r>
              <w:rPr>
                <w:rFonts w:asciiTheme="minorHAnsi" w:hAnsiTheme="minorHAnsi"/>
                <w:color w:val="000000" w:themeColor="text1"/>
                <w:lang w:val="en-GB"/>
              </w:rPr>
              <w:t>Part 5 Division 2 regulation 22</w:t>
            </w:r>
          </w:p>
        </w:tc>
        <w:tc>
          <w:tcPr>
            <w:tcW w:w="922" w:type="pct"/>
            <w:tcBorders>
              <w:top w:val="single" w:sz="4" w:space="0" w:color="000000" w:themeColor="text1"/>
              <w:left w:val="nil"/>
              <w:bottom w:val="single" w:sz="4" w:space="0" w:color="000000" w:themeColor="text1"/>
              <w:right w:val="nil"/>
            </w:tcBorders>
          </w:tcPr>
          <w:p w14:paraId="1EEA7C02" w14:textId="77777777" w:rsidR="008D72BB" w:rsidRDefault="008D72BB" w:rsidP="009E0DFE">
            <w:pPr>
              <w:spacing w:after="0"/>
              <w:ind w:left="144"/>
              <w:contextualSpacing/>
            </w:pPr>
            <w:r>
              <w:t>Discharge of sewage and waste water in prescribed accommodation</w:t>
            </w:r>
          </w:p>
        </w:tc>
        <w:tc>
          <w:tcPr>
            <w:tcW w:w="3581" w:type="pct"/>
            <w:tcBorders>
              <w:top w:val="single" w:sz="4" w:space="0" w:color="000000" w:themeColor="text1"/>
              <w:left w:val="nil"/>
              <w:bottom w:val="single" w:sz="4" w:space="0" w:color="000000" w:themeColor="text1"/>
              <w:right w:val="nil"/>
            </w:tcBorders>
          </w:tcPr>
          <w:p w14:paraId="24A416B2" w14:textId="77777777" w:rsidR="008D72BB" w:rsidRDefault="008D72BB" w:rsidP="008D72BB">
            <w:pPr>
              <w:spacing w:after="0"/>
              <w:contextualSpacing/>
            </w:pPr>
            <w:r>
              <w:t xml:space="preserve">A proprietor of prescribed accommodation must ensure that all </w:t>
            </w:r>
            <w:r w:rsidRPr="00621794">
              <w:t>sewage and waste water</w:t>
            </w:r>
            <w:r>
              <w:t xml:space="preserve"> is discharged— (a) to a reticulated sewerage system; or (b) to a wastewater treatment system permitted under the Environment Protection Act 1970. PU=20</w:t>
            </w:r>
          </w:p>
        </w:tc>
      </w:tr>
      <w:tr w:rsidR="008D72BB" w14:paraId="4063FCD3" w14:textId="77777777" w:rsidTr="009E0DFE">
        <w:trPr>
          <w:trHeight w:val="462"/>
        </w:trPr>
        <w:tc>
          <w:tcPr>
            <w:tcW w:w="496" w:type="pct"/>
            <w:tcBorders>
              <w:top w:val="single" w:sz="4" w:space="0" w:color="000000" w:themeColor="text1"/>
              <w:left w:val="nil"/>
              <w:bottom w:val="single" w:sz="4" w:space="0" w:color="000000" w:themeColor="text1"/>
              <w:right w:val="nil"/>
            </w:tcBorders>
          </w:tcPr>
          <w:p w14:paraId="24F26E66" w14:textId="77777777" w:rsidR="008D72BB" w:rsidRDefault="008D72BB" w:rsidP="008D72BB">
            <w:pPr>
              <w:spacing w:after="0"/>
              <w:contextualSpacing/>
              <w:rPr>
                <w:rFonts w:asciiTheme="minorHAnsi" w:hAnsiTheme="minorHAnsi"/>
                <w:color w:val="000000" w:themeColor="text1"/>
                <w:lang w:val="en-GB"/>
              </w:rPr>
            </w:pPr>
            <w:r>
              <w:rPr>
                <w:rFonts w:asciiTheme="minorHAnsi" w:hAnsiTheme="minorHAnsi"/>
                <w:color w:val="000000" w:themeColor="text1"/>
                <w:lang w:val="en-GB"/>
              </w:rPr>
              <w:t>Part 5 Division 2 regulation 23 &amp;24</w:t>
            </w:r>
          </w:p>
        </w:tc>
        <w:tc>
          <w:tcPr>
            <w:tcW w:w="922" w:type="pct"/>
            <w:tcBorders>
              <w:top w:val="single" w:sz="4" w:space="0" w:color="000000" w:themeColor="text1"/>
              <w:left w:val="nil"/>
              <w:bottom w:val="single" w:sz="4" w:space="0" w:color="000000" w:themeColor="text1"/>
              <w:right w:val="nil"/>
            </w:tcBorders>
          </w:tcPr>
          <w:p w14:paraId="0381F502" w14:textId="77777777" w:rsidR="008D72BB" w:rsidRDefault="008D72BB" w:rsidP="009E0DFE">
            <w:pPr>
              <w:spacing w:after="0"/>
              <w:ind w:left="144"/>
              <w:contextualSpacing/>
            </w:pPr>
            <w:r>
              <w:t>Refuse receptacles and refuse disposal at prescribed accommodation</w:t>
            </w:r>
          </w:p>
        </w:tc>
        <w:tc>
          <w:tcPr>
            <w:tcW w:w="3581" w:type="pct"/>
            <w:tcBorders>
              <w:top w:val="single" w:sz="4" w:space="0" w:color="000000" w:themeColor="text1"/>
              <w:left w:val="nil"/>
              <w:bottom w:val="single" w:sz="4" w:space="0" w:color="000000" w:themeColor="text1"/>
              <w:right w:val="nil"/>
            </w:tcBorders>
          </w:tcPr>
          <w:p w14:paraId="2BA0F8D0" w14:textId="77777777" w:rsidR="008D72BB" w:rsidRDefault="008D72BB" w:rsidP="008D72BB">
            <w:pPr>
              <w:spacing w:after="0"/>
              <w:contextualSpacing/>
            </w:pPr>
            <w:r>
              <w:t>A proprietor of prescribed accommodation must—</w:t>
            </w:r>
          </w:p>
          <w:p w14:paraId="5976080C" w14:textId="4F57DB67" w:rsidR="008D72BB" w:rsidRDefault="008D72BB" w:rsidP="008D72BB">
            <w:pPr>
              <w:spacing w:after="0"/>
              <w:contextualSpacing/>
            </w:pPr>
            <w:r>
              <w:t>Reg</w:t>
            </w:r>
            <w:r w:rsidR="005149FC">
              <w:t>ulation</w:t>
            </w:r>
            <w:r>
              <w:t xml:space="preserve"> 23: (a) provide sufficient vermin-proof receptacles at the prescribed accommodation for the collection and storage of all rubbish; and (b) ensure that the receptacles are regularly cleaned.</w:t>
            </w:r>
          </w:p>
          <w:p w14:paraId="201F8EF3" w14:textId="15590ADA" w:rsidR="008D72BB" w:rsidRDefault="008D72BB" w:rsidP="008D72BB">
            <w:pPr>
              <w:spacing w:after="0"/>
              <w:contextualSpacing/>
            </w:pPr>
            <w:r>
              <w:t>PU=20</w:t>
            </w:r>
          </w:p>
          <w:p w14:paraId="75BBCAE7" w14:textId="2411C38A" w:rsidR="008D72BB" w:rsidRDefault="005149FC" w:rsidP="008D72BB">
            <w:pPr>
              <w:spacing w:after="0"/>
              <w:contextualSpacing/>
            </w:pPr>
            <w:r>
              <w:t xml:space="preserve">Regulation </w:t>
            </w:r>
            <w:r w:rsidR="008D72BB">
              <w:t>24: ensure that all refuse at the accommodation is regularly removed by means of a refuse collection service provided by the local Council or a private contractor engaged by the proprietor. PU=20</w:t>
            </w:r>
          </w:p>
        </w:tc>
      </w:tr>
      <w:tr w:rsidR="008D72BB" w14:paraId="490C2D0C" w14:textId="77777777" w:rsidTr="009E0DFE">
        <w:trPr>
          <w:trHeight w:val="462"/>
        </w:trPr>
        <w:tc>
          <w:tcPr>
            <w:tcW w:w="496" w:type="pct"/>
            <w:tcBorders>
              <w:top w:val="single" w:sz="4" w:space="0" w:color="000000" w:themeColor="text1"/>
              <w:left w:val="nil"/>
              <w:bottom w:val="single" w:sz="4" w:space="0" w:color="000000" w:themeColor="text1"/>
              <w:right w:val="nil"/>
            </w:tcBorders>
          </w:tcPr>
          <w:p w14:paraId="56E6FCB3" w14:textId="77777777" w:rsidR="008D72BB" w:rsidRDefault="008D72BB" w:rsidP="008D72BB">
            <w:pPr>
              <w:spacing w:after="0"/>
              <w:contextualSpacing/>
              <w:rPr>
                <w:rFonts w:asciiTheme="minorHAnsi" w:hAnsiTheme="minorHAnsi"/>
                <w:color w:val="000000" w:themeColor="text1"/>
                <w:lang w:val="en-GB"/>
              </w:rPr>
            </w:pPr>
            <w:r>
              <w:rPr>
                <w:rFonts w:asciiTheme="minorHAnsi" w:hAnsiTheme="minorHAnsi"/>
                <w:color w:val="000000" w:themeColor="text1"/>
                <w:lang w:val="en-GB"/>
              </w:rPr>
              <w:t xml:space="preserve">Part 5 Division 2 regulation 25 </w:t>
            </w:r>
          </w:p>
        </w:tc>
        <w:tc>
          <w:tcPr>
            <w:tcW w:w="922" w:type="pct"/>
            <w:tcBorders>
              <w:top w:val="single" w:sz="4" w:space="0" w:color="000000" w:themeColor="text1"/>
              <w:left w:val="nil"/>
              <w:bottom w:val="single" w:sz="4" w:space="0" w:color="000000" w:themeColor="text1"/>
              <w:right w:val="nil"/>
            </w:tcBorders>
          </w:tcPr>
          <w:p w14:paraId="767934E4" w14:textId="77777777" w:rsidR="008D72BB" w:rsidRDefault="008D72BB" w:rsidP="009E0DFE">
            <w:pPr>
              <w:spacing w:after="0"/>
              <w:ind w:left="144"/>
              <w:contextualSpacing/>
            </w:pPr>
            <w:r>
              <w:t>Toilet and bathing facilities in prescribed accommodation</w:t>
            </w:r>
          </w:p>
        </w:tc>
        <w:tc>
          <w:tcPr>
            <w:tcW w:w="3581" w:type="pct"/>
            <w:tcBorders>
              <w:top w:val="single" w:sz="4" w:space="0" w:color="000000" w:themeColor="text1"/>
              <w:left w:val="nil"/>
              <w:bottom w:val="single" w:sz="4" w:space="0" w:color="000000" w:themeColor="text1"/>
              <w:right w:val="nil"/>
            </w:tcBorders>
          </w:tcPr>
          <w:p w14:paraId="22EF152D" w14:textId="77777777" w:rsidR="008D72BB" w:rsidRDefault="008D72BB" w:rsidP="008D72BB">
            <w:pPr>
              <w:spacing w:after="0"/>
              <w:contextualSpacing/>
            </w:pPr>
            <w:r>
              <w:t>A proprietor of prescribed accommodation must provide at least one toilet, one bath or shower and one wash basin for every 10 persons or fraction of that number of persons occupying the accommodation. PU=20</w:t>
            </w:r>
          </w:p>
        </w:tc>
      </w:tr>
      <w:tr w:rsidR="008D72BB" w14:paraId="5296551D" w14:textId="77777777" w:rsidTr="009E0DFE">
        <w:trPr>
          <w:trHeight w:val="462"/>
        </w:trPr>
        <w:tc>
          <w:tcPr>
            <w:tcW w:w="496" w:type="pct"/>
            <w:tcBorders>
              <w:top w:val="single" w:sz="4" w:space="0" w:color="000000" w:themeColor="text1"/>
              <w:left w:val="nil"/>
              <w:bottom w:val="single" w:sz="4" w:space="0" w:color="000000" w:themeColor="text1"/>
              <w:right w:val="nil"/>
            </w:tcBorders>
          </w:tcPr>
          <w:p w14:paraId="73290D0F" w14:textId="77777777" w:rsidR="008D72BB" w:rsidRDefault="008D72BB" w:rsidP="008D72BB">
            <w:pPr>
              <w:spacing w:after="0"/>
              <w:contextualSpacing/>
              <w:rPr>
                <w:rFonts w:asciiTheme="minorHAnsi" w:hAnsiTheme="minorHAnsi"/>
                <w:color w:val="000000" w:themeColor="text1"/>
                <w:lang w:val="en-GB"/>
              </w:rPr>
            </w:pPr>
            <w:r>
              <w:rPr>
                <w:rFonts w:asciiTheme="minorHAnsi" w:hAnsiTheme="minorHAnsi"/>
                <w:color w:val="000000" w:themeColor="text1"/>
                <w:lang w:val="en-GB"/>
              </w:rPr>
              <w:t>Part 5 Division 2 regulation 26</w:t>
            </w:r>
          </w:p>
        </w:tc>
        <w:tc>
          <w:tcPr>
            <w:tcW w:w="922" w:type="pct"/>
            <w:tcBorders>
              <w:top w:val="single" w:sz="4" w:space="0" w:color="000000" w:themeColor="text1"/>
              <w:left w:val="nil"/>
              <w:bottom w:val="single" w:sz="4" w:space="0" w:color="000000" w:themeColor="text1"/>
              <w:right w:val="nil"/>
            </w:tcBorders>
          </w:tcPr>
          <w:p w14:paraId="08E6E147" w14:textId="77777777" w:rsidR="008D72BB" w:rsidRDefault="008D72BB" w:rsidP="009E0DFE">
            <w:pPr>
              <w:spacing w:after="0"/>
              <w:ind w:left="144"/>
              <w:contextualSpacing/>
            </w:pPr>
            <w:r w:rsidRPr="00621794">
              <w:t>Register of occupants of prescribed accommodation</w:t>
            </w:r>
          </w:p>
        </w:tc>
        <w:tc>
          <w:tcPr>
            <w:tcW w:w="3581" w:type="pct"/>
            <w:tcBorders>
              <w:top w:val="single" w:sz="4" w:space="0" w:color="000000" w:themeColor="text1"/>
              <w:left w:val="nil"/>
              <w:bottom w:val="single" w:sz="4" w:space="0" w:color="000000" w:themeColor="text1"/>
              <w:right w:val="nil"/>
            </w:tcBorders>
          </w:tcPr>
          <w:p w14:paraId="1C5D18C4" w14:textId="77777777" w:rsidR="008D72BB" w:rsidRDefault="008D72BB" w:rsidP="008D72BB">
            <w:pPr>
              <w:spacing w:after="0"/>
              <w:contextualSpacing/>
            </w:pPr>
            <w:r>
              <w:t xml:space="preserve">A proprietor of prescribed accommodation must keep a register recording (1)(a) the names and addresses of persons occupying the accommodation; and (b) the dates of their arrival and departure. Penalty: 20 penalty units. </w:t>
            </w:r>
          </w:p>
          <w:p w14:paraId="3A8BE4FB" w14:textId="32518E2C" w:rsidR="008D72BB" w:rsidRDefault="008D72BB" w:rsidP="008D72BB">
            <w:pPr>
              <w:spacing w:after="0"/>
              <w:contextualSpacing/>
            </w:pPr>
            <w:r>
              <w:t xml:space="preserve">(2) A proprietor is </w:t>
            </w:r>
            <w:r w:rsidRPr="00621794">
              <w:rPr>
                <w:u w:val="single"/>
              </w:rPr>
              <w:t>exempted</w:t>
            </w:r>
            <w:r>
              <w:t xml:space="preserve"> from compliance with sub</w:t>
            </w:r>
            <w:r w:rsidR="00C15403">
              <w:t>-</w:t>
            </w:r>
            <w:r>
              <w:t xml:space="preserve">regulation (1), if the proprietor is required under any other Act or regulation to keep a similar register. </w:t>
            </w:r>
          </w:p>
          <w:p w14:paraId="23DC397E" w14:textId="7DC7EF52" w:rsidR="008D72BB" w:rsidRDefault="008D72BB" w:rsidP="008D72BB">
            <w:pPr>
              <w:spacing w:after="0"/>
              <w:contextualSpacing/>
            </w:pPr>
            <w:r>
              <w:t>(3) The proprietor must retain the register referred to in sub</w:t>
            </w:r>
            <w:r w:rsidR="00C15403">
              <w:t>-</w:t>
            </w:r>
            <w:r>
              <w:t>regulation (1) or (2) for at least 12 months after the date of the last entry in the register. PU=20</w:t>
            </w:r>
          </w:p>
        </w:tc>
      </w:tr>
      <w:tr w:rsidR="008D72BB" w14:paraId="2E066932" w14:textId="77777777" w:rsidTr="009E0DFE">
        <w:trPr>
          <w:trHeight w:val="462"/>
        </w:trPr>
        <w:tc>
          <w:tcPr>
            <w:tcW w:w="496" w:type="pct"/>
            <w:tcBorders>
              <w:top w:val="single" w:sz="4" w:space="0" w:color="000000" w:themeColor="text1"/>
              <w:left w:val="nil"/>
              <w:bottom w:val="single" w:sz="4" w:space="0" w:color="000000" w:themeColor="text1"/>
              <w:right w:val="nil"/>
            </w:tcBorders>
          </w:tcPr>
          <w:p w14:paraId="6C4C182B" w14:textId="77777777" w:rsidR="008D72BB" w:rsidRDefault="008D72BB" w:rsidP="008D72BB">
            <w:pPr>
              <w:spacing w:after="0"/>
              <w:contextualSpacing/>
              <w:rPr>
                <w:rFonts w:asciiTheme="minorHAnsi" w:hAnsiTheme="minorHAnsi"/>
                <w:color w:val="000000" w:themeColor="text1"/>
                <w:lang w:val="en-GB"/>
              </w:rPr>
            </w:pPr>
            <w:r>
              <w:rPr>
                <w:rFonts w:asciiTheme="minorHAnsi" w:hAnsiTheme="minorHAnsi"/>
                <w:color w:val="000000" w:themeColor="text1"/>
                <w:lang w:val="en-GB"/>
              </w:rPr>
              <w:t>Part 5 Division 2 regulation 27</w:t>
            </w:r>
          </w:p>
        </w:tc>
        <w:tc>
          <w:tcPr>
            <w:tcW w:w="922" w:type="pct"/>
            <w:tcBorders>
              <w:top w:val="single" w:sz="4" w:space="0" w:color="000000" w:themeColor="text1"/>
              <w:left w:val="nil"/>
              <w:bottom w:val="single" w:sz="4" w:space="0" w:color="000000" w:themeColor="text1"/>
              <w:right w:val="nil"/>
            </w:tcBorders>
          </w:tcPr>
          <w:p w14:paraId="3E481345" w14:textId="77777777" w:rsidR="008D72BB" w:rsidRPr="00621794" w:rsidRDefault="008D72BB" w:rsidP="009E0DFE">
            <w:pPr>
              <w:spacing w:after="0"/>
              <w:ind w:left="144"/>
              <w:contextualSpacing/>
            </w:pPr>
            <w:r>
              <w:t>Advertising prescribed accommodation</w:t>
            </w:r>
          </w:p>
        </w:tc>
        <w:tc>
          <w:tcPr>
            <w:tcW w:w="3581" w:type="pct"/>
            <w:tcBorders>
              <w:top w:val="single" w:sz="4" w:space="0" w:color="000000" w:themeColor="text1"/>
              <w:left w:val="nil"/>
              <w:bottom w:val="single" w:sz="4" w:space="0" w:color="000000" w:themeColor="text1"/>
              <w:right w:val="nil"/>
            </w:tcBorders>
          </w:tcPr>
          <w:p w14:paraId="6E181C66" w14:textId="77777777" w:rsidR="008D72BB" w:rsidRDefault="008D72BB" w:rsidP="008D72BB">
            <w:pPr>
              <w:spacing w:after="0"/>
              <w:contextualSpacing/>
            </w:pPr>
            <w:r>
              <w:t>A proprietor of prescribed accommodation must not state, or cause to be stated, in any advertisement, notice or sign issued or put up in relation to the accommodation, that the premises were registered or approved for any class of accommodation other than that set out on the certificate of registration. PU=20</w:t>
            </w:r>
          </w:p>
        </w:tc>
      </w:tr>
      <w:tr w:rsidR="008D72BB" w14:paraId="1EE2B2E9" w14:textId="77777777" w:rsidTr="009E0DFE">
        <w:trPr>
          <w:trHeight w:val="462"/>
        </w:trPr>
        <w:tc>
          <w:tcPr>
            <w:tcW w:w="496" w:type="pct"/>
            <w:tcBorders>
              <w:top w:val="single" w:sz="4" w:space="0" w:color="000000" w:themeColor="text1"/>
              <w:left w:val="nil"/>
              <w:bottom w:val="single" w:sz="4" w:space="0" w:color="000000" w:themeColor="text1"/>
              <w:right w:val="nil"/>
            </w:tcBorders>
          </w:tcPr>
          <w:p w14:paraId="39FB0398" w14:textId="77777777" w:rsidR="008D72BB" w:rsidRDefault="008D72BB" w:rsidP="008D72BB">
            <w:pPr>
              <w:spacing w:after="0"/>
              <w:contextualSpacing/>
              <w:rPr>
                <w:rFonts w:asciiTheme="minorHAnsi" w:hAnsiTheme="minorHAnsi"/>
                <w:color w:val="000000" w:themeColor="text1"/>
                <w:lang w:val="en-GB"/>
              </w:rPr>
            </w:pPr>
            <w:r>
              <w:rPr>
                <w:rFonts w:asciiTheme="minorHAnsi" w:hAnsiTheme="minorHAnsi"/>
                <w:color w:val="000000" w:themeColor="text1"/>
                <w:lang w:val="en-GB"/>
              </w:rPr>
              <w:t xml:space="preserve">Part 5 Division 4 </w:t>
            </w:r>
            <w:r>
              <w:rPr>
                <w:rFonts w:asciiTheme="minorHAnsi" w:hAnsiTheme="minorHAnsi"/>
                <w:color w:val="000000" w:themeColor="text1"/>
                <w:lang w:val="en-GB"/>
              </w:rPr>
              <w:lastRenderedPageBreak/>
              <w:t>regulation 34</w:t>
            </w:r>
          </w:p>
        </w:tc>
        <w:tc>
          <w:tcPr>
            <w:tcW w:w="922" w:type="pct"/>
            <w:tcBorders>
              <w:top w:val="single" w:sz="4" w:space="0" w:color="000000" w:themeColor="text1"/>
              <w:left w:val="nil"/>
              <w:bottom w:val="single" w:sz="4" w:space="0" w:color="000000" w:themeColor="text1"/>
              <w:right w:val="nil"/>
            </w:tcBorders>
          </w:tcPr>
          <w:p w14:paraId="6DC5C3D2" w14:textId="77777777" w:rsidR="008D72BB" w:rsidRDefault="008D72BB" w:rsidP="009E0DFE">
            <w:pPr>
              <w:spacing w:after="0"/>
              <w:ind w:left="144"/>
              <w:contextualSpacing/>
            </w:pPr>
            <w:r>
              <w:lastRenderedPageBreak/>
              <w:t>Prescribed conditions</w:t>
            </w:r>
          </w:p>
        </w:tc>
        <w:tc>
          <w:tcPr>
            <w:tcW w:w="3581" w:type="pct"/>
            <w:tcBorders>
              <w:top w:val="single" w:sz="4" w:space="0" w:color="000000" w:themeColor="text1"/>
              <w:left w:val="nil"/>
              <w:bottom w:val="single" w:sz="4" w:space="0" w:color="000000" w:themeColor="text1"/>
              <w:right w:val="nil"/>
            </w:tcBorders>
          </w:tcPr>
          <w:p w14:paraId="56F64BD2" w14:textId="77777777" w:rsidR="008D72BB" w:rsidRDefault="008D72BB" w:rsidP="008D72BB">
            <w:pPr>
              <w:spacing w:after="0"/>
              <w:contextualSpacing/>
            </w:pPr>
            <w:r>
              <w:t xml:space="preserve">For the purposes of section 75(1)(c) of the Act, the following are conditions which apply to a class of registration— </w:t>
            </w:r>
          </w:p>
          <w:p w14:paraId="1F7677E8" w14:textId="710438FB" w:rsidR="008D72BB" w:rsidRDefault="008D72BB" w:rsidP="008D72BB">
            <w:pPr>
              <w:spacing w:after="0"/>
              <w:contextualSpacing/>
            </w:pPr>
            <w:r>
              <w:lastRenderedPageBreak/>
              <w:t>(a) it is a condition on the registration of all prescribed accommodation that proprietors required to keep a register under regulation 26(1) must take all reasonable steps to protect the information in the register</w:t>
            </w:r>
            <w:r w:rsidR="00581F9F">
              <w:t>.</w:t>
            </w:r>
            <w:r>
              <w:t xml:space="preserve"> </w:t>
            </w:r>
          </w:p>
        </w:tc>
      </w:tr>
    </w:tbl>
    <w:p w14:paraId="2A9224A5" w14:textId="28286376" w:rsidR="007C2EA5" w:rsidRDefault="00D260EC" w:rsidP="0067195D">
      <w:pPr>
        <w:pStyle w:val="Heading1un-numbered"/>
      </w:pPr>
      <w:bookmarkStart w:id="223" w:name="_Toc49460309"/>
      <w:r>
        <w:lastRenderedPageBreak/>
        <w:t>Appendix B</w:t>
      </w:r>
      <w:r w:rsidR="00BD0848">
        <w:t xml:space="preserve">: </w:t>
      </w:r>
      <w:bookmarkEnd w:id="222"/>
      <w:r w:rsidR="008D72BB" w:rsidRPr="00C30915">
        <w:t>Stakeholder consultation</w:t>
      </w:r>
      <w:bookmarkEnd w:id="223"/>
    </w:p>
    <w:p w14:paraId="0056B812" w14:textId="52F54EDD" w:rsidR="000E38D2" w:rsidRPr="00896F5B" w:rsidRDefault="000E38D2" w:rsidP="00F0077F">
      <w:pPr>
        <w:pStyle w:val="Heading2"/>
        <w:numPr>
          <w:ilvl w:val="0"/>
          <w:numId w:val="0"/>
        </w:numPr>
      </w:pPr>
      <w:bookmarkStart w:id="224" w:name="_Toc49460310"/>
      <w:bookmarkStart w:id="225" w:name="_Toc19092425"/>
      <w:bookmarkStart w:id="226" w:name="_Toc48638310"/>
      <w:bookmarkStart w:id="227" w:name="_Toc10111315"/>
      <w:r w:rsidRPr="00896F5B">
        <w:t>Who was consulted</w:t>
      </w:r>
      <w:r w:rsidR="00512C67">
        <w:t xml:space="preserve"> and how</w:t>
      </w:r>
      <w:r w:rsidRPr="00896F5B">
        <w:t>?</w:t>
      </w:r>
      <w:bookmarkEnd w:id="224"/>
    </w:p>
    <w:p w14:paraId="5B8F4EC7" w14:textId="77777777" w:rsidR="00E82275" w:rsidRPr="00A32CD0" w:rsidRDefault="00E82275" w:rsidP="00E82275">
      <w:r w:rsidRPr="00C07963">
        <w:t xml:space="preserve">Stakeholder </w:t>
      </w:r>
      <w:r w:rsidRPr="00A32CD0">
        <w:t>consultation was undertaken to gather relevant information on the impact of the proposed Regulations and possible alternatives for different groups. The consultation process included:</w:t>
      </w:r>
    </w:p>
    <w:p w14:paraId="23CE1ADC" w14:textId="6E5B3606" w:rsidR="00E82275" w:rsidRPr="00A32CD0" w:rsidRDefault="00E82275" w:rsidP="00E82275">
      <w:pPr>
        <w:pStyle w:val="ListBullet"/>
      </w:pPr>
      <w:r w:rsidRPr="00A32CD0">
        <w:t xml:space="preserve">Consideration of a range of stakeholder input to the department over the last three years, including surveys of environmental health officers at municipal councils, in their administration of the prescribed accommodation scheme, written submissions from stakeholders, departmental meetings with stakeholders such as the Student Accommodation Association, participation in working groups such as a group led by the Commissioner of Residential Tenancies regarding rooming house accommodation, and an intergovernmental working group considering the sunset review of the Regulations, and round table discussions with Victorian Government and local government representatives in the portfolios interfacing with prescribed accommodation. </w:t>
      </w:r>
    </w:p>
    <w:p w14:paraId="4C86BC4E" w14:textId="1F571937" w:rsidR="000E38D2" w:rsidRDefault="00F916EE" w:rsidP="000A7D3A">
      <w:pPr>
        <w:pStyle w:val="ListBullet"/>
      </w:pPr>
      <w:r>
        <w:t>An invitation</w:t>
      </w:r>
      <w:r w:rsidRPr="00A32CD0">
        <w:t xml:space="preserve"> </w:t>
      </w:r>
      <w:r w:rsidR="00E82275" w:rsidRPr="00A32CD0">
        <w:t xml:space="preserve">in writing from DHHS, seeking input from stakeholders representing views across the broad spectrum of prescribed accommodation, namely industry, peak bodies, occupiers, and relevant statutory entities. This included providers of accommodation in the large and small tourism sectors, providers of rooming houses, providers of student accommodation, students, the Municipal Association of Victoria representing municipal councils which administer the prescribed accommodation scheme under the PHWA, </w:t>
      </w:r>
      <w:r w:rsidR="00A64DDA">
        <w:t>a metropolitan council</w:t>
      </w:r>
      <w:r w:rsidR="00E82275" w:rsidRPr="00A32CD0">
        <w:t xml:space="preserve">, and </w:t>
      </w:r>
      <w:r w:rsidR="0097731E">
        <w:t>government stakeholders</w:t>
      </w:r>
      <w:r w:rsidR="00E82275" w:rsidRPr="00A32CD0">
        <w:t xml:space="preserve">. </w:t>
      </w:r>
    </w:p>
    <w:p w14:paraId="43951382" w14:textId="77777777" w:rsidR="000E38D2" w:rsidRPr="00896F5B" w:rsidRDefault="000E38D2" w:rsidP="00F0077F">
      <w:pPr>
        <w:pStyle w:val="Heading2"/>
        <w:numPr>
          <w:ilvl w:val="0"/>
          <w:numId w:val="0"/>
        </w:numPr>
        <w:ind w:left="576" w:hanging="576"/>
      </w:pPr>
      <w:bookmarkStart w:id="228" w:name="_Toc49460311"/>
      <w:r w:rsidRPr="00896F5B">
        <w:t>Key themes by topic</w:t>
      </w:r>
      <w:bookmarkEnd w:id="228"/>
    </w:p>
    <w:p w14:paraId="3B6A024F" w14:textId="54114A40" w:rsidR="00893F09" w:rsidRDefault="002F3E76" w:rsidP="00C2539E">
      <w:pPr>
        <w:rPr>
          <w:rFonts w:cs="Segoe UI Light"/>
        </w:rPr>
        <w:sectPr w:rsidR="00893F09" w:rsidSect="000463D8">
          <w:pgSz w:w="11906" w:h="16838" w:code="9"/>
          <w:pgMar w:top="1440" w:right="1440" w:bottom="1440" w:left="1440" w:header="680" w:footer="425" w:gutter="0"/>
          <w:cols w:space="284"/>
          <w:docGrid w:linePitch="360"/>
        </w:sectPr>
      </w:pPr>
      <w:r>
        <w:rPr>
          <w:rFonts w:cs="Segoe UI Light"/>
        </w:rPr>
        <w:t>T</w:t>
      </w:r>
      <w:r w:rsidR="00065F77">
        <w:rPr>
          <w:rFonts w:cs="Segoe UI Light"/>
        </w:rPr>
        <w:t xml:space="preserve">he following is a summary of </w:t>
      </w:r>
      <w:r w:rsidR="000E38D2" w:rsidRPr="00896F5B">
        <w:rPr>
          <w:rFonts w:cs="Segoe UI Light"/>
        </w:rPr>
        <w:t xml:space="preserve">key themes from the </w:t>
      </w:r>
      <w:r w:rsidR="007C6911">
        <w:rPr>
          <w:rFonts w:cs="Segoe UI Light"/>
        </w:rPr>
        <w:t xml:space="preserve">written </w:t>
      </w:r>
      <w:r w:rsidR="000E38D2" w:rsidRPr="00896F5B">
        <w:rPr>
          <w:rFonts w:cs="Segoe UI Light"/>
        </w:rPr>
        <w:t>stakeholder consultation</w:t>
      </w:r>
      <w:r w:rsidR="007C6911">
        <w:rPr>
          <w:rFonts w:cs="Segoe UI Light"/>
        </w:rPr>
        <w:t>.</w:t>
      </w:r>
    </w:p>
    <w:p w14:paraId="0B998B38" w14:textId="5A724379" w:rsidR="000E38D2" w:rsidRDefault="000E38D2" w:rsidP="006B3D9A">
      <w:pPr>
        <w:pStyle w:val="Caption"/>
      </w:pPr>
      <w:r w:rsidRPr="00896F5B">
        <w:lastRenderedPageBreak/>
        <w:t xml:space="preserve">Table </w:t>
      </w:r>
      <w:r w:rsidR="006B3D9A">
        <w:t>B</w:t>
      </w:r>
      <w:r w:rsidR="004335F8">
        <w:noBreakHyphen/>
      </w:r>
      <w:r w:rsidR="004335F8">
        <w:fldChar w:fldCharType="begin"/>
      </w:r>
      <w:r w:rsidR="004335F8">
        <w:instrText xml:space="preserve"> SEQ Table \* ARABIC \s 1 </w:instrText>
      </w:r>
      <w:r w:rsidR="004335F8">
        <w:fldChar w:fldCharType="separate"/>
      </w:r>
      <w:r w:rsidR="00795309">
        <w:rPr>
          <w:noProof/>
        </w:rPr>
        <w:t>1</w:t>
      </w:r>
      <w:r w:rsidR="004335F8">
        <w:fldChar w:fldCharType="end"/>
      </w:r>
      <w:r w:rsidRPr="00896F5B">
        <w:t xml:space="preserve"> </w:t>
      </w:r>
      <w:r w:rsidR="007C6911">
        <w:t>RIS c</w:t>
      </w:r>
      <w:r w:rsidRPr="00896F5B">
        <w:t>onsultation themes</w:t>
      </w:r>
    </w:p>
    <w:tbl>
      <w:tblPr>
        <w:tblStyle w:val="Deloittetable12"/>
        <w:tblpPr w:leftFromText="180" w:rightFromText="180" w:vertAnchor="text" w:tblpY="1"/>
        <w:tblOverlap w:val="never"/>
        <w:tblW w:w="5000" w:type="pct"/>
        <w:tblLook w:val="04A0" w:firstRow="1" w:lastRow="0" w:firstColumn="1" w:lastColumn="0" w:noHBand="0" w:noVBand="1"/>
      </w:tblPr>
      <w:tblGrid>
        <w:gridCol w:w="1359"/>
        <w:gridCol w:w="4007"/>
        <w:gridCol w:w="3660"/>
      </w:tblGrid>
      <w:tr w:rsidR="005C17C5" w:rsidRPr="00A37EEC" w14:paraId="51712260" w14:textId="30D1047B" w:rsidTr="00F0077F">
        <w:trPr>
          <w:cnfStyle w:val="100000000000" w:firstRow="1" w:lastRow="0" w:firstColumn="0" w:lastColumn="0" w:oddVBand="0" w:evenVBand="0" w:oddHBand="0" w:evenHBand="0" w:firstRowFirstColumn="0" w:firstRowLastColumn="0" w:lastRowFirstColumn="0" w:lastRowLastColumn="0"/>
          <w:tblHeader/>
        </w:trPr>
        <w:tc>
          <w:tcPr>
            <w:tcW w:w="595" w:type="pct"/>
          </w:tcPr>
          <w:p w14:paraId="1C7E8B6F" w14:textId="77777777" w:rsidR="00CD1F6F" w:rsidRPr="000A7D3A" w:rsidRDefault="00CD1F6F">
            <w:pPr>
              <w:rPr>
                <w:rFonts w:cs="Segoe UI Light"/>
                <w:b/>
                <w:color w:val="000000" w:themeColor="text1"/>
              </w:rPr>
            </w:pPr>
            <w:r w:rsidRPr="000A7D3A">
              <w:rPr>
                <w:rFonts w:cs="Segoe UI Light"/>
                <w:b/>
                <w:color w:val="000000" w:themeColor="text1"/>
              </w:rPr>
              <w:t xml:space="preserve">Theme </w:t>
            </w:r>
          </w:p>
        </w:tc>
        <w:tc>
          <w:tcPr>
            <w:tcW w:w="2299" w:type="pct"/>
          </w:tcPr>
          <w:p w14:paraId="3DB7DB9E" w14:textId="10B4C3A9" w:rsidR="00CD1F6F" w:rsidRPr="000A7D3A" w:rsidRDefault="00631F7A">
            <w:pPr>
              <w:rPr>
                <w:rFonts w:cs="Segoe UI Light"/>
                <w:b/>
                <w:color w:val="000000" w:themeColor="text1"/>
              </w:rPr>
            </w:pPr>
            <w:r>
              <w:rPr>
                <w:rFonts w:cs="Segoe UI Light"/>
                <w:b/>
                <w:color w:val="000000" w:themeColor="text1"/>
              </w:rPr>
              <w:t>Summary of d</w:t>
            </w:r>
            <w:r w:rsidR="00175C8A" w:rsidRPr="000A7D3A">
              <w:rPr>
                <w:rFonts w:cs="Segoe UI Light"/>
                <w:b/>
                <w:color w:val="000000" w:themeColor="text1"/>
              </w:rPr>
              <w:t>iscussion points in consultation</w:t>
            </w:r>
          </w:p>
        </w:tc>
        <w:tc>
          <w:tcPr>
            <w:tcW w:w="2106" w:type="pct"/>
          </w:tcPr>
          <w:p w14:paraId="5DA5BE78" w14:textId="383CEB33" w:rsidR="00CD1F6F" w:rsidRPr="000A7D3A" w:rsidRDefault="00CB0B9C">
            <w:pPr>
              <w:rPr>
                <w:rFonts w:cs="Segoe UI Light"/>
                <w:b/>
                <w:color w:val="000000" w:themeColor="text1"/>
              </w:rPr>
            </w:pPr>
            <w:r w:rsidRPr="000A7D3A">
              <w:rPr>
                <w:rFonts w:cs="Segoe UI Light"/>
                <w:b/>
                <w:color w:val="000000" w:themeColor="text1"/>
              </w:rPr>
              <w:t>Response</w:t>
            </w:r>
          </w:p>
        </w:tc>
      </w:tr>
      <w:tr w:rsidR="005C17C5" w:rsidRPr="00A37EEC" w14:paraId="509850D5" w14:textId="25E4BF7E" w:rsidTr="00F0077F">
        <w:tc>
          <w:tcPr>
            <w:tcW w:w="595" w:type="pct"/>
          </w:tcPr>
          <w:p w14:paraId="7C409EE1" w14:textId="77777777" w:rsidR="00CD1F6F" w:rsidRPr="000A7D3A" w:rsidRDefault="00CD1F6F">
            <w:pPr>
              <w:rPr>
                <w:rFonts w:cs="Segoe UI Light"/>
                <w:bCs/>
                <w:color w:val="000000" w:themeColor="text1"/>
              </w:rPr>
            </w:pPr>
            <w:r w:rsidRPr="000A7D3A">
              <w:rPr>
                <w:rFonts w:cs="Segoe UI Light"/>
                <w:bCs/>
                <w:color w:val="000000" w:themeColor="text1"/>
              </w:rPr>
              <w:t>Supporting hygiene, sanitation and safety</w:t>
            </w:r>
          </w:p>
        </w:tc>
        <w:tc>
          <w:tcPr>
            <w:tcW w:w="2299" w:type="pct"/>
          </w:tcPr>
          <w:p w14:paraId="561C0E0E" w14:textId="61CA44F1" w:rsidR="00CD1F6F" w:rsidRPr="00673FF2" w:rsidRDefault="00CD1F6F" w:rsidP="000A7D3A">
            <w:pPr>
              <w:pStyle w:val="ListBullet"/>
              <w:ind w:left="478" w:right="146" w:hanging="283"/>
              <w:rPr>
                <w:rFonts w:cs="Segoe UI Light"/>
                <w:bCs/>
                <w:color w:val="000000" w:themeColor="text1"/>
              </w:rPr>
            </w:pPr>
            <w:r w:rsidRPr="00673FF2">
              <w:rPr>
                <w:rFonts w:cs="Segoe UI Light"/>
                <w:bCs/>
                <w:color w:val="000000" w:themeColor="text1"/>
              </w:rPr>
              <w:t>The Regulations are a critical tool to ensure health and safety in housing of multiple occupancy (</w:t>
            </w:r>
            <w:r w:rsidRPr="00F0077F">
              <w:rPr>
                <w:bCs/>
                <w:color w:val="000000" w:themeColor="text1"/>
              </w:rPr>
              <w:t>Government stakeholder</w:t>
            </w:r>
            <w:r w:rsidRPr="00673FF2">
              <w:rPr>
                <w:bCs/>
                <w:color w:val="000000" w:themeColor="text1"/>
              </w:rPr>
              <w:t>)</w:t>
            </w:r>
            <w:r w:rsidRPr="00673FF2">
              <w:rPr>
                <w:rFonts w:cs="Segoe UI Light"/>
                <w:bCs/>
                <w:color w:val="000000" w:themeColor="text1"/>
              </w:rPr>
              <w:t>.</w:t>
            </w:r>
          </w:p>
          <w:p w14:paraId="0D5413B8" w14:textId="77777777" w:rsidR="00CD1F6F" w:rsidRPr="00673FF2" w:rsidRDefault="00CD1F6F" w:rsidP="000A7D3A">
            <w:pPr>
              <w:pStyle w:val="ListBullet"/>
              <w:ind w:left="478" w:right="146" w:hanging="283"/>
              <w:rPr>
                <w:rFonts w:cs="Segoe UI Light"/>
                <w:bCs/>
                <w:color w:val="000000" w:themeColor="text1"/>
              </w:rPr>
            </w:pPr>
            <w:r w:rsidRPr="00895204">
              <w:rPr>
                <w:bCs/>
                <w:color w:val="000000" w:themeColor="text1"/>
              </w:rPr>
              <w:t>When observed, the Regulations protect hygiene, sanitation and (public health) safety (local council; stakeholder in the rooming house sector (</w:t>
            </w:r>
            <w:r w:rsidRPr="00F0077F">
              <w:rPr>
                <w:bCs/>
                <w:color w:val="000000" w:themeColor="text1"/>
              </w:rPr>
              <w:t>RAAV</w:t>
            </w:r>
            <w:r w:rsidRPr="00673FF2">
              <w:rPr>
                <w:bCs/>
                <w:color w:val="000000" w:themeColor="text1"/>
              </w:rPr>
              <w:t>)).</w:t>
            </w:r>
          </w:p>
          <w:p w14:paraId="3A1674E7" w14:textId="250D89DB" w:rsidR="004050D0" w:rsidRPr="00895204" w:rsidRDefault="004050D0" w:rsidP="004050D0">
            <w:pPr>
              <w:pStyle w:val="ListBullet"/>
              <w:ind w:left="478" w:right="146" w:hanging="283"/>
              <w:rPr>
                <w:rFonts w:cs="Segoe UI Light"/>
                <w:bCs/>
                <w:color w:val="000000" w:themeColor="text1"/>
              </w:rPr>
            </w:pPr>
            <w:r w:rsidRPr="00895204">
              <w:rPr>
                <w:rFonts w:cs="Segoe UI Light"/>
                <w:bCs/>
                <w:color w:val="000000" w:themeColor="text1"/>
              </w:rPr>
              <w:t>It is considered that enforcement of the existing regulations in the unregistered illegal rooming house market would have greater effect than adding more regulation (RAAV).</w:t>
            </w:r>
          </w:p>
          <w:p w14:paraId="6D852B25" w14:textId="12F7737E" w:rsidR="00CD1F6F" w:rsidRPr="00673FF2" w:rsidRDefault="00CD1F6F" w:rsidP="000A7D3A">
            <w:pPr>
              <w:pStyle w:val="ListBullet"/>
              <w:ind w:left="478" w:right="146" w:hanging="283"/>
              <w:rPr>
                <w:rFonts w:cs="Segoe UI Light"/>
                <w:bCs/>
                <w:color w:val="000000" w:themeColor="text1"/>
              </w:rPr>
            </w:pPr>
            <w:r w:rsidRPr="00895204">
              <w:rPr>
                <w:bCs/>
                <w:color w:val="000000" w:themeColor="text1"/>
              </w:rPr>
              <w:t xml:space="preserve">The requirement for one toilet, shower and washbasin per 10 occupants is insufficient; the Department should consider reviewing the ratio to one facility per eight (8) occupants </w:t>
            </w:r>
            <w:r w:rsidRPr="00895204">
              <w:rPr>
                <w:rFonts w:cs="Segoe UI Light"/>
                <w:bCs/>
                <w:color w:val="000000" w:themeColor="text1"/>
              </w:rPr>
              <w:t>(</w:t>
            </w:r>
            <w:r w:rsidRPr="00F0077F">
              <w:rPr>
                <w:bCs/>
                <w:color w:val="000000" w:themeColor="text1"/>
              </w:rPr>
              <w:t>Government stakeholder</w:t>
            </w:r>
            <w:r w:rsidRPr="00673FF2">
              <w:rPr>
                <w:bCs/>
                <w:color w:val="000000" w:themeColor="text1"/>
              </w:rPr>
              <w:t>)</w:t>
            </w:r>
            <w:r w:rsidRPr="00673FF2">
              <w:rPr>
                <w:rFonts w:cs="Segoe UI Light"/>
                <w:bCs/>
                <w:color w:val="000000" w:themeColor="text1"/>
              </w:rPr>
              <w:t>.</w:t>
            </w:r>
          </w:p>
          <w:p w14:paraId="28D51837" w14:textId="77777777" w:rsidR="00CD1F6F" w:rsidRPr="00895204" w:rsidRDefault="00CD1F6F" w:rsidP="000A7D3A">
            <w:pPr>
              <w:pStyle w:val="ListBullet"/>
              <w:ind w:left="478" w:right="146" w:hanging="283"/>
              <w:rPr>
                <w:rFonts w:cs="Segoe UI Light"/>
                <w:bCs/>
                <w:color w:val="000000" w:themeColor="text1"/>
              </w:rPr>
            </w:pPr>
            <w:r w:rsidRPr="00895204">
              <w:rPr>
                <w:bCs/>
                <w:color w:val="000000" w:themeColor="text1"/>
              </w:rPr>
              <w:t>The Regulations do not currently consider the health risk of fire, which is considered a great risk in shared accommodation. The Department should consider how the Regulations might complement or align with how building standards protect against fire risk (local council).</w:t>
            </w:r>
          </w:p>
          <w:p w14:paraId="120EAD81" w14:textId="01C2EBA9" w:rsidR="00CD1F6F" w:rsidRPr="00673FF2" w:rsidRDefault="00CD1F6F" w:rsidP="000A7D3A">
            <w:pPr>
              <w:pStyle w:val="ListBullet"/>
              <w:ind w:left="478" w:right="146" w:hanging="283"/>
              <w:rPr>
                <w:rFonts w:cs="Segoe UI Light"/>
                <w:bCs/>
                <w:color w:val="000000" w:themeColor="text1"/>
              </w:rPr>
            </w:pPr>
            <w:r w:rsidRPr="00895204">
              <w:rPr>
                <w:rFonts w:cs="Segoe UI Light"/>
                <w:bCs/>
                <w:color w:val="000000" w:themeColor="text1"/>
              </w:rPr>
              <w:t xml:space="preserve">Section 18 of the Regulations should clearly call out requirements of proprietors in terms of maintaining cleanliness and hygiene. For example: a). maintaining </w:t>
            </w:r>
            <w:r w:rsidRPr="00F0077F">
              <w:rPr>
                <w:rFonts w:cs="Segoe UI Light"/>
                <w:bCs/>
                <w:color w:val="000000" w:themeColor="text1"/>
              </w:rPr>
              <w:t>all</w:t>
            </w:r>
            <w:r w:rsidRPr="00673FF2">
              <w:rPr>
                <w:rFonts w:cs="Segoe UI Light"/>
                <w:bCs/>
                <w:color w:val="000000" w:themeColor="text1"/>
              </w:rPr>
              <w:t xml:space="preserve"> areas in good working order and in a good state of repair, and; b). maintaining </w:t>
            </w:r>
            <w:r w:rsidRPr="00F0077F">
              <w:rPr>
                <w:rFonts w:cs="Segoe UI Light"/>
                <w:bCs/>
                <w:color w:val="000000" w:themeColor="text1"/>
              </w:rPr>
              <w:t>common areas and facilities</w:t>
            </w:r>
            <w:r w:rsidRPr="00673FF2">
              <w:rPr>
                <w:rFonts w:cs="Segoe UI Light"/>
                <w:bCs/>
                <w:color w:val="000000" w:themeColor="text1"/>
              </w:rPr>
              <w:t xml:space="preserve"> in a clean, sanitary and hygienic condition (</w:t>
            </w:r>
            <w:r w:rsidRPr="00F0077F">
              <w:rPr>
                <w:bCs/>
                <w:color w:val="000000" w:themeColor="text1"/>
              </w:rPr>
              <w:t>RAAV</w:t>
            </w:r>
            <w:r w:rsidRPr="00673FF2">
              <w:rPr>
                <w:bCs/>
                <w:color w:val="000000" w:themeColor="text1"/>
              </w:rPr>
              <w:t>)</w:t>
            </w:r>
            <w:r w:rsidRPr="00673FF2">
              <w:rPr>
                <w:rFonts w:cs="Segoe UI Light"/>
                <w:bCs/>
                <w:color w:val="000000" w:themeColor="text1"/>
              </w:rPr>
              <w:t>. This distinction would ensure proprietors are not lia</w:t>
            </w:r>
            <w:r w:rsidRPr="00895204">
              <w:rPr>
                <w:rFonts w:cs="Segoe UI Light"/>
                <w:bCs/>
                <w:color w:val="000000" w:themeColor="text1"/>
              </w:rPr>
              <w:t>ble for the hygiene and cleanliness of occupant belongings (</w:t>
            </w:r>
            <w:r w:rsidRPr="00F0077F">
              <w:rPr>
                <w:bCs/>
                <w:color w:val="000000" w:themeColor="text1"/>
              </w:rPr>
              <w:t>RAAV</w:t>
            </w:r>
            <w:r w:rsidRPr="00673FF2">
              <w:rPr>
                <w:bCs/>
                <w:color w:val="000000" w:themeColor="text1"/>
              </w:rPr>
              <w:t>)</w:t>
            </w:r>
            <w:r w:rsidRPr="00673FF2">
              <w:rPr>
                <w:rFonts w:cs="Segoe UI Light"/>
                <w:bCs/>
                <w:color w:val="000000" w:themeColor="text1"/>
              </w:rPr>
              <w:t>.</w:t>
            </w:r>
          </w:p>
          <w:p w14:paraId="5822F831" w14:textId="0B6E0502" w:rsidR="00CD1F6F" w:rsidRPr="00673FF2" w:rsidRDefault="00CD1F6F" w:rsidP="000A7D3A">
            <w:pPr>
              <w:pStyle w:val="ListBullet"/>
              <w:ind w:left="478" w:right="146" w:hanging="283"/>
              <w:rPr>
                <w:rFonts w:cs="Segoe UI Light"/>
                <w:bCs/>
                <w:color w:val="000000" w:themeColor="text1"/>
              </w:rPr>
            </w:pPr>
            <w:r w:rsidRPr="00895204">
              <w:rPr>
                <w:rFonts w:cs="Segoe UI Light"/>
                <w:bCs/>
                <w:color w:val="000000" w:themeColor="text1"/>
              </w:rPr>
              <w:t>The Department should consider how the Regulations can ensure proprietors have a plan of action to prevent or respond to infectious disease outbreak (</w:t>
            </w:r>
            <w:r w:rsidRPr="00F0077F">
              <w:rPr>
                <w:bCs/>
                <w:color w:val="000000" w:themeColor="text1"/>
              </w:rPr>
              <w:t>Government stakeholder</w:t>
            </w:r>
            <w:r w:rsidRPr="00673FF2">
              <w:rPr>
                <w:bCs/>
                <w:color w:val="000000" w:themeColor="text1"/>
              </w:rPr>
              <w:t>)</w:t>
            </w:r>
            <w:r w:rsidRPr="00673FF2">
              <w:rPr>
                <w:rFonts w:cs="Segoe UI Light"/>
                <w:bCs/>
                <w:color w:val="000000" w:themeColor="text1"/>
              </w:rPr>
              <w:t xml:space="preserve">. The plan </w:t>
            </w:r>
            <w:r w:rsidRPr="00895204">
              <w:rPr>
                <w:rFonts w:cs="Segoe UI Light"/>
                <w:bCs/>
                <w:color w:val="000000" w:themeColor="text1"/>
              </w:rPr>
              <w:t xml:space="preserve">should have some prescribed elements, for example, a schedule of additional cleaning required, instructions for the safe use of common areas and facilities, and the </w:t>
            </w:r>
            <w:r w:rsidRPr="00895204">
              <w:rPr>
                <w:rFonts w:cs="Segoe UI Light"/>
                <w:bCs/>
                <w:color w:val="000000" w:themeColor="text1"/>
              </w:rPr>
              <w:lastRenderedPageBreak/>
              <w:t>treatment of any infected residents (</w:t>
            </w:r>
            <w:r w:rsidRPr="00F0077F">
              <w:rPr>
                <w:bCs/>
                <w:color w:val="000000" w:themeColor="text1"/>
              </w:rPr>
              <w:t>Government stakeholder</w:t>
            </w:r>
            <w:r w:rsidRPr="00673FF2">
              <w:rPr>
                <w:bCs/>
                <w:color w:val="000000" w:themeColor="text1"/>
              </w:rPr>
              <w:t>)</w:t>
            </w:r>
            <w:r w:rsidRPr="00673FF2">
              <w:rPr>
                <w:rFonts w:cs="Segoe UI Light"/>
                <w:bCs/>
                <w:color w:val="000000" w:themeColor="text1"/>
              </w:rPr>
              <w:t>.</w:t>
            </w:r>
          </w:p>
        </w:tc>
        <w:tc>
          <w:tcPr>
            <w:tcW w:w="2106" w:type="pct"/>
          </w:tcPr>
          <w:p w14:paraId="7847E218" w14:textId="7E5B6E07" w:rsidR="00CD1F6F" w:rsidRPr="000A7D3A" w:rsidRDefault="0038321A">
            <w:pPr>
              <w:pStyle w:val="ListBullet"/>
              <w:numPr>
                <w:ilvl w:val="0"/>
                <w:numId w:val="0"/>
              </w:numPr>
              <w:rPr>
                <w:rFonts w:cs="Segoe UI Light"/>
                <w:bCs/>
                <w:color w:val="000000" w:themeColor="text1"/>
                <w:szCs w:val="18"/>
              </w:rPr>
            </w:pPr>
            <w:r w:rsidRPr="000A7D3A">
              <w:rPr>
                <w:rFonts w:cs="Segoe UI Light"/>
                <w:bCs/>
                <w:color w:val="000000" w:themeColor="text1"/>
              </w:rPr>
              <w:lastRenderedPageBreak/>
              <w:t>DH</w:t>
            </w:r>
            <w:r w:rsidR="00C4445E">
              <w:rPr>
                <w:rFonts w:cs="Segoe UI Light"/>
                <w:bCs/>
                <w:color w:val="000000" w:themeColor="text1"/>
              </w:rPr>
              <w:t>H</w:t>
            </w:r>
            <w:r w:rsidRPr="000A7D3A">
              <w:rPr>
                <w:rFonts w:cs="Segoe UI Light"/>
                <w:bCs/>
                <w:color w:val="000000" w:themeColor="text1"/>
              </w:rPr>
              <w:t xml:space="preserve">S considers it appropriate to </w:t>
            </w:r>
            <w:r w:rsidRPr="000A7D3A">
              <w:rPr>
                <w:rFonts w:cs="Segoe UI Light"/>
                <w:bCs/>
                <w:color w:val="000000" w:themeColor="text1"/>
                <w:szCs w:val="18"/>
              </w:rPr>
              <w:t>consider whether the standards in the Regulations are ‘fit for purpose’ in the context of considering the outcomes of various cross portfolio reviews across government that interface with prescribed accommodation. Of particular relevance is the DJCS review of the definition of ‘rooming houses’ and BRV’s review of the imbalances in the accommodation sector, specifically differences in standards and regulations for traditional and short stay accommodation.</w:t>
            </w:r>
          </w:p>
          <w:p w14:paraId="0DCC6CB0" w14:textId="77777777" w:rsidR="00CF27F8" w:rsidRDefault="00CF27F8">
            <w:pPr>
              <w:pStyle w:val="ListBullet"/>
              <w:numPr>
                <w:ilvl w:val="0"/>
                <w:numId w:val="0"/>
              </w:numPr>
              <w:rPr>
                <w:rFonts w:cs="Segoe UI Light"/>
                <w:bCs/>
                <w:color w:val="000000" w:themeColor="text1"/>
              </w:rPr>
            </w:pPr>
            <w:r w:rsidRPr="002B735B">
              <w:rPr>
                <w:rFonts w:cs="Segoe UI Light"/>
                <w:bCs/>
                <w:color w:val="000000" w:themeColor="text1"/>
                <w:szCs w:val="18"/>
              </w:rPr>
              <w:t>In relation to plans of action for infectious disease outbreak, DHHS will consider further in the context of available data from the COVID-19 health emergency.</w:t>
            </w:r>
            <w:r w:rsidRPr="000A7D3A">
              <w:rPr>
                <w:rFonts w:ascii="Arial" w:hAnsi="Arial" w:cs="Arial"/>
                <w:bCs/>
                <w:color w:val="000000" w:themeColor="text1"/>
                <w:sz w:val="22"/>
                <w:szCs w:val="22"/>
              </w:rPr>
              <w:t xml:space="preserve"> </w:t>
            </w:r>
            <w:r w:rsidRPr="000A7D3A">
              <w:rPr>
                <w:rFonts w:cs="Segoe UI Light"/>
                <w:bCs/>
                <w:color w:val="000000" w:themeColor="text1"/>
              </w:rPr>
              <w:t xml:space="preserve"> </w:t>
            </w:r>
          </w:p>
          <w:p w14:paraId="7864CB6B" w14:textId="77777777" w:rsidR="00544D7A" w:rsidRDefault="00544D7A" w:rsidP="00544D7A">
            <w:pPr>
              <w:pStyle w:val="ListBullet"/>
              <w:numPr>
                <w:ilvl w:val="0"/>
                <w:numId w:val="0"/>
              </w:numPr>
              <w:spacing w:before="240"/>
              <w:rPr>
                <w:rFonts w:cs="Segoe UI Light"/>
                <w:bCs/>
                <w:color w:val="000000" w:themeColor="text1"/>
              </w:rPr>
            </w:pPr>
          </w:p>
          <w:p w14:paraId="539301B0" w14:textId="323525AC" w:rsidR="00CF27F8" w:rsidRPr="000A7D3A" w:rsidRDefault="00544D7A" w:rsidP="00544D7A">
            <w:pPr>
              <w:pStyle w:val="ListBullet"/>
              <w:numPr>
                <w:ilvl w:val="0"/>
                <w:numId w:val="0"/>
              </w:numPr>
              <w:spacing w:before="240"/>
              <w:rPr>
                <w:rFonts w:cs="Segoe UI Light"/>
                <w:bCs/>
                <w:color w:val="000000" w:themeColor="text1"/>
              </w:rPr>
            </w:pPr>
            <w:r w:rsidRPr="004B4A28">
              <w:rPr>
                <w:rFonts w:cs="Segoe UI Light"/>
                <w:bCs/>
                <w:color w:val="000000" w:themeColor="text1"/>
              </w:rPr>
              <w:t>DHHS commits to work with councils to improve consistency of interpretation, intent and enforcement (e.g. through information and advice to Councils, outcomes and risk-based approaches, reporting and monitoring)</w:t>
            </w:r>
            <w:r w:rsidR="006F4A4B">
              <w:rPr>
                <w:rFonts w:cs="Segoe UI Light"/>
                <w:bCs/>
                <w:color w:val="000000" w:themeColor="text1"/>
              </w:rPr>
              <w:t xml:space="preserve">, and </w:t>
            </w:r>
            <w:r w:rsidR="009D3663">
              <w:rPr>
                <w:rFonts w:cs="Segoe UI Light"/>
                <w:bCs/>
                <w:color w:val="000000" w:themeColor="text1"/>
              </w:rPr>
              <w:t xml:space="preserve">to establish clarity about </w:t>
            </w:r>
            <w:r w:rsidR="001E7C8B">
              <w:rPr>
                <w:rFonts w:cs="Segoe UI Light"/>
                <w:bCs/>
                <w:color w:val="000000" w:themeColor="text1"/>
              </w:rPr>
              <w:t xml:space="preserve">respective </w:t>
            </w:r>
            <w:r w:rsidR="006F4A4B">
              <w:rPr>
                <w:rFonts w:cs="Segoe UI Light"/>
                <w:bCs/>
                <w:color w:val="000000" w:themeColor="text1"/>
              </w:rPr>
              <w:t>roles and responsibilities</w:t>
            </w:r>
            <w:r w:rsidRPr="004B4A28">
              <w:rPr>
                <w:rFonts w:cs="Segoe UI Light"/>
                <w:bCs/>
                <w:color w:val="000000" w:themeColor="text1"/>
              </w:rPr>
              <w:t>. This would need to be done within limits of existing DHHS powers and resources.</w:t>
            </w:r>
          </w:p>
        </w:tc>
      </w:tr>
      <w:tr w:rsidR="005C17C5" w:rsidRPr="00A37EEC" w14:paraId="168412BF" w14:textId="064D8E67" w:rsidTr="00F0077F">
        <w:tc>
          <w:tcPr>
            <w:tcW w:w="595" w:type="pct"/>
          </w:tcPr>
          <w:p w14:paraId="7E61DDD5" w14:textId="77777777" w:rsidR="00CD1F6F" w:rsidRPr="000A7D3A" w:rsidRDefault="00CD1F6F">
            <w:pPr>
              <w:rPr>
                <w:rFonts w:cs="Segoe UI Light"/>
                <w:bCs/>
                <w:color w:val="000000" w:themeColor="text1"/>
              </w:rPr>
            </w:pPr>
            <w:r w:rsidRPr="000A7D3A">
              <w:rPr>
                <w:rFonts w:cs="Segoe UI Light"/>
                <w:bCs/>
                <w:color w:val="000000" w:themeColor="text1"/>
              </w:rPr>
              <w:t>Implementation</w:t>
            </w:r>
          </w:p>
        </w:tc>
        <w:tc>
          <w:tcPr>
            <w:tcW w:w="2299" w:type="pct"/>
          </w:tcPr>
          <w:p w14:paraId="113723C6" w14:textId="7A35059C" w:rsidR="00275E9F" w:rsidRPr="00895204" w:rsidRDefault="00CD1F6F" w:rsidP="00275E9F">
            <w:pPr>
              <w:pStyle w:val="ListBullet"/>
              <w:ind w:left="478" w:right="146" w:hanging="283"/>
              <w:rPr>
                <w:bCs/>
                <w:color w:val="000000" w:themeColor="text1"/>
              </w:rPr>
            </w:pPr>
            <w:r w:rsidRPr="000A7D3A">
              <w:rPr>
                <w:bCs/>
                <w:color w:val="000000" w:themeColor="text1"/>
              </w:rPr>
              <w:t xml:space="preserve">The Department should consider how the Regulations might ensure consistency and timeliness in the way Local Government fulfils their </w:t>
            </w:r>
            <w:r w:rsidRPr="00673FF2">
              <w:rPr>
                <w:bCs/>
                <w:color w:val="000000" w:themeColor="text1"/>
              </w:rPr>
              <w:t xml:space="preserve">responsibilities under the Regulations </w:t>
            </w:r>
            <w:r w:rsidRPr="00673FF2">
              <w:rPr>
                <w:rFonts w:cs="Segoe UI Light"/>
                <w:bCs/>
                <w:color w:val="000000" w:themeColor="text1"/>
              </w:rPr>
              <w:t>(</w:t>
            </w:r>
            <w:r w:rsidR="005744DB" w:rsidRPr="00F0077F">
              <w:rPr>
                <w:bCs/>
                <w:color w:val="000000" w:themeColor="text1"/>
              </w:rPr>
              <w:t>RAAV</w:t>
            </w:r>
            <w:r w:rsidRPr="00673FF2">
              <w:rPr>
                <w:bCs/>
                <w:color w:val="000000" w:themeColor="text1"/>
              </w:rPr>
              <w:t>)</w:t>
            </w:r>
            <w:r w:rsidRPr="00673FF2">
              <w:rPr>
                <w:rFonts w:cs="Segoe UI Light"/>
                <w:bCs/>
                <w:color w:val="000000" w:themeColor="text1"/>
              </w:rPr>
              <w:t>.</w:t>
            </w:r>
            <w:r w:rsidR="00275E9F" w:rsidRPr="00673FF2">
              <w:rPr>
                <w:rFonts w:cs="Segoe UI Light"/>
                <w:bCs/>
                <w:color w:val="000000" w:themeColor="text1"/>
              </w:rPr>
              <w:t xml:space="preserve"> </w:t>
            </w:r>
            <w:r w:rsidR="00275E9F" w:rsidRPr="004D2693">
              <w:rPr>
                <w:rFonts w:cs="Segoe UI Light"/>
                <w:bCs/>
                <w:color w:val="000000" w:themeColor="text1"/>
              </w:rPr>
              <w:t xml:space="preserve"> The Department should consider including the following under Section 16: “an application for registration, renewal or transfer ta</w:t>
            </w:r>
            <w:r w:rsidR="00275E9F" w:rsidRPr="00895204">
              <w:rPr>
                <w:rFonts w:cs="Segoe UI Light"/>
                <w:bCs/>
                <w:color w:val="000000" w:themeColor="text1"/>
              </w:rPr>
              <w:t>kes effect after 30 days unless council notifies otherwise. If the application is refused the council must provide written reasons under the PHWA” (RAAV). This can reduce unnecessary delays in the registration process (RAAV).</w:t>
            </w:r>
          </w:p>
          <w:p w14:paraId="0178DF59" w14:textId="77777777" w:rsidR="00CD1F6F" w:rsidRPr="00895204" w:rsidRDefault="00CD1F6F">
            <w:pPr>
              <w:pStyle w:val="ListBullet"/>
              <w:ind w:left="478" w:right="146" w:hanging="283"/>
              <w:rPr>
                <w:bCs/>
                <w:color w:val="000000" w:themeColor="text1"/>
              </w:rPr>
            </w:pPr>
            <w:r w:rsidRPr="00895204">
              <w:rPr>
                <w:bCs/>
                <w:color w:val="000000" w:themeColor="text1"/>
              </w:rPr>
              <w:t>The Regulations and the PHWA should provide Power of Entry and Investigation to Local Governments. Local Governments are responsible for monitoring and enforcing adherence to the Regulations and PHWA and require this Power to enter premises to be able to effectively perform that function (local council).</w:t>
            </w:r>
          </w:p>
          <w:p w14:paraId="3EB6F345" w14:textId="3C9F7FD9" w:rsidR="00C15FF5" w:rsidRPr="000A7D3A" w:rsidRDefault="00F56375" w:rsidP="000A7D3A">
            <w:pPr>
              <w:pStyle w:val="ListBullet"/>
              <w:ind w:left="478" w:right="146" w:hanging="283"/>
              <w:rPr>
                <w:bCs/>
                <w:color w:val="000000" w:themeColor="text1"/>
              </w:rPr>
            </w:pPr>
            <w:r w:rsidRPr="00895204">
              <w:rPr>
                <w:bCs/>
                <w:color w:val="000000" w:themeColor="text1"/>
              </w:rPr>
              <w:t>Reforms to the Principal Act to enhance the powers of entry for authorised officers to premises suspected of providing prescribed accommodation.  That reform is essential for the effective operation of the Regulations but we understand that it is not within the scope of the remake of the Regulations. (</w:t>
            </w:r>
            <w:r w:rsidR="00275E9F" w:rsidRPr="00895204">
              <w:rPr>
                <w:bCs/>
                <w:color w:val="000000" w:themeColor="text1"/>
              </w:rPr>
              <w:t>G</w:t>
            </w:r>
            <w:r w:rsidRPr="00895204">
              <w:rPr>
                <w:bCs/>
                <w:color w:val="000000" w:themeColor="text1"/>
              </w:rPr>
              <w:t>overnment</w:t>
            </w:r>
            <w:r w:rsidRPr="00F0077F">
              <w:rPr>
                <w:bCs/>
                <w:i/>
                <w:iCs/>
                <w:color w:val="000000" w:themeColor="text1"/>
              </w:rPr>
              <w:t xml:space="preserve"> stakeholder</w:t>
            </w:r>
            <w:r w:rsidRPr="000A7D3A">
              <w:rPr>
                <w:bCs/>
                <w:color w:val="000000" w:themeColor="text1"/>
              </w:rPr>
              <w:t>)</w:t>
            </w:r>
          </w:p>
          <w:p w14:paraId="151D0CE3" w14:textId="1EF767C4" w:rsidR="00CD1F6F" w:rsidRPr="000A7D3A" w:rsidRDefault="00CD1F6F" w:rsidP="00F0077F">
            <w:pPr>
              <w:pStyle w:val="ListBullet"/>
              <w:numPr>
                <w:ilvl w:val="0"/>
                <w:numId w:val="0"/>
              </w:numPr>
              <w:ind w:left="720" w:right="146" w:hanging="360"/>
              <w:rPr>
                <w:bCs/>
                <w:color w:val="000000" w:themeColor="text1"/>
              </w:rPr>
            </w:pPr>
          </w:p>
        </w:tc>
        <w:tc>
          <w:tcPr>
            <w:tcW w:w="2106" w:type="pct"/>
          </w:tcPr>
          <w:p w14:paraId="05765B09" w14:textId="01F69909" w:rsidR="00CD1F6F" w:rsidRPr="000A7D3A" w:rsidRDefault="00316FB8" w:rsidP="002B735B">
            <w:pPr>
              <w:pStyle w:val="ListBullet"/>
              <w:numPr>
                <w:ilvl w:val="0"/>
                <w:numId w:val="0"/>
              </w:numPr>
              <w:ind w:left="45"/>
              <w:rPr>
                <w:bCs/>
                <w:color w:val="000000" w:themeColor="text1"/>
              </w:rPr>
            </w:pPr>
            <w:r w:rsidRPr="000A7D3A">
              <w:rPr>
                <w:bCs/>
                <w:color w:val="000000" w:themeColor="text1"/>
              </w:rPr>
              <w:t>DHHS commits to work with councils to improve consistency of interpretation, intent and enforcement (e.g. through information and advice to Councils, outcomes and risk-based approaches, reporting and monitoring)</w:t>
            </w:r>
            <w:r w:rsidR="00737B12">
              <w:rPr>
                <w:bCs/>
                <w:color w:val="000000" w:themeColor="text1"/>
              </w:rPr>
              <w:t xml:space="preserve">, and to establish </w:t>
            </w:r>
            <w:r w:rsidR="009D3663">
              <w:rPr>
                <w:bCs/>
                <w:color w:val="000000" w:themeColor="text1"/>
              </w:rPr>
              <w:t xml:space="preserve">clarity about </w:t>
            </w:r>
            <w:r w:rsidR="001E7C8B">
              <w:rPr>
                <w:bCs/>
                <w:color w:val="000000" w:themeColor="text1"/>
              </w:rPr>
              <w:t xml:space="preserve">respective </w:t>
            </w:r>
            <w:r w:rsidR="00737B12">
              <w:rPr>
                <w:bCs/>
                <w:color w:val="000000" w:themeColor="text1"/>
              </w:rPr>
              <w:t>roles and responsibilities</w:t>
            </w:r>
            <w:r w:rsidRPr="000A7D3A">
              <w:rPr>
                <w:bCs/>
                <w:color w:val="000000" w:themeColor="text1"/>
              </w:rPr>
              <w:t>. This would need to be done within limits of existing DHHS powers and resources.</w:t>
            </w:r>
          </w:p>
          <w:p w14:paraId="5A8B2C65" w14:textId="77777777" w:rsidR="00C065C1" w:rsidRDefault="00C065C1" w:rsidP="002B735B">
            <w:pPr>
              <w:pStyle w:val="ListBullet"/>
              <w:numPr>
                <w:ilvl w:val="0"/>
                <w:numId w:val="0"/>
              </w:numPr>
              <w:ind w:left="45"/>
              <w:rPr>
                <w:bCs/>
                <w:color w:val="000000" w:themeColor="text1"/>
              </w:rPr>
            </w:pPr>
          </w:p>
          <w:p w14:paraId="16128585" w14:textId="69A910D9" w:rsidR="00A8039C" w:rsidRPr="000A7D3A" w:rsidRDefault="00C065C1" w:rsidP="00C065C1">
            <w:pPr>
              <w:pStyle w:val="ListBullet"/>
              <w:numPr>
                <w:ilvl w:val="0"/>
                <w:numId w:val="0"/>
              </w:numPr>
              <w:rPr>
                <w:bCs/>
                <w:color w:val="000000" w:themeColor="text1"/>
              </w:rPr>
            </w:pPr>
            <w:r w:rsidRPr="00230E10">
              <w:rPr>
                <w:bCs/>
                <w:color w:val="000000" w:themeColor="text1"/>
              </w:rPr>
              <w:t>The requirements for councils to consider applications to register prescribed accommodation, and to renew and transfer registrations are set out in the PHWA and are not part of the review of the Regulations. Further, any change to the framework under the PHWA would require a legislative amendment, rather than a change to the Regulations. DHHS commits to work with councils to improve consistency of interpretation, intent and enforcement (e.g. through information and advice to Councils, outcomes and risk-based approaches, reporting and monitoring)</w:t>
            </w:r>
            <w:r w:rsidR="005B757D">
              <w:rPr>
                <w:bCs/>
                <w:color w:val="000000" w:themeColor="text1"/>
              </w:rPr>
              <w:t xml:space="preserve">, and to establish </w:t>
            </w:r>
            <w:r w:rsidR="009D3663">
              <w:rPr>
                <w:bCs/>
                <w:color w:val="000000" w:themeColor="text1"/>
              </w:rPr>
              <w:t xml:space="preserve">clarity about </w:t>
            </w:r>
            <w:r w:rsidR="001E7C8B">
              <w:rPr>
                <w:bCs/>
                <w:color w:val="000000" w:themeColor="text1"/>
              </w:rPr>
              <w:t xml:space="preserve">respective </w:t>
            </w:r>
            <w:r w:rsidR="005B757D">
              <w:rPr>
                <w:bCs/>
                <w:color w:val="000000" w:themeColor="text1"/>
              </w:rPr>
              <w:t>roles and responsibilities</w:t>
            </w:r>
            <w:r w:rsidRPr="00230E10">
              <w:rPr>
                <w:bCs/>
                <w:color w:val="000000" w:themeColor="text1"/>
              </w:rPr>
              <w:t>. This would need to be done within limits of existing DHHS powers and resources.</w:t>
            </w:r>
          </w:p>
          <w:p w14:paraId="685CBB70" w14:textId="5F990EED" w:rsidR="00A8039C" w:rsidRPr="000A7D3A" w:rsidRDefault="00A8039C" w:rsidP="002B735B">
            <w:pPr>
              <w:pStyle w:val="ListBullet"/>
              <w:numPr>
                <w:ilvl w:val="0"/>
                <w:numId w:val="0"/>
              </w:numPr>
              <w:ind w:left="45"/>
              <w:rPr>
                <w:bCs/>
                <w:color w:val="000000" w:themeColor="text1"/>
              </w:rPr>
            </w:pPr>
            <w:r w:rsidRPr="002B735B">
              <w:rPr>
                <w:bCs/>
                <w:color w:val="000000" w:themeColor="text1"/>
              </w:rPr>
              <w:t>Powers of entry: The powers that authorised officers already hold to enter premises without a warrant are substantial. As a range of frameworks regulate rooming houses and other forms of prescribed accommodation, it is appropriate to continue to work with regulators, local councils and government departments administering relevant regulation to fully understand compliance and enforcement issues with a view to identifying a whole of system approach.</w:t>
            </w:r>
            <w:r w:rsidRPr="000A7D3A">
              <w:rPr>
                <w:color w:val="000000" w:themeColor="text1"/>
                <w:sz w:val="18"/>
              </w:rPr>
              <w:t xml:space="preserve">   </w:t>
            </w:r>
          </w:p>
        </w:tc>
      </w:tr>
      <w:tr w:rsidR="005C17C5" w:rsidRPr="00A37EEC" w14:paraId="05049E9D" w14:textId="615166F7" w:rsidTr="00F0077F">
        <w:tc>
          <w:tcPr>
            <w:tcW w:w="595" w:type="pct"/>
          </w:tcPr>
          <w:p w14:paraId="63CFE3CB" w14:textId="7B752BD3" w:rsidR="00CD1F6F" w:rsidRPr="000A7D3A" w:rsidRDefault="00CD1F6F">
            <w:pPr>
              <w:rPr>
                <w:rFonts w:cs="Segoe UI Light"/>
                <w:bCs/>
                <w:color w:val="000000" w:themeColor="text1"/>
              </w:rPr>
            </w:pPr>
            <w:r w:rsidRPr="000A7D3A">
              <w:rPr>
                <w:rFonts w:cs="Segoe UI Light"/>
                <w:bCs/>
                <w:color w:val="000000" w:themeColor="text1"/>
              </w:rPr>
              <w:t>Definitions and exemptions</w:t>
            </w:r>
            <w:r w:rsidR="00661392" w:rsidRPr="000A7D3A">
              <w:rPr>
                <w:rFonts w:cs="Segoe UI Light"/>
                <w:bCs/>
                <w:color w:val="000000" w:themeColor="text1"/>
              </w:rPr>
              <w:t>, coverage</w:t>
            </w:r>
          </w:p>
        </w:tc>
        <w:tc>
          <w:tcPr>
            <w:tcW w:w="2299" w:type="pct"/>
          </w:tcPr>
          <w:p w14:paraId="325535A0" w14:textId="77777777" w:rsidR="00F271EB" w:rsidRDefault="00F271EB" w:rsidP="00F271EB">
            <w:pPr>
              <w:pStyle w:val="ListBullet"/>
              <w:ind w:left="478" w:right="146" w:hanging="283"/>
              <w:rPr>
                <w:bCs/>
                <w:color w:val="000000" w:themeColor="text1"/>
              </w:rPr>
            </w:pPr>
            <w:r>
              <w:rPr>
                <w:bCs/>
                <w:color w:val="000000" w:themeColor="text1"/>
              </w:rPr>
              <w:t xml:space="preserve">Consideration should be given to a simpler definition of ‘rooming house’ in the Regulations and to import other related parts of the definition into the Regulations (Government stakeholder) and clarifying the definition of rooming house with councils (RAAV). </w:t>
            </w:r>
          </w:p>
          <w:p w14:paraId="760ED6D9" w14:textId="08EC0304" w:rsidR="00F271EB" w:rsidRPr="00F271EB" w:rsidRDefault="00F271EB" w:rsidP="00960479">
            <w:pPr>
              <w:pStyle w:val="ListBullet"/>
              <w:ind w:left="478" w:right="146" w:hanging="283"/>
              <w:rPr>
                <w:bCs/>
                <w:color w:val="000000" w:themeColor="text1"/>
              </w:rPr>
            </w:pPr>
            <w:r>
              <w:rPr>
                <w:bCs/>
                <w:color w:val="000000" w:themeColor="text1"/>
              </w:rPr>
              <w:t xml:space="preserve">Consideration should also be given to aligning the entity that is the rooming house operator under the RTA with the proprietor of prescribed </w:t>
            </w:r>
            <w:r>
              <w:rPr>
                <w:bCs/>
                <w:color w:val="000000" w:themeColor="text1"/>
              </w:rPr>
              <w:lastRenderedPageBreak/>
              <w:t>accommodation under the Regulations. (Government stakeholder)</w:t>
            </w:r>
          </w:p>
          <w:p w14:paraId="3962BFFF" w14:textId="247A6851" w:rsidR="00CD1F6F" w:rsidRDefault="00CD1F6F">
            <w:pPr>
              <w:pStyle w:val="ListBullet"/>
              <w:ind w:left="478" w:right="146" w:hanging="283"/>
              <w:rPr>
                <w:bCs/>
                <w:color w:val="000000" w:themeColor="text1"/>
              </w:rPr>
            </w:pPr>
            <w:r w:rsidRPr="000A7D3A">
              <w:rPr>
                <w:bCs/>
                <w:color w:val="000000" w:themeColor="text1"/>
              </w:rPr>
              <w:t xml:space="preserve">The definition of Prescribed Accommodation </w:t>
            </w:r>
            <w:r w:rsidR="001A297B">
              <w:rPr>
                <w:bCs/>
                <w:color w:val="000000" w:themeColor="text1"/>
              </w:rPr>
              <w:t>needs to be reviewed</w:t>
            </w:r>
            <w:r w:rsidR="0083179B">
              <w:rPr>
                <w:bCs/>
                <w:color w:val="000000" w:themeColor="text1"/>
              </w:rPr>
              <w:t>, with concerns raised about</w:t>
            </w:r>
            <w:r w:rsidRPr="000A7D3A">
              <w:rPr>
                <w:bCs/>
                <w:color w:val="000000" w:themeColor="text1"/>
              </w:rPr>
              <w:t xml:space="preserve"> ambiguity around which types of accommodation (for example, </w:t>
            </w:r>
            <w:r w:rsidR="0083179B">
              <w:rPr>
                <w:bCs/>
                <w:color w:val="000000" w:themeColor="text1"/>
              </w:rPr>
              <w:t xml:space="preserve">share houses, </w:t>
            </w:r>
            <w:r w:rsidRPr="000A7D3A">
              <w:rPr>
                <w:bCs/>
                <w:color w:val="000000" w:themeColor="text1"/>
              </w:rPr>
              <w:t>short term</w:t>
            </w:r>
            <w:r w:rsidR="00C811CD">
              <w:rPr>
                <w:bCs/>
                <w:color w:val="000000" w:themeColor="text1"/>
              </w:rPr>
              <w:t xml:space="preserve"> accommodation</w:t>
            </w:r>
            <w:r w:rsidRPr="000A7D3A">
              <w:rPr>
                <w:bCs/>
                <w:color w:val="000000" w:themeColor="text1"/>
              </w:rPr>
              <w:t>, holiday</w:t>
            </w:r>
            <w:r w:rsidR="00E80DAA">
              <w:rPr>
                <w:bCs/>
                <w:color w:val="000000" w:themeColor="text1"/>
              </w:rPr>
              <w:t xml:space="preserve"> accommodation</w:t>
            </w:r>
            <w:r w:rsidRPr="000A7D3A">
              <w:rPr>
                <w:bCs/>
                <w:color w:val="000000" w:themeColor="text1"/>
              </w:rPr>
              <w:t xml:space="preserve">, </w:t>
            </w:r>
            <w:r w:rsidR="00E80DAA">
              <w:rPr>
                <w:bCs/>
                <w:color w:val="000000" w:themeColor="text1"/>
              </w:rPr>
              <w:t>serviced apartments</w:t>
            </w:r>
            <w:r w:rsidRPr="000A7D3A">
              <w:rPr>
                <w:bCs/>
                <w:color w:val="000000" w:themeColor="text1"/>
              </w:rPr>
              <w:t>, student</w:t>
            </w:r>
            <w:r w:rsidR="00131CA6">
              <w:rPr>
                <w:bCs/>
                <w:color w:val="000000" w:themeColor="text1"/>
              </w:rPr>
              <w:t xml:space="preserve"> accommodation</w:t>
            </w:r>
            <w:r w:rsidRPr="000A7D3A">
              <w:rPr>
                <w:bCs/>
                <w:color w:val="000000" w:themeColor="text1"/>
              </w:rPr>
              <w:t>, worker</w:t>
            </w:r>
            <w:r w:rsidR="00ED7E9C">
              <w:rPr>
                <w:bCs/>
                <w:color w:val="000000" w:themeColor="text1"/>
              </w:rPr>
              <w:t xml:space="preserve"> accommodation</w:t>
            </w:r>
            <w:r w:rsidR="00700FBA">
              <w:rPr>
                <w:bCs/>
                <w:color w:val="000000" w:themeColor="text1"/>
              </w:rPr>
              <w:t>,</w:t>
            </w:r>
            <w:r w:rsidRPr="000A7D3A">
              <w:rPr>
                <w:bCs/>
                <w:color w:val="000000" w:themeColor="text1"/>
              </w:rPr>
              <w:t xml:space="preserve"> and high-rise residential</w:t>
            </w:r>
            <w:r w:rsidR="00404BAC">
              <w:rPr>
                <w:bCs/>
                <w:color w:val="000000" w:themeColor="text1"/>
              </w:rPr>
              <w:t xml:space="preserve"> accommodation</w:t>
            </w:r>
            <w:r w:rsidRPr="00F0077F">
              <w:rPr>
                <w:color w:val="000000" w:themeColor="text1"/>
                <w:vertAlign w:val="superscript"/>
              </w:rPr>
              <w:footnoteReference w:id="135"/>
            </w:r>
            <w:r w:rsidR="00834A92">
              <w:rPr>
                <w:bCs/>
                <w:color w:val="000000" w:themeColor="text1"/>
              </w:rPr>
              <w:t>)</w:t>
            </w:r>
            <w:r w:rsidRPr="000A7D3A">
              <w:rPr>
                <w:bCs/>
                <w:color w:val="000000" w:themeColor="text1"/>
              </w:rPr>
              <w:t xml:space="preserve"> should be registered under the PHWA</w:t>
            </w:r>
            <w:r w:rsidR="002F29E7">
              <w:rPr>
                <w:bCs/>
                <w:color w:val="000000" w:themeColor="text1"/>
              </w:rPr>
              <w:t xml:space="preserve">. </w:t>
            </w:r>
            <w:r w:rsidR="00BB2319">
              <w:rPr>
                <w:bCs/>
                <w:color w:val="000000" w:themeColor="text1"/>
              </w:rPr>
              <w:t xml:space="preserve"> Concerns were also expressed that the definitions were out of date and did not reflect the contemporary accommodation market </w:t>
            </w:r>
            <w:r w:rsidRPr="000A7D3A">
              <w:rPr>
                <w:bCs/>
                <w:color w:val="000000" w:themeColor="text1"/>
              </w:rPr>
              <w:t>(local council; RAAV; Government stakeholder).</w:t>
            </w:r>
          </w:p>
          <w:p w14:paraId="20562EBC" w14:textId="28FB6FB5" w:rsidR="00C11AD3" w:rsidRDefault="00B050A2">
            <w:pPr>
              <w:pStyle w:val="ListBullet"/>
              <w:ind w:left="478" w:right="146" w:hanging="283"/>
              <w:rPr>
                <w:bCs/>
                <w:color w:val="000000" w:themeColor="text1"/>
              </w:rPr>
            </w:pPr>
            <w:r>
              <w:rPr>
                <w:bCs/>
                <w:color w:val="000000" w:themeColor="text1"/>
              </w:rPr>
              <w:t xml:space="preserve">Clarification of inclusion or exclusion </w:t>
            </w:r>
            <w:r w:rsidR="00D869F2">
              <w:rPr>
                <w:bCs/>
                <w:color w:val="000000" w:themeColor="text1"/>
              </w:rPr>
              <w:t xml:space="preserve">of share houses </w:t>
            </w:r>
            <w:r>
              <w:rPr>
                <w:bCs/>
                <w:color w:val="000000" w:themeColor="text1"/>
              </w:rPr>
              <w:t>is needed (local council</w:t>
            </w:r>
            <w:r w:rsidR="00111584">
              <w:rPr>
                <w:bCs/>
                <w:color w:val="000000" w:themeColor="text1"/>
              </w:rPr>
              <w:t>s</w:t>
            </w:r>
            <w:r>
              <w:rPr>
                <w:bCs/>
                <w:color w:val="000000" w:themeColor="text1"/>
              </w:rPr>
              <w:t>).</w:t>
            </w:r>
          </w:p>
          <w:p w14:paraId="352F4EA5" w14:textId="50F93690" w:rsidR="00174BEB" w:rsidRPr="000A7D3A" w:rsidRDefault="00174BEB" w:rsidP="000A7D3A">
            <w:pPr>
              <w:pStyle w:val="ListBullet"/>
              <w:ind w:left="478" w:right="146" w:hanging="283"/>
              <w:rPr>
                <w:bCs/>
                <w:color w:val="000000" w:themeColor="text1"/>
              </w:rPr>
            </w:pPr>
            <w:r>
              <w:rPr>
                <w:bCs/>
                <w:color w:val="000000" w:themeColor="text1"/>
              </w:rPr>
              <w:t xml:space="preserve">Clarification regarding the </w:t>
            </w:r>
            <w:r w:rsidRPr="00174BEB">
              <w:rPr>
                <w:bCs/>
                <w:color w:val="000000" w:themeColor="text1"/>
              </w:rPr>
              <w:t xml:space="preserve">exemption afforded at r 14(a) of the Regulations relating to premises ‘under the exclusive occupation of the occupier’ </w:t>
            </w:r>
            <w:r w:rsidR="00481D2D">
              <w:rPr>
                <w:bCs/>
                <w:color w:val="000000" w:themeColor="text1"/>
              </w:rPr>
              <w:t>is needed</w:t>
            </w:r>
            <w:r w:rsidR="0090250C">
              <w:rPr>
                <w:bCs/>
                <w:color w:val="000000" w:themeColor="text1"/>
              </w:rPr>
              <w:t xml:space="preserve"> </w:t>
            </w:r>
            <w:r w:rsidR="0090250C" w:rsidRPr="000A7D3A">
              <w:rPr>
                <w:bCs/>
                <w:color w:val="000000" w:themeColor="text1"/>
              </w:rPr>
              <w:t>(local council</w:t>
            </w:r>
            <w:r w:rsidR="00111584">
              <w:rPr>
                <w:bCs/>
                <w:color w:val="000000" w:themeColor="text1"/>
              </w:rPr>
              <w:t>s</w:t>
            </w:r>
            <w:r w:rsidR="0090250C" w:rsidRPr="000A7D3A">
              <w:rPr>
                <w:bCs/>
                <w:color w:val="000000" w:themeColor="text1"/>
              </w:rPr>
              <w:t>)</w:t>
            </w:r>
            <w:r w:rsidR="00481D2D">
              <w:rPr>
                <w:bCs/>
                <w:color w:val="000000" w:themeColor="text1"/>
              </w:rPr>
              <w:t>.</w:t>
            </w:r>
          </w:p>
          <w:p w14:paraId="44E41918" w14:textId="6FA84C5C" w:rsidR="00CD1F6F" w:rsidRPr="000A7D3A" w:rsidRDefault="00CD1F6F">
            <w:pPr>
              <w:pStyle w:val="ListBullet"/>
              <w:ind w:left="478" w:right="146" w:hanging="283"/>
              <w:rPr>
                <w:bCs/>
                <w:color w:val="000000" w:themeColor="text1"/>
              </w:rPr>
            </w:pPr>
            <w:r w:rsidRPr="000A7D3A">
              <w:rPr>
                <w:bCs/>
                <w:color w:val="000000" w:themeColor="text1"/>
              </w:rPr>
              <w:t>Exemptions to the Regulations should be clarified with specific examples of which circumstances are exempt from the Regulations (local council</w:t>
            </w:r>
            <w:r w:rsidR="00111584">
              <w:rPr>
                <w:bCs/>
                <w:color w:val="000000" w:themeColor="text1"/>
              </w:rPr>
              <w:t>s</w:t>
            </w:r>
            <w:r w:rsidRPr="000A7D3A">
              <w:rPr>
                <w:bCs/>
                <w:color w:val="000000" w:themeColor="text1"/>
              </w:rPr>
              <w:t>). This will support Local Government in enforcing the Regulations consistently and appropriately (local council</w:t>
            </w:r>
            <w:r w:rsidR="00111584">
              <w:rPr>
                <w:bCs/>
                <w:color w:val="000000" w:themeColor="text1"/>
              </w:rPr>
              <w:t>s</w:t>
            </w:r>
            <w:r w:rsidRPr="000A7D3A">
              <w:rPr>
                <w:bCs/>
                <w:color w:val="000000" w:themeColor="text1"/>
              </w:rPr>
              <w:t>).</w:t>
            </w:r>
          </w:p>
          <w:p w14:paraId="7DA37A84" w14:textId="75B5A190" w:rsidR="00790B7F" w:rsidRPr="000A7D3A" w:rsidRDefault="00790B7F" w:rsidP="000A7D3A">
            <w:pPr>
              <w:pStyle w:val="ListBullet"/>
              <w:ind w:left="478" w:right="146" w:hanging="283"/>
              <w:rPr>
                <w:bCs/>
                <w:color w:val="000000" w:themeColor="text1"/>
              </w:rPr>
            </w:pPr>
            <w:r w:rsidRPr="000A7D3A">
              <w:rPr>
                <w:bCs/>
                <w:color w:val="000000" w:themeColor="text1"/>
              </w:rPr>
              <w:t>Inclusion or clarification about the application of the Regulations to dormitory housing provided to workers (temporary or permanent)</w:t>
            </w:r>
            <w:r w:rsidR="00A63F02" w:rsidRPr="000A7D3A">
              <w:rPr>
                <w:bCs/>
                <w:color w:val="000000" w:themeColor="text1"/>
              </w:rPr>
              <w:t xml:space="preserve"> is needed </w:t>
            </w:r>
            <w:r w:rsidRPr="000A7D3A">
              <w:rPr>
                <w:bCs/>
                <w:color w:val="000000" w:themeColor="text1"/>
              </w:rPr>
              <w:t>(Government stakeholder)</w:t>
            </w:r>
          </w:p>
          <w:p w14:paraId="2B9B4271" w14:textId="7ECB3DF9" w:rsidR="00790B7F" w:rsidRPr="000A7D3A" w:rsidRDefault="004446EF">
            <w:pPr>
              <w:pStyle w:val="ListBullet"/>
              <w:ind w:left="478" w:right="146" w:hanging="283"/>
              <w:rPr>
                <w:bCs/>
                <w:color w:val="000000" w:themeColor="text1"/>
              </w:rPr>
            </w:pPr>
            <w:r w:rsidRPr="000A7D3A">
              <w:rPr>
                <w:bCs/>
                <w:color w:val="000000" w:themeColor="text1"/>
              </w:rPr>
              <w:t>The reason for the exemption</w:t>
            </w:r>
            <w:r w:rsidR="00790B7F" w:rsidRPr="000A7D3A">
              <w:rPr>
                <w:bCs/>
                <w:color w:val="000000" w:themeColor="text1"/>
              </w:rPr>
              <w:t xml:space="preserve"> for any “any house, building or structure to which Part 4 of the Residential Tenancies Act 1997 applies </w:t>
            </w:r>
            <w:r w:rsidR="0024372E">
              <w:rPr>
                <w:bCs/>
                <w:color w:val="000000" w:themeColor="text1"/>
              </w:rPr>
              <w:t>is</w:t>
            </w:r>
            <w:r w:rsidR="00790B7F" w:rsidRPr="000A7D3A">
              <w:rPr>
                <w:bCs/>
                <w:color w:val="000000" w:themeColor="text1"/>
              </w:rPr>
              <w:t xml:space="preserve"> unclear</w:t>
            </w:r>
            <w:r w:rsidRPr="000A7D3A">
              <w:rPr>
                <w:bCs/>
                <w:color w:val="000000" w:themeColor="text1"/>
              </w:rPr>
              <w:t xml:space="preserve"> and needs review</w:t>
            </w:r>
            <w:r w:rsidR="00537B02">
              <w:rPr>
                <w:bCs/>
                <w:color w:val="000000" w:themeColor="text1"/>
              </w:rPr>
              <w:t>.</w:t>
            </w:r>
            <w:r w:rsidR="00537B02" w:rsidRPr="000A7D3A">
              <w:rPr>
                <w:bCs/>
                <w:color w:val="000000" w:themeColor="text1"/>
              </w:rPr>
              <w:t xml:space="preserve"> </w:t>
            </w:r>
            <w:r w:rsidR="00537B02" w:rsidRPr="000814C6">
              <w:rPr>
                <w:bCs/>
                <w:color w:val="000000" w:themeColor="text1"/>
              </w:rPr>
              <w:t>It is also not clear why this exemption applies to Part 4 but not to Part 4A of the Residential Tenancies Act</w:t>
            </w:r>
            <w:r w:rsidRPr="000A7D3A">
              <w:rPr>
                <w:bCs/>
                <w:color w:val="000000" w:themeColor="text1"/>
              </w:rPr>
              <w:t xml:space="preserve"> (primarily relating to caravan parks</w:t>
            </w:r>
            <w:r w:rsidR="00790B7F" w:rsidRPr="000A7D3A">
              <w:rPr>
                <w:bCs/>
                <w:color w:val="000000" w:themeColor="text1"/>
              </w:rPr>
              <w:t xml:space="preserve"> </w:t>
            </w:r>
            <w:r w:rsidR="004B1177" w:rsidRPr="000A7D3A">
              <w:rPr>
                <w:bCs/>
                <w:color w:val="000000" w:themeColor="text1"/>
              </w:rPr>
              <w:t>(</w:t>
            </w:r>
            <w:r w:rsidR="00EA4157" w:rsidRPr="000A7D3A">
              <w:rPr>
                <w:bCs/>
                <w:color w:val="000000" w:themeColor="text1"/>
              </w:rPr>
              <w:t>G</w:t>
            </w:r>
            <w:r w:rsidR="004B1177" w:rsidRPr="000A7D3A">
              <w:rPr>
                <w:bCs/>
                <w:color w:val="000000" w:themeColor="text1"/>
              </w:rPr>
              <w:t>overnment stakeholder)</w:t>
            </w:r>
          </w:p>
          <w:p w14:paraId="0D8FAFAD" w14:textId="6D9D0F98" w:rsidR="005F0F0E" w:rsidRPr="000A7D3A" w:rsidRDefault="005F0F0E">
            <w:pPr>
              <w:pStyle w:val="ListBullet"/>
              <w:ind w:left="478" w:right="146" w:hanging="283"/>
              <w:rPr>
                <w:bCs/>
                <w:color w:val="000000" w:themeColor="text1"/>
              </w:rPr>
            </w:pPr>
            <w:r w:rsidRPr="000A7D3A">
              <w:rPr>
                <w:bCs/>
                <w:color w:val="000000" w:themeColor="text1"/>
              </w:rPr>
              <w:t>Application of the Regulations to SDA dwellings needs review</w:t>
            </w:r>
            <w:r w:rsidR="008B7862" w:rsidRPr="000A7D3A">
              <w:rPr>
                <w:bCs/>
                <w:color w:val="000000" w:themeColor="text1"/>
              </w:rPr>
              <w:t>. (</w:t>
            </w:r>
            <w:r w:rsidR="002514B9" w:rsidRPr="000A7D3A">
              <w:rPr>
                <w:bCs/>
                <w:color w:val="000000" w:themeColor="text1"/>
              </w:rPr>
              <w:t>G</w:t>
            </w:r>
            <w:r w:rsidR="008B7862" w:rsidRPr="000A7D3A">
              <w:rPr>
                <w:bCs/>
                <w:color w:val="000000" w:themeColor="text1"/>
              </w:rPr>
              <w:t>overnment stakeholder)</w:t>
            </w:r>
          </w:p>
          <w:p w14:paraId="21F543B8" w14:textId="14402665" w:rsidR="000E5864" w:rsidRPr="000A7D3A" w:rsidRDefault="000E5864" w:rsidP="000A7D3A">
            <w:pPr>
              <w:pStyle w:val="ListBullet"/>
              <w:ind w:left="478" w:right="146" w:hanging="283"/>
              <w:rPr>
                <w:rFonts w:cs="Segoe UI Light"/>
                <w:bCs/>
                <w:color w:val="000000" w:themeColor="text1"/>
              </w:rPr>
            </w:pPr>
            <w:r w:rsidRPr="000A7D3A">
              <w:rPr>
                <w:rFonts w:cs="Segoe UI Light"/>
                <w:bCs/>
                <w:color w:val="000000" w:themeColor="text1"/>
              </w:rPr>
              <w:lastRenderedPageBreak/>
              <w:t>The Regulations are a critical tool to ensure health and safety in housing of multiple occupancy. In general terms, the Regulations should apply to any form of housing for multiple unrelated occupants with shared facilities used for bathing, laundering, cooking or personal hygiene or other purposes which may have public health risks (Government stakeholder)</w:t>
            </w:r>
          </w:p>
          <w:p w14:paraId="1C6C6252" w14:textId="639217D9" w:rsidR="005F0F0E" w:rsidRPr="000A7D3A" w:rsidRDefault="005F0F0E" w:rsidP="000A7D3A">
            <w:pPr>
              <w:pStyle w:val="ListBullet"/>
              <w:numPr>
                <w:ilvl w:val="0"/>
                <w:numId w:val="0"/>
              </w:numPr>
              <w:rPr>
                <w:bCs/>
                <w:color w:val="000000" w:themeColor="text1"/>
              </w:rPr>
            </w:pPr>
          </w:p>
        </w:tc>
        <w:tc>
          <w:tcPr>
            <w:tcW w:w="2106" w:type="pct"/>
          </w:tcPr>
          <w:p w14:paraId="397F834C" w14:textId="3E07F3A6" w:rsidR="00B261E8" w:rsidRPr="0067195D" w:rsidRDefault="00C065C1" w:rsidP="00F0077F">
            <w:pPr>
              <w:pStyle w:val="ListBullet"/>
              <w:ind w:left="478" w:right="146" w:hanging="283"/>
              <w:rPr>
                <w:bCs/>
                <w:color w:val="000000" w:themeColor="text1"/>
              </w:rPr>
            </w:pPr>
            <w:r w:rsidRPr="0067195D">
              <w:rPr>
                <w:bCs/>
                <w:color w:val="000000" w:themeColor="text1"/>
              </w:rPr>
              <w:lastRenderedPageBreak/>
              <w:t xml:space="preserve">Rooming house: </w:t>
            </w:r>
            <w:r w:rsidR="00B261E8" w:rsidRPr="0067195D">
              <w:rPr>
                <w:bCs/>
                <w:color w:val="000000" w:themeColor="text1"/>
              </w:rPr>
              <w:t>It is proposed to amend the Regulations to make the definition of ‘rooming house’ in the RTA the source definition in the Regulations. This will make the regulatory definition</w:t>
            </w:r>
            <w:r w:rsidR="00197E62" w:rsidRPr="0067195D">
              <w:rPr>
                <w:bCs/>
                <w:color w:val="000000" w:themeColor="text1"/>
              </w:rPr>
              <w:t xml:space="preserve"> of ‘rooming house’</w:t>
            </w:r>
            <w:r w:rsidR="00B261E8" w:rsidRPr="0067195D">
              <w:rPr>
                <w:bCs/>
                <w:color w:val="000000" w:themeColor="text1"/>
              </w:rPr>
              <w:t xml:space="preserve"> consistent for operators and occupants. Once the DJCS proposed review of the definition </w:t>
            </w:r>
            <w:r w:rsidR="008D4EC8" w:rsidRPr="0067195D">
              <w:rPr>
                <w:bCs/>
                <w:color w:val="000000" w:themeColor="text1"/>
              </w:rPr>
              <w:t>of ‘rooming house’</w:t>
            </w:r>
            <w:r w:rsidR="00B261E8" w:rsidRPr="0067195D">
              <w:rPr>
                <w:bCs/>
                <w:color w:val="000000" w:themeColor="text1"/>
              </w:rPr>
              <w:t xml:space="preserve"> has concluded, and if any necessary change is made to the definition in the RTA, </w:t>
            </w:r>
            <w:r w:rsidR="00B261E8" w:rsidRPr="0067195D">
              <w:rPr>
                <w:bCs/>
                <w:color w:val="000000" w:themeColor="text1"/>
              </w:rPr>
              <w:lastRenderedPageBreak/>
              <w:t>this will flow through to the definition in the Regulations without further need to amend th</w:t>
            </w:r>
            <w:r w:rsidR="009F1B01" w:rsidRPr="0067195D">
              <w:rPr>
                <w:bCs/>
                <w:color w:val="000000" w:themeColor="text1"/>
              </w:rPr>
              <w:t>at</w:t>
            </w:r>
            <w:r w:rsidR="00B261E8" w:rsidRPr="0067195D">
              <w:rPr>
                <w:bCs/>
                <w:color w:val="000000" w:themeColor="text1"/>
              </w:rPr>
              <w:t xml:space="preserve"> definition in the Regulations. Findings of the review are expected to be available late 2021. Consultation on the definition of 'rooming house’ will be undertaken with stakeholders as part of that review.  </w:t>
            </w:r>
          </w:p>
          <w:p w14:paraId="5B0EC7F5" w14:textId="739198D2" w:rsidR="0067195D" w:rsidRDefault="002E56E7" w:rsidP="0067195D">
            <w:pPr>
              <w:pStyle w:val="ListBullet"/>
              <w:ind w:left="478" w:right="146" w:hanging="283"/>
              <w:rPr>
                <w:bCs/>
                <w:color w:val="000000" w:themeColor="text1"/>
              </w:rPr>
            </w:pPr>
            <w:r w:rsidRPr="0067195D">
              <w:rPr>
                <w:bCs/>
                <w:color w:val="000000" w:themeColor="text1"/>
              </w:rPr>
              <w:t>Operators and proprietors of rooming houses: Considering the terminology applying to rooming house operators and proprietors would involve consideration of multiple schemes applying to rooming houses. DHHS considers that it is appropriate to await the outcome of the DJCS review of the definition of rooming houses as that may have implications for the broader application of rooming house regulatory provisions</w:t>
            </w:r>
            <w:r w:rsidR="0067195D">
              <w:rPr>
                <w:bCs/>
                <w:color w:val="000000" w:themeColor="text1"/>
              </w:rPr>
              <w:t>.</w:t>
            </w:r>
          </w:p>
          <w:p w14:paraId="4B9C145C" w14:textId="353506D8" w:rsidR="007A3EB7" w:rsidRPr="0067195D" w:rsidRDefault="007A3EB7" w:rsidP="00F0077F">
            <w:pPr>
              <w:pStyle w:val="ListBullet"/>
              <w:ind w:left="478" w:right="146" w:hanging="283"/>
              <w:rPr>
                <w:bCs/>
                <w:color w:val="000000" w:themeColor="text1"/>
              </w:rPr>
            </w:pPr>
            <w:r w:rsidRPr="0067195D">
              <w:rPr>
                <w:bCs/>
                <w:color w:val="000000" w:themeColor="text1"/>
              </w:rPr>
              <w:t>Exclusive occupation: Whether accommodation is under the exclusive occupation of the occupier may depend on the particular circumstances of the case (e</w:t>
            </w:r>
            <w:r w:rsidR="0067195D">
              <w:rPr>
                <w:bCs/>
                <w:color w:val="000000" w:themeColor="text1"/>
              </w:rPr>
              <w:t>.</w:t>
            </w:r>
            <w:r w:rsidRPr="0067195D">
              <w:rPr>
                <w:bCs/>
                <w:color w:val="000000" w:themeColor="text1"/>
              </w:rPr>
              <w:t>g</w:t>
            </w:r>
            <w:r w:rsidR="0067195D">
              <w:rPr>
                <w:bCs/>
                <w:color w:val="000000" w:themeColor="text1"/>
              </w:rPr>
              <w:t>.</w:t>
            </w:r>
            <w:r w:rsidRPr="0067195D">
              <w:rPr>
                <w:bCs/>
                <w:color w:val="000000" w:themeColor="text1"/>
              </w:rPr>
              <w:t xml:space="preserve"> whether there is a residential tenancies agreement in place). DHHS commits to work with councils to improve consistency of interpretation, intent and enforcement (e.g. through information and advice to Councils, outcomes and risk-based approaches, reporting and monitoring)</w:t>
            </w:r>
            <w:r w:rsidR="00D832D8">
              <w:rPr>
                <w:bCs/>
                <w:color w:val="000000" w:themeColor="text1"/>
              </w:rPr>
              <w:t xml:space="preserve">, and to establish </w:t>
            </w:r>
            <w:r w:rsidR="009D3663">
              <w:rPr>
                <w:bCs/>
                <w:color w:val="000000" w:themeColor="text1"/>
              </w:rPr>
              <w:t xml:space="preserve">clarity about </w:t>
            </w:r>
            <w:r w:rsidR="001E7C8B">
              <w:rPr>
                <w:bCs/>
                <w:color w:val="000000" w:themeColor="text1"/>
              </w:rPr>
              <w:t xml:space="preserve">respective </w:t>
            </w:r>
            <w:r w:rsidR="00D832D8">
              <w:rPr>
                <w:bCs/>
                <w:color w:val="000000" w:themeColor="text1"/>
              </w:rPr>
              <w:t>roles and responsibilities</w:t>
            </w:r>
            <w:r w:rsidRPr="0067195D">
              <w:rPr>
                <w:bCs/>
                <w:color w:val="000000" w:themeColor="text1"/>
              </w:rPr>
              <w:t>. This would need to be done within limits of existing DHHS powers and resources.</w:t>
            </w:r>
          </w:p>
          <w:p w14:paraId="186A205E" w14:textId="6E90FF39" w:rsidR="004B1177" w:rsidRPr="0067195D" w:rsidRDefault="004B1177" w:rsidP="00F0077F">
            <w:pPr>
              <w:pStyle w:val="ListBullet"/>
              <w:ind w:left="478" w:right="146" w:hanging="283"/>
              <w:rPr>
                <w:bCs/>
                <w:color w:val="000000" w:themeColor="text1"/>
              </w:rPr>
            </w:pPr>
            <w:r w:rsidRPr="0067195D">
              <w:rPr>
                <w:bCs/>
                <w:color w:val="000000" w:themeColor="text1"/>
              </w:rPr>
              <w:t xml:space="preserve">Dormitory housing for workers: DHHS considers it appropriate to consider the outcomes of the DELWP work in considering whether ‘rural worker accommodation’ should be included as a land use term in the Victoria Planning Provisions, prior to consideration of further </w:t>
            </w:r>
            <w:r w:rsidRPr="0067195D">
              <w:rPr>
                <w:bCs/>
                <w:color w:val="000000" w:themeColor="text1"/>
              </w:rPr>
              <w:lastRenderedPageBreak/>
              <w:t>amendments to the PHWA which would be required to implement the ‘Labour Hire Inquiry’ recommendations. DELWP’s consideration of the need for certain planning controls such as those relating to the design of buildings, waste-water, and number of workers accommodated, may intersect with the standards under the Regulations.</w:t>
            </w:r>
          </w:p>
          <w:p w14:paraId="2F2FCAA6" w14:textId="77777777" w:rsidR="004B1177" w:rsidRPr="000A7D3A" w:rsidRDefault="004B1177" w:rsidP="00F0077F">
            <w:pPr>
              <w:pStyle w:val="ListBullet"/>
              <w:ind w:left="478" w:right="146" w:hanging="283"/>
              <w:rPr>
                <w:bCs/>
                <w:color w:val="000000" w:themeColor="text1"/>
              </w:rPr>
            </w:pPr>
            <w:r w:rsidRPr="0067195D">
              <w:rPr>
                <w:bCs/>
                <w:color w:val="000000" w:themeColor="text1"/>
              </w:rPr>
              <w:t>Caravan parks:  DHHS considers it is appropriate to consider the recommendations and stakeholder feedback arising from the DELWP review of the Residential Tenancies (Caravan Parks and Moveable Dwellings Registration and Standards) Regulations 2020 in considering whether definitions of types of prescribed accommodation (e.g. holiday camps) and coverage of the regulations over different types of holiday accommodation are fit for purpose.</w:t>
            </w:r>
          </w:p>
          <w:p w14:paraId="1861F9A5" w14:textId="3A97C6B6" w:rsidR="00EA4157" w:rsidRPr="0067195D" w:rsidRDefault="00EA4157" w:rsidP="00F0077F">
            <w:pPr>
              <w:pStyle w:val="ListBullet"/>
              <w:ind w:left="478" w:right="146" w:hanging="283"/>
              <w:rPr>
                <w:bCs/>
                <w:color w:val="000000" w:themeColor="text1"/>
              </w:rPr>
            </w:pPr>
            <w:r w:rsidRPr="0067195D">
              <w:rPr>
                <w:bCs/>
                <w:color w:val="000000" w:themeColor="text1"/>
              </w:rPr>
              <w:t>SDA: Currently the Regulations apply to SDA enrolled dwellings (</w:t>
            </w:r>
            <w:r w:rsidR="00153665">
              <w:rPr>
                <w:bCs/>
                <w:color w:val="000000" w:themeColor="text1"/>
              </w:rPr>
              <w:t>i.e.</w:t>
            </w:r>
            <w:r w:rsidRPr="0067195D">
              <w:rPr>
                <w:bCs/>
                <w:color w:val="000000" w:themeColor="text1"/>
              </w:rPr>
              <w:t xml:space="preserve"> accommodation registered under the Commonwealth’s NDIS legislation. The definition of ‘rooming house’ is proposed to be amended to incorporate by reference, the definition of ‘rooming house’ in section 3(1) of the </w:t>
            </w:r>
            <w:r w:rsidR="00537B02" w:rsidRPr="0067195D">
              <w:rPr>
                <w:bCs/>
                <w:color w:val="000000" w:themeColor="text1"/>
              </w:rPr>
              <w:t>RTA</w:t>
            </w:r>
            <w:r w:rsidRPr="0067195D">
              <w:rPr>
                <w:bCs/>
                <w:color w:val="000000" w:themeColor="text1"/>
              </w:rPr>
              <w:t xml:space="preserve">. This will exclude SDA enrolled dwellings as they are currently excluded as a rooming house under the RTA. It is also proposed to exclude them from other definitions of prescribed accommodation under the Regulations. SDA enrolled dwellings are subject to a separate registration, quality and safeguards framework to be enrolled under the Commonwealth NDIS legislation. Where a disability service is not </w:t>
            </w:r>
            <w:r w:rsidR="00C14924" w:rsidRPr="0067195D">
              <w:rPr>
                <w:bCs/>
                <w:color w:val="000000" w:themeColor="text1"/>
              </w:rPr>
              <w:t>an SDA</w:t>
            </w:r>
            <w:r w:rsidR="00B54E5C" w:rsidRPr="0067195D">
              <w:rPr>
                <w:bCs/>
                <w:color w:val="000000" w:themeColor="text1"/>
              </w:rPr>
              <w:t xml:space="preserve"> enrolled dwelling</w:t>
            </w:r>
            <w:r w:rsidR="00C50999" w:rsidRPr="0067195D">
              <w:rPr>
                <w:bCs/>
                <w:color w:val="000000" w:themeColor="text1"/>
              </w:rPr>
              <w:t xml:space="preserve"> </w:t>
            </w:r>
            <w:r w:rsidRPr="0067195D">
              <w:rPr>
                <w:bCs/>
                <w:color w:val="000000" w:themeColor="text1"/>
              </w:rPr>
              <w:t xml:space="preserve">under the NDIS, that accommodation </w:t>
            </w:r>
            <w:r w:rsidR="0020372C" w:rsidRPr="0067195D">
              <w:rPr>
                <w:bCs/>
                <w:color w:val="000000" w:themeColor="text1"/>
              </w:rPr>
              <w:t xml:space="preserve">referred to as a residential service or a group home for the purpose of </w:t>
            </w:r>
            <w:r w:rsidR="0083612D" w:rsidRPr="0067195D">
              <w:rPr>
                <w:bCs/>
                <w:color w:val="000000" w:themeColor="text1"/>
              </w:rPr>
              <w:t xml:space="preserve">the </w:t>
            </w:r>
            <w:r w:rsidRPr="00F0077F">
              <w:rPr>
                <w:bCs/>
                <w:color w:val="000000" w:themeColor="text1"/>
              </w:rPr>
              <w:t>Disability Act 2006</w:t>
            </w:r>
            <w:r w:rsidR="00EE487B" w:rsidRPr="00F0077F">
              <w:rPr>
                <w:bCs/>
                <w:color w:val="000000" w:themeColor="text1"/>
              </w:rPr>
              <w:t xml:space="preserve"> </w:t>
            </w:r>
            <w:r w:rsidR="00EE487B" w:rsidRPr="0067195D">
              <w:rPr>
                <w:bCs/>
                <w:color w:val="000000" w:themeColor="text1"/>
              </w:rPr>
              <w:t>is required to comply with accommodation standards under the Disability Act</w:t>
            </w:r>
            <w:r w:rsidRPr="0067195D">
              <w:rPr>
                <w:bCs/>
                <w:color w:val="000000" w:themeColor="text1"/>
              </w:rPr>
              <w:t>.</w:t>
            </w:r>
          </w:p>
          <w:p w14:paraId="0AE7FF34" w14:textId="6BAF1632" w:rsidR="00A37EEC" w:rsidRPr="0067195D" w:rsidRDefault="00EE487B" w:rsidP="00F0077F">
            <w:pPr>
              <w:pStyle w:val="ListBullet"/>
              <w:ind w:left="478" w:right="146" w:hanging="283"/>
              <w:rPr>
                <w:bCs/>
                <w:color w:val="000000" w:themeColor="text1"/>
              </w:rPr>
            </w:pPr>
            <w:r w:rsidRPr="0067195D">
              <w:rPr>
                <w:bCs/>
                <w:color w:val="000000" w:themeColor="text1"/>
              </w:rPr>
              <w:lastRenderedPageBreak/>
              <w:t xml:space="preserve">Safety: </w:t>
            </w:r>
            <w:r w:rsidR="00A37EEC" w:rsidRPr="0067195D">
              <w:rPr>
                <w:bCs/>
                <w:color w:val="000000" w:themeColor="text1"/>
              </w:rPr>
              <w:t>It is important to distinguish between the objective of the PHWA to promote and protect public health and wellbeing, and other regulatory frameworks regulating other aspects of accommodation, such as safety. DHHS considers it is appropriate to consider whether the definitions of types of prescribed accommodation</w:t>
            </w:r>
            <w:r w:rsidR="004D3DF5" w:rsidRPr="0067195D">
              <w:rPr>
                <w:bCs/>
                <w:color w:val="000000" w:themeColor="text1"/>
              </w:rPr>
              <w:t xml:space="preserve"> in addition to ‘rooming houses’, </w:t>
            </w:r>
            <w:r w:rsidR="00A37EEC" w:rsidRPr="0067195D">
              <w:rPr>
                <w:bCs/>
                <w:color w:val="000000" w:themeColor="text1"/>
              </w:rPr>
              <w:t>and coverage of the Regulations over different types of accommodation are fit for purpose following completion of relevant cross portfolio reviews across government.</w:t>
            </w:r>
          </w:p>
        </w:tc>
      </w:tr>
      <w:tr w:rsidR="005C17C5" w:rsidRPr="00A37EEC" w14:paraId="25B403CD" w14:textId="1E2EFA94" w:rsidTr="00F0077F">
        <w:tc>
          <w:tcPr>
            <w:tcW w:w="595" w:type="pct"/>
          </w:tcPr>
          <w:p w14:paraId="1D4590B4" w14:textId="53ABE6E3" w:rsidR="00CD1F6F" w:rsidRPr="000A7D3A" w:rsidRDefault="00082DC8" w:rsidP="000A7D3A">
            <w:pPr>
              <w:pStyle w:val="ListBullet"/>
              <w:numPr>
                <w:ilvl w:val="0"/>
                <w:numId w:val="0"/>
              </w:numPr>
              <w:rPr>
                <w:bCs/>
                <w:color w:val="000000" w:themeColor="text1"/>
              </w:rPr>
            </w:pPr>
            <w:r w:rsidRPr="000A7D3A">
              <w:rPr>
                <w:bCs/>
                <w:color w:val="000000" w:themeColor="text1"/>
              </w:rPr>
              <w:lastRenderedPageBreak/>
              <w:t>Student accommodation</w:t>
            </w:r>
          </w:p>
        </w:tc>
        <w:tc>
          <w:tcPr>
            <w:tcW w:w="2299" w:type="pct"/>
          </w:tcPr>
          <w:p w14:paraId="2B72BBCF" w14:textId="77777777" w:rsidR="00CD1F6F" w:rsidRPr="004D2693" w:rsidRDefault="00082DC8" w:rsidP="000A7D3A">
            <w:pPr>
              <w:pStyle w:val="ListBullet"/>
              <w:ind w:left="478" w:right="146" w:hanging="283"/>
              <w:rPr>
                <w:bCs/>
                <w:color w:val="000000" w:themeColor="text1"/>
              </w:rPr>
            </w:pPr>
            <w:r w:rsidRPr="000A7D3A">
              <w:rPr>
                <w:bCs/>
                <w:color w:val="000000" w:themeColor="text1"/>
              </w:rPr>
              <w:t xml:space="preserve">The market for student accommodation has changed. </w:t>
            </w:r>
            <w:r w:rsidR="00CD1F6F" w:rsidRPr="000A7D3A">
              <w:rPr>
                <w:bCs/>
                <w:color w:val="000000" w:themeColor="text1"/>
              </w:rPr>
              <w:t>A recent survey in the rooming house sector established that 50% of rooming house occupants were students, 30% were workers, and 20% were reliant on benefits (RAAV). Since this survey, increases in the rate of purpose-built rooming houses for workers and students indicate there is an increase in demand among these populations</w:t>
            </w:r>
            <w:r w:rsidR="0012769C" w:rsidRPr="000A7D3A">
              <w:rPr>
                <w:bCs/>
                <w:color w:val="000000" w:themeColor="text1"/>
              </w:rPr>
              <w:t xml:space="preserve">. </w:t>
            </w:r>
            <w:r w:rsidR="004C395F" w:rsidRPr="000A7D3A">
              <w:rPr>
                <w:bCs/>
                <w:color w:val="000000" w:themeColor="text1"/>
              </w:rPr>
              <w:t xml:space="preserve">accurate definition of student accommodation is </w:t>
            </w:r>
            <w:r w:rsidR="004C395F" w:rsidRPr="004D2693">
              <w:rPr>
                <w:bCs/>
                <w:color w:val="000000" w:themeColor="text1"/>
              </w:rPr>
              <w:t>required</w:t>
            </w:r>
            <w:r w:rsidR="00E17124" w:rsidRPr="004D2693">
              <w:rPr>
                <w:bCs/>
                <w:color w:val="000000" w:themeColor="text1"/>
              </w:rPr>
              <w:t xml:space="preserve"> </w:t>
            </w:r>
            <w:r w:rsidR="00544D7F" w:rsidRPr="004D2693">
              <w:rPr>
                <w:rFonts w:cs="Segoe UI Light"/>
                <w:bCs/>
                <w:color w:val="000000" w:themeColor="text1"/>
              </w:rPr>
              <w:t>(</w:t>
            </w:r>
            <w:r w:rsidR="00544D7F" w:rsidRPr="00F0077F">
              <w:rPr>
                <w:bCs/>
                <w:color w:val="000000" w:themeColor="text1"/>
              </w:rPr>
              <w:t>RAAV</w:t>
            </w:r>
            <w:r w:rsidR="00544D7F" w:rsidRPr="004D2693">
              <w:rPr>
                <w:bCs/>
                <w:color w:val="000000" w:themeColor="text1"/>
              </w:rPr>
              <w:t>).</w:t>
            </w:r>
          </w:p>
          <w:p w14:paraId="10CD0E8D" w14:textId="36F37373" w:rsidR="00CD1F6F" w:rsidRPr="000A7D3A" w:rsidRDefault="00815CDC" w:rsidP="00072BAD">
            <w:pPr>
              <w:pStyle w:val="ListBullet"/>
              <w:ind w:left="478" w:right="146" w:hanging="283"/>
              <w:rPr>
                <w:bCs/>
                <w:color w:val="000000" w:themeColor="text1"/>
              </w:rPr>
            </w:pPr>
            <w:r w:rsidRPr="00895204">
              <w:rPr>
                <w:bCs/>
                <w:color w:val="000000" w:themeColor="text1"/>
              </w:rPr>
              <w:t>Concerns have been</w:t>
            </w:r>
            <w:r>
              <w:rPr>
                <w:bCs/>
                <w:color w:val="000000" w:themeColor="text1"/>
              </w:rPr>
              <w:t xml:space="preserve"> raised </w:t>
            </w:r>
            <w:r w:rsidRPr="00F60779">
              <w:rPr>
                <w:bCs/>
                <w:color w:val="000000" w:themeColor="text1"/>
              </w:rPr>
              <w:t xml:space="preserve">about </w:t>
            </w:r>
            <w:r>
              <w:rPr>
                <w:bCs/>
                <w:color w:val="000000" w:themeColor="text1"/>
              </w:rPr>
              <w:t xml:space="preserve">students, including </w:t>
            </w:r>
            <w:r w:rsidRPr="00F60779">
              <w:rPr>
                <w:bCs/>
                <w:color w:val="000000" w:themeColor="text1"/>
              </w:rPr>
              <w:t>international students being housed in potentially overcrowded apartment buildings. The stakeholders have questioned whether this accommodation may operate as an illegal rooming house or should be regulated under one of a number of existing or new regulations to manage the overcrowding risk and other vulnerabilities faced by these students</w:t>
            </w:r>
            <w:r>
              <w:rPr>
                <w:bCs/>
                <w:color w:val="000000" w:themeColor="text1"/>
              </w:rPr>
              <w:t xml:space="preserve"> (local council, Government stakeholder)</w:t>
            </w:r>
          </w:p>
        </w:tc>
        <w:tc>
          <w:tcPr>
            <w:tcW w:w="2106" w:type="pct"/>
          </w:tcPr>
          <w:p w14:paraId="030A32B9" w14:textId="77777777" w:rsidR="00CD1F6F" w:rsidRDefault="008C2280">
            <w:pPr>
              <w:pStyle w:val="ListBullet"/>
              <w:numPr>
                <w:ilvl w:val="0"/>
                <w:numId w:val="0"/>
              </w:numPr>
              <w:rPr>
                <w:bCs/>
                <w:color w:val="000000" w:themeColor="text1"/>
              </w:rPr>
            </w:pPr>
            <w:r w:rsidRPr="000A7D3A">
              <w:rPr>
                <w:bCs/>
                <w:color w:val="000000" w:themeColor="text1"/>
              </w:rPr>
              <w:t>DHHS considers that it is appropriate to consider whether definitions in the Regulations, including ‘student dormitory’, are ‘fit for purpose’ within the framework of the PHWA, in considering the outcomes of various cross portfolio reviews across government that interface with prescribed accommodation. Given that a number of regulatory regimes interface with prescribed accommodation, and accommodation more generally, DHHS considers that it is important to facilitate a multi departmental or whole of government approach to relevant issues. For example, DJCS’ proposed review of the definition of ‘rooming house’ under the RTA and Rooming House Operators Act will consider options for a more modern definition of ‘rooming house’ to better reflect existing accommodation offerings such as ‘new model’ rooming houses aimed at international workers and skilled workers. Further, it will be relevant to consider the work of DELWP in implementing action 31 under the Plan Melbourne 2017-50 - Metropolitan Planning Strategy. That action is to develop and implement a streamlined approvals process for specific housing types that address local housing gaps such as student housing.</w:t>
            </w:r>
          </w:p>
          <w:p w14:paraId="330E2F20" w14:textId="77777777" w:rsidR="00881602" w:rsidRDefault="00881602">
            <w:pPr>
              <w:pStyle w:val="ListBullet"/>
              <w:numPr>
                <w:ilvl w:val="0"/>
                <w:numId w:val="0"/>
              </w:numPr>
              <w:rPr>
                <w:bCs/>
                <w:color w:val="000000" w:themeColor="text1"/>
              </w:rPr>
            </w:pPr>
          </w:p>
          <w:p w14:paraId="0B4FD513" w14:textId="4232B431" w:rsidR="00CD1F6F" w:rsidRPr="000A7D3A" w:rsidRDefault="00881602">
            <w:pPr>
              <w:pStyle w:val="ListBullet"/>
              <w:numPr>
                <w:ilvl w:val="0"/>
                <w:numId w:val="0"/>
              </w:numPr>
              <w:rPr>
                <w:bCs/>
                <w:color w:val="000000" w:themeColor="text1"/>
              </w:rPr>
            </w:pPr>
            <w:r w:rsidRPr="00F60779">
              <w:rPr>
                <w:bCs/>
                <w:color w:val="000000" w:themeColor="text1"/>
              </w:rPr>
              <w:t xml:space="preserve">Given the potential complexity of this issue and cross portfolio interfaces, DHHS will continue to consult relevant stakeholders to assist facilitating an </w:t>
            </w:r>
            <w:r w:rsidRPr="00F60779">
              <w:rPr>
                <w:bCs/>
                <w:color w:val="000000" w:themeColor="text1"/>
              </w:rPr>
              <w:lastRenderedPageBreak/>
              <w:t>appropriate multi agency or whole of government response.</w:t>
            </w:r>
          </w:p>
        </w:tc>
      </w:tr>
      <w:tr w:rsidR="005C17C5" w:rsidRPr="00A37EEC" w14:paraId="1BC33E61" w14:textId="07F59F5D" w:rsidTr="00F0077F">
        <w:tc>
          <w:tcPr>
            <w:tcW w:w="595" w:type="pct"/>
          </w:tcPr>
          <w:p w14:paraId="06029B61" w14:textId="77777777" w:rsidR="00CD1F6F" w:rsidRPr="000A7D3A" w:rsidRDefault="00CD1F6F">
            <w:pPr>
              <w:rPr>
                <w:rFonts w:cs="Segoe UI Light"/>
                <w:bCs/>
                <w:color w:val="000000" w:themeColor="text1"/>
              </w:rPr>
            </w:pPr>
            <w:r w:rsidRPr="000A7D3A">
              <w:rPr>
                <w:rFonts w:cs="Segoe UI Light"/>
                <w:bCs/>
                <w:color w:val="000000" w:themeColor="text1"/>
              </w:rPr>
              <w:lastRenderedPageBreak/>
              <w:t>Costs to proprietors</w:t>
            </w:r>
          </w:p>
        </w:tc>
        <w:tc>
          <w:tcPr>
            <w:tcW w:w="2299" w:type="pct"/>
          </w:tcPr>
          <w:p w14:paraId="2D0F8BCA" w14:textId="34A0E336" w:rsidR="00CD1F6F" w:rsidRPr="004D2693" w:rsidRDefault="00CD1F6F" w:rsidP="000A7D3A">
            <w:pPr>
              <w:pStyle w:val="ListBullet"/>
              <w:ind w:left="478" w:right="146" w:hanging="283"/>
              <w:rPr>
                <w:bCs/>
                <w:color w:val="000000" w:themeColor="text1"/>
              </w:rPr>
            </w:pPr>
            <w:r w:rsidRPr="000A7D3A">
              <w:rPr>
                <w:bCs/>
                <w:color w:val="000000" w:themeColor="text1"/>
              </w:rPr>
              <w:t xml:space="preserve">The costs to providers in complying with the Regulations are commensurate with the need to ensure a safe and healthy living environment for our </w:t>
            </w:r>
            <w:r w:rsidRPr="004D2693">
              <w:rPr>
                <w:bCs/>
                <w:color w:val="000000" w:themeColor="text1"/>
              </w:rPr>
              <w:t xml:space="preserve">residents </w:t>
            </w:r>
            <w:r w:rsidRPr="004D2693">
              <w:rPr>
                <w:rFonts w:cs="Segoe UI Light"/>
                <w:bCs/>
                <w:color w:val="000000" w:themeColor="text1"/>
              </w:rPr>
              <w:t>(</w:t>
            </w:r>
            <w:r w:rsidRPr="00F0077F">
              <w:rPr>
                <w:bCs/>
                <w:color w:val="000000" w:themeColor="text1"/>
              </w:rPr>
              <w:t>RAAV</w:t>
            </w:r>
            <w:r w:rsidRPr="004D2693">
              <w:rPr>
                <w:bCs/>
                <w:color w:val="000000" w:themeColor="text1"/>
              </w:rPr>
              <w:t>).</w:t>
            </w:r>
          </w:p>
          <w:p w14:paraId="48729D06" w14:textId="7AE4806F" w:rsidR="00CD1F6F" w:rsidRPr="004D2693" w:rsidRDefault="00CD1F6F" w:rsidP="000A7D3A">
            <w:pPr>
              <w:pStyle w:val="ListBullet"/>
              <w:ind w:left="478" w:right="146" w:hanging="283"/>
              <w:rPr>
                <w:bCs/>
                <w:color w:val="000000" w:themeColor="text1"/>
              </w:rPr>
            </w:pPr>
            <w:r w:rsidRPr="00895204">
              <w:rPr>
                <w:bCs/>
                <w:color w:val="000000" w:themeColor="text1"/>
              </w:rPr>
              <w:t xml:space="preserve">Misinterpretations of the Regulations by Local Government have led to avoidable costs being incurred by proprietors </w:t>
            </w:r>
            <w:r w:rsidRPr="00895204">
              <w:rPr>
                <w:rFonts w:cs="Segoe UI Light"/>
                <w:bCs/>
                <w:color w:val="000000" w:themeColor="text1"/>
              </w:rPr>
              <w:t>(</w:t>
            </w:r>
            <w:r w:rsidRPr="00F0077F">
              <w:rPr>
                <w:bCs/>
                <w:color w:val="000000" w:themeColor="text1"/>
              </w:rPr>
              <w:t>RAAV</w:t>
            </w:r>
            <w:r w:rsidRPr="004D2693">
              <w:rPr>
                <w:bCs/>
                <w:color w:val="000000" w:themeColor="text1"/>
              </w:rPr>
              <w:t xml:space="preserve">). </w:t>
            </w:r>
          </w:p>
          <w:p w14:paraId="6FFEC472" w14:textId="081EE625" w:rsidR="00CD1F6F" w:rsidRPr="000A7D3A" w:rsidRDefault="00CD1F6F" w:rsidP="000A7D3A">
            <w:pPr>
              <w:pStyle w:val="ListBullet"/>
              <w:ind w:left="478" w:right="146" w:hanging="283"/>
              <w:rPr>
                <w:bCs/>
                <w:color w:val="000000" w:themeColor="text1"/>
              </w:rPr>
            </w:pPr>
            <w:r w:rsidRPr="00895204">
              <w:rPr>
                <w:bCs/>
                <w:color w:val="000000" w:themeColor="text1"/>
              </w:rPr>
              <w:t xml:space="preserve">Some Local Governments have revised their registration costing structure (from a per premise to a per room basis). These costs are disproportionate to the cost of administering the Regulations, and disincentivise rooming houses in the Local Government Area </w:t>
            </w:r>
            <w:r w:rsidRPr="00895204">
              <w:rPr>
                <w:rFonts w:cs="Segoe UI Light"/>
                <w:bCs/>
                <w:color w:val="000000" w:themeColor="text1"/>
              </w:rPr>
              <w:t>(</w:t>
            </w:r>
            <w:r w:rsidRPr="00F0077F">
              <w:rPr>
                <w:bCs/>
                <w:color w:val="000000" w:themeColor="text1"/>
              </w:rPr>
              <w:t>RAAV</w:t>
            </w:r>
            <w:r w:rsidRPr="004D2693">
              <w:rPr>
                <w:bCs/>
                <w:color w:val="000000" w:themeColor="text1"/>
              </w:rPr>
              <w:t>).</w:t>
            </w:r>
          </w:p>
        </w:tc>
        <w:tc>
          <w:tcPr>
            <w:tcW w:w="2106" w:type="pct"/>
          </w:tcPr>
          <w:p w14:paraId="5427DBCE" w14:textId="18285816" w:rsidR="003F4182" w:rsidRPr="000A7D3A" w:rsidRDefault="003F4182">
            <w:pPr>
              <w:pStyle w:val="ListBullet"/>
              <w:numPr>
                <w:ilvl w:val="0"/>
                <w:numId w:val="0"/>
              </w:numPr>
              <w:rPr>
                <w:bCs/>
                <w:color w:val="000000" w:themeColor="text1"/>
              </w:rPr>
            </w:pPr>
            <w:r w:rsidRPr="000A7D3A">
              <w:rPr>
                <w:bCs/>
                <w:color w:val="000000" w:themeColor="text1"/>
              </w:rPr>
              <w:t>DHHS considers that local councils are best placed to consider how they will most effectively apply their resources in undertaking their role in enforcing the Regulations and relevant provisions of the PHWA.</w:t>
            </w:r>
          </w:p>
          <w:p w14:paraId="037A389B" w14:textId="77777777" w:rsidR="003F4182" w:rsidRPr="000A7D3A" w:rsidRDefault="003F4182">
            <w:pPr>
              <w:pStyle w:val="ListBullet"/>
              <w:numPr>
                <w:ilvl w:val="0"/>
                <w:numId w:val="0"/>
              </w:numPr>
              <w:rPr>
                <w:bCs/>
                <w:color w:val="000000" w:themeColor="text1"/>
              </w:rPr>
            </w:pPr>
          </w:p>
          <w:p w14:paraId="74EF6D73" w14:textId="45A8E8BF" w:rsidR="003F4182" w:rsidRPr="000A7D3A" w:rsidRDefault="003F4182">
            <w:pPr>
              <w:pStyle w:val="ListBullet"/>
              <w:numPr>
                <w:ilvl w:val="0"/>
                <w:numId w:val="0"/>
              </w:numPr>
              <w:rPr>
                <w:bCs/>
                <w:color w:val="000000" w:themeColor="text1"/>
              </w:rPr>
            </w:pPr>
            <w:r w:rsidRPr="000A7D3A">
              <w:rPr>
                <w:bCs/>
                <w:color w:val="000000" w:themeColor="text1"/>
              </w:rPr>
              <w:t xml:space="preserve">However, </w:t>
            </w:r>
            <w:r w:rsidR="00EF2D2E" w:rsidRPr="000A7D3A">
              <w:rPr>
                <w:bCs/>
                <w:color w:val="000000" w:themeColor="text1"/>
              </w:rPr>
              <w:t>DHHS commits to work with councils to improve consistency of interpretation, intent and enforcement (e.g. through information and advice to Councils, outcomes and risk-based approaches, reporting and monitoring)</w:t>
            </w:r>
            <w:r w:rsidR="00737B12">
              <w:rPr>
                <w:bCs/>
                <w:color w:val="000000" w:themeColor="text1"/>
              </w:rPr>
              <w:t xml:space="preserve">, and to </w:t>
            </w:r>
            <w:r w:rsidR="00F749E6">
              <w:rPr>
                <w:bCs/>
                <w:color w:val="000000" w:themeColor="text1"/>
              </w:rPr>
              <w:t>establish</w:t>
            </w:r>
            <w:r w:rsidR="00737B12">
              <w:rPr>
                <w:bCs/>
                <w:color w:val="000000" w:themeColor="text1"/>
              </w:rPr>
              <w:t xml:space="preserve"> </w:t>
            </w:r>
            <w:r w:rsidR="009D3663">
              <w:rPr>
                <w:bCs/>
                <w:color w:val="000000" w:themeColor="text1"/>
              </w:rPr>
              <w:t xml:space="preserve">clarity about </w:t>
            </w:r>
            <w:r w:rsidR="001E7C8B">
              <w:rPr>
                <w:bCs/>
                <w:color w:val="000000" w:themeColor="text1"/>
              </w:rPr>
              <w:t xml:space="preserve">respective </w:t>
            </w:r>
            <w:r w:rsidR="00737B12">
              <w:rPr>
                <w:bCs/>
                <w:color w:val="000000" w:themeColor="text1"/>
              </w:rPr>
              <w:t>roles and responsibilities</w:t>
            </w:r>
            <w:r w:rsidR="00EF2D2E" w:rsidRPr="000A7D3A">
              <w:rPr>
                <w:bCs/>
                <w:color w:val="000000" w:themeColor="text1"/>
              </w:rPr>
              <w:t xml:space="preserve">. This would need to be done within limits of existing DHHS powers and resources. The PHWA provides that the fees payable in respect of the issue, transfer or renewal of a registration are, in the usual case, the fees determined by a resolution of the municipal council). The fees determined by a council may vary among other things, according to the size or nature of the prescribed accommodation council or when the application is received. The PHWA </w:t>
            </w:r>
            <w:r w:rsidR="00C51C62">
              <w:rPr>
                <w:bCs/>
                <w:color w:val="000000" w:themeColor="text1"/>
              </w:rPr>
              <w:t>is</w:t>
            </w:r>
            <w:r w:rsidR="00EF2D2E" w:rsidRPr="000A7D3A">
              <w:rPr>
                <w:bCs/>
                <w:color w:val="000000" w:themeColor="text1"/>
              </w:rPr>
              <w:t xml:space="preserve"> not subject to review as part of the sunset review of the Regulations. Any change to the power of councils to levy fees would require an amendment to the PHWA.   </w:t>
            </w:r>
          </w:p>
        </w:tc>
      </w:tr>
      <w:tr w:rsidR="005C17C5" w:rsidRPr="00A37EEC" w14:paraId="3D50C7AE" w14:textId="509B661D" w:rsidTr="00F0077F">
        <w:tc>
          <w:tcPr>
            <w:tcW w:w="595" w:type="pct"/>
          </w:tcPr>
          <w:p w14:paraId="2C3CD78C" w14:textId="77777777" w:rsidR="00CD1F6F" w:rsidRPr="000A7D3A" w:rsidRDefault="00CD1F6F">
            <w:pPr>
              <w:rPr>
                <w:rFonts w:cs="Segoe UI Light"/>
                <w:bCs/>
                <w:color w:val="000000" w:themeColor="text1"/>
              </w:rPr>
            </w:pPr>
            <w:r w:rsidRPr="000A7D3A">
              <w:rPr>
                <w:rFonts w:cs="Segoe UI Light"/>
                <w:bCs/>
                <w:color w:val="000000" w:themeColor="text1"/>
              </w:rPr>
              <w:t>Risk</w:t>
            </w:r>
          </w:p>
        </w:tc>
        <w:tc>
          <w:tcPr>
            <w:tcW w:w="2299" w:type="pct"/>
          </w:tcPr>
          <w:p w14:paraId="3525D433" w14:textId="6ABC003F" w:rsidR="00CD1F6F" w:rsidRPr="004D2693" w:rsidRDefault="00CD1F6F" w:rsidP="000A7D3A">
            <w:pPr>
              <w:pStyle w:val="ListBullet"/>
              <w:ind w:left="478" w:right="146" w:hanging="283"/>
              <w:rPr>
                <w:rFonts w:cs="Segoe UI Light"/>
                <w:bCs/>
                <w:color w:val="000000" w:themeColor="text1"/>
              </w:rPr>
            </w:pPr>
            <w:r w:rsidRPr="000A7D3A">
              <w:rPr>
                <w:rFonts w:cs="Segoe UI Light"/>
                <w:bCs/>
                <w:color w:val="000000" w:themeColor="text1"/>
              </w:rPr>
              <w:t xml:space="preserve">The Regulations provide valuable guidance to proprietors and administrators; without these, accountability and consumer confidence would </w:t>
            </w:r>
            <w:r w:rsidRPr="004D2693">
              <w:rPr>
                <w:rFonts w:cs="Segoe UI Light"/>
                <w:bCs/>
                <w:color w:val="000000" w:themeColor="text1"/>
              </w:rPr>
              <w:t>decrease (</w:t>
            </w:r>
            <w:r w:rsidRPr="00F0077F">
              <w:rPr>
                <w:bCs/>
                <w:color w:val="000000" w:themeColor="text1"/>
              </w:rPr>
              <w:t>RAAV</w:t>
            </w:r>
            <w:r w:rsidRPr="004D2693">
              <w:rPr>
                <w:bCs/>
                <w:color w:val="000000" w:themeColor="text1"/>
              </w:rPr>
              <w:t>).</w:t>
            </w:r>
          </w:p>
          <w:p w14:paraId="074A872A" w14:textId="77777777" w:rsidR="00CD1F6F" w:rsidRPr="000A7D3A" w:rsidRDefault="00CD1F6F" w:rsidP="000A7D3A">
            <w:pPr>
              <w:pStyle w:val="ListBullet"/>
              <w:ind w:left="478" w:right="146" w:hanging="283"/>
              <w:rPr>
                <w:rFonts w:cs="Segoe UI Light"/>
                <w:bCs/>
                <w:color w:val="000000" w:themeColor="text1"/>
              </w:rPr>
            </w:pPr>
            <w:r w:rsidRPr="006D7E1C">
              <w:rPr>
                <w:bCs/>
                <w:color w:val="000000" w:themeColor="text1"/>
              </w:rPr>
              <w:t>If the Regulations lapsed and</w:t>
            </w:r>
            <w:r w:rsidRPr="000A7D3A">
              <w:rPr>
                <w:bCs/>
                <w:color w:val="000000" w:themeColor="text1"/>
              </w:rPr>
              <w:t xml:space="preserve"> were not replaced, Local Government would lose visibility of accommodation standards (local council).</w:t>
            </w:r>
          </w:p>
          <w:p w14:paraId="5130198B" w14:textId="77777777" w:rsidR="00CD1F6F" w:rsidRPr="000A7D3A" w:rsidRDefault="00CD1F6F" w:rsidP="000A7D3A">
            <w:pPr>
              <w:pStyle w:val="ListBullet"/>
              <w:ind w:left="478" w:right="146" w:hanging="283"/>
              <w:rPr>
                <w:rFonts w:cs="Segoe UI Light"/>
                <w:bCs/>
                <w:color w:val="000000" w:themeColor="text1"/>
              </w:rPr>
            </w:pPr>
            <w:r w:rsidRPr="000A7D3A">
              <w:rPr>
                <w:bCs/>
                <w:color w:val="000000" w:themeColor="text1"/>
              </w:rPr>
              <w:t>The inability to monitor and enforce adherence to standards poses a significant risk to the health of occupants, particularly more vulnerable populations seeking budget accommodation (local council).</w:t>
            </w:r>
          </w:p>
        </w:tc>
        <w:tc>
          <w:tcPr>
            <w:tcW w:w="2106" w:type="pct"/>
          </w:tcPr>
          <w:p w14:paraId="74A95799" w14:textId="77777777" w:rsidR="00CD1F6F" w:rsidRPr="000A7D3A" w:rsidRDefault="00CD1F6F" w:rsidP="00F0077F">
            <w:pPr>
              <w:pStyle w:val="ListBullet"/>
              <w:numPr>
                <w:ilvl w:val="0"/>
                <w:numId w:val="0"/>
              </w:numPr>
              <w:ind w:left="720"/>
              <w:rPr>
                <w:rFonts w:cs="Segoe UI Light"/>
                <w:bCs/>
                <w:color w:val="000000" w:themeColor="text1"/>
              </w:rPr>
            </w:pPr>
          </w:p>
        </w:tc>
      </w:tr>
    </w:tbl>
    <w:p w14:paraId="42206631" w14:textId="281B6C39" w:rsidR="00960479" w:rsidRDefault="00960479" w:rsidP="00960479">
      <w:pPr>
        <w:pStyle w:val="Heading1un-numbered"/>
      </w:pPr>
      <w:bookmarkStart w:id="229" w:name="_Toc48638311"/>
      <w:bookmarkStart w:id="230" w:name="_Toc49460312"/>
      <w:bookmarkEnd w:id="225"/>
      <w:bookmarkEnd w:id="226"/>
      <w:bookmarkEnd w:id="229"/>
      <w:r>
        <w:lastRenderedPageBreak/>
        <w:t xml:space="preserve">Appendix </w:t>
      </w:r>
      <w:r w:rsidR="00CF5E1A">
        <w:t>C</w:t>
      </w:r>
      <w:r>
        <w:t xml:space="preserve">: </w:t>
      </w:r>
      <w:r w:rsidR="002B0175">
        <w:t>Cross-portfolio reviews</w:t>
      </w:r>
      <w:bookmarkEnd w:id="230"/>
    </w:p>
    <w:p w14:paraId="42DB7A27" w14:textId="77777777" w:rsidR="0050203C" w:rsidRPr="00C31A32" w:rsidRDefault="0050203C" w:rsidP="00F0077F">
      <w:pPr>
        <w:pStyle w:val="ListBullet"/>
        <w:numPr>
          <w:ilvl w:val="0"/>
          <w:numId w:val="168"/>
        </w:numPr>
        <w:spacing w:after="0"/>
        <w:rPr>
          <w:rFonts w:asciiTheme="minorHAnsi" w:hAnsiTheme="minorHAnsi" w:cs="Segoe UI Light"/>
          <w:b/>
        </w:rPr>
      </w:pPr>
      <w:r w:rsidRPr="00C31A32">
        <w:rPr>
          <w:rFonts w:asciiTheme="minorHAnsi" w:hAnsiTheme="minorHAnsi" w:cs="Segoe UI Light"/>
          <w:b/>
        </w:rPr>
        <w:t xml:space="preserve">DJCS review of the definition of ‘rooming house’ under the RTA and </w:t>
      </w:r>
      <w:r w:rsidRPr="00CA6E3B">
        <w:rPr>
          <w:rFonts w:asciiTheme="majorHAnsi" w:hAnsiTheme="majorHAnsi"/>
          <w:b/>
          <w:lang w:val="en-GB"/>
        </w:rPr>
        <w:t>Rooming House Operators Act</w:t>
      </w:r>
    </w:p>
    <w:p w14:paraId="78E9F984" w14:textId="77777777" w:rsidR="0050203C" w:rsidRDefault="0050203C" w:rsidP="00F0077F">
      <w:pPr>
        <w:pStyle w:val="ListParagraph"/>
      </w:pPr>
      <w:r>
        <w:t xml:space="preserve">It is proposed to amend the Regulations to make the definition of ‘rooming house’ in the RTA the source definition in the Regulations (see Option 2 in section 3.2). This will make the regulatory definitions consistent for operators and occupants. Once the DJCS proposed review of the definition has concluded, </w:t>
      </w:r>
      <w:r w:rsidRPr="00CA6E3B">
        <w:t>and if any necessary change is made to the definition in the RTA</w:t>
      </w:r>
      <w:r>
        <w:t xml:space="preserve">, there will be no further need to amend the definition in the Regulations. </w:t>
      </w:r>
      <w:r w:rsidRPr="00CA6E3B">
        <w:t>Some stakeholders have reported that some accommodation housing students may operate as illegal rooming houses or that it may not be clear whether student accommodation constitutes a rooming house. Given this, DHHS anticipates that the DJCS review may receive some stakeholder input regarding student accommodation that maybe relevant to a consideration of whether the term ‘student dormitory’ is ‘fit for purpose’.</w:t>
      </w:r>
    </w:p>
    <w:p w14:paraId="43162481" w14:textId="77777777" w:rsidR="0050203C" w:rsidRPr="000A574C" w:rsidRDefault="0050203C" w:rsidP="00F0077F">
      <w:pPr>
        <w:pStyle w:val="ListBullet"/>
        <w:numPr>
          <w:ilvl w:val="0"/>
          <w:numId w:val="168"/>
        </w:numPr>
        <w:spacing w:after="0"/>
        <w:rPr>
          <w:rFonts w:asciiTheme="minorHAnsi" w:hAnsiTheme="minorHAnsi" w:cs="Segoe UI Light"/>
          <w:b/>
        </w:rPr>
      </w:pPr>
      <w:r w:rsidRPr="000A574C">
        <w:rPr>
          <w:rFonts w:asciiTheme="minorHAnsi" w:hAnsiTheme="minorHAnsi" w:cs="Segoe UI Light"/>
          <w:b/>
        </w:rPr>
        <w:t>DELWP consideration of Plan Melbourne 2017-50 - Metropolitan Planning Strategy (Action 31): Victoria Planning Provisions</w:t>
      </w:r>
    </w:p>
    <w:p w14:paraId="438343E7" w14:textId="77777777" w:rsidR="0050203C" w:rsidRDefault="0050203C" w:rsidP="00F0077F">
      <w:pPr>
        <w:pStyle w:val="ListParagraph"/>
      </w:pPr>
      <w:r>
        <w:t>In considering whether the term ‘student dormitory’ is ‘fit for purpose’, it will be relevant to consider the work of DELWP in implementing action 31 under the Plan Melbourne 2017-50 - Metropolitan Planning Strategy. That action is to develop and implement a streamlined approvals process for specific housing types that address local housing gaps such as student housing.</w:t>
      </w:r>
      <w:r w:rsidRPr="0021208B">
        <w:t xml:space="preserve"> This would likely require consideration of whether ‘student accommodation’ should be included as a land use term in the Victoria Planning Provisions, with associated provisions. </w:t>
      </w:r>
      <w:r>
        <w:t xml:space="preserve">DELWP’s consideration of the need for certain planning controls with respect to student housing may intersect with the standards under the Regulations applying to ‘student dormitories’ and assist addressing any stakeholder concerns about an absence of adequate regulation in this market. </w:t>
      </w:r>
    </w:p>
    <w:p w14:paraId="1DD0C2FF" w14:textId="77777777" w:rsidR="0050203C" w:rsidRPr="000A574C" w:rsidRDefault="0050203C" w:rsidP="00F0077F">
      <w:pPr>
        <w:pStyle w:val="ListBullet"/>
        <w:numPr>
          <w:ilvl w:val="0"/>
          <w:numId w:val="168"/>
        </w:numPr>
        <w:spacing w:after="0"/>
        <w:rPr>
          <w:rFonts w:asciiTheme="minorHAnsi" w:hAnsiTheme="minorHAnsi" w:cs="Segoe UI Light"/>
          <w:b/>
        </w:rPr>
      </w:pPr>
      <w:r w:rsidRPr="000A574C">
        <w:rPr>
          <w:rFonts w:asciiTheme="minorHAnsi" w:hAnsiTheme="minorHAnsi" w:cs="Segoe UI Light"/>
          <w:b/>
        </w:rPr>
        <w:t>DELWP consideration of potential inclusion of ‘rural worker accommodation’ as a land use term in the Victoria Planning Provisions with associated accommodation provisions</w:t>
      </w:r>
    </w:p>
    <w:p w14:paraId="6CD56E73" w14:textId="77777777" w:rsidR="0050203C" w:rsidRDefault="0050203C" w:rsidP="00F0077F">
      <w:pPr>
        <w:pStyle w:val="ListParagraph"/>
      </w:pPr>
      <w:r>
        <w:t>DELWP is considering whether ‘rural worker accommodation’ should be included as a land use term in the Victoria Planning Provisions, with associated accommodation provisions. The 2016 report of the Victorian Government’s Inquiry into the Labour Hire Industry and Insecure Work recommended that prescribed accommodation be extended to cover accommodation provided to workers under labour hire arrangements. DHHS considers it appropriate to consider the outcomes of the DELWP work prior to consideration of further amendments to the PHWA which would be required to implement the ‘Labour Hire Inquiry’ recommendations. DELWP’s consideration of the need for certain planning controls such as those relating to the design of buildings, waste-water, and number of workers accommodated, may intersect with the standards under the Regulations.</w:t>
      </w:r>
    </w:p>
    <w:p w14:paraId="52FB2C5C" w14:textId="77777777" w:rsidR="0050203C" w:rsidRPr="000A574C" w:rsidRDefault="0050203C" w:rsidP="00F0077F">
      <w:pPr>
        <w:pStyle w:val="ListBullet"/>
        <w:numPr>
          <w:ilvl w:val="0"/>
          <w:numId w:val="168"/>
        </w:numPr>
        <w:spacing w:after="0"/>
        <w:rPr>
          <w:rFonts w:asciiTheme="minorHAnsi" w:hAnsiTheme="minorHAnsi" w:cs="Segoe UI Light"/>
          <w:b/>
        </w:rPr>
      </w:pPr>
      <w:r w:rsidRPr="000A574C">
        <w:rPr>
          <w:rFonts w:asciiTheme="minorHAnsi" w:hAnsiTheme="minorHAnsi" w:cs="Segoe UI Light"/>
          <w:b/>
        </w:rPr>
        <w:t>DJCS post implementation review of the Owners Corporation Amendment (Short-stay Accommodation) Act 2018</w:t>
      </w:r>
    </w:p>
    <w:p w14:paraId="08E1A58F" w14:textId="77777777" w:rsidR="0050203C" w:rsidRDefault="0050203C" w:rsidP="00F0077F">
      <w:pPr>
        <w:pStyle w:val="ListParagraph"/>
      </w:pPr>
      <w:r>
        <w:t xml:space="preserve">DJCS will undertake a post implementation review of the </w:t>
      </w:r>
      <w:r w:rsidRPr="00104C7E">
        <w:rPr>
          <w:i/>
        </w:rPr>
        <w:t>Owners Corporation Amendment (Short-stay Accommodation) Act 2018</w:t>
      </w:r>
      <w:r>
        <w:t xml:space="preserve"> which regulates the provision of short-stay accommodation affected by an owners corporation. In considering whether the definitions of various types of prescribed accommodation are ‘fit for purpose’, DHHS considers it appropriate to consider the terms of reference of this review, and potentially any observations or broader stakeholder feedback about the regulation and standards applying to ‘short-stay accommodation’, some of which is regulated as prescribed accommodation </w:t>
      </w:r>
      <w:r>
        <w:lastRenderedPageBreak/>
        <w:t>(e.g. ‘bed and breakfasts’ accommodating more than 5 people) and some of which may not be(e.g. self-contained home sharing).</w:t>
      </w:r>
    </w:p>
    <w:p w14:paraId="53991426" w14:textId="74FD9495" w:rsidR="0050203C" w:rsidRDefault="0050203C" w:rsidP="00F0077F">
      <w:pPr>
        <w:pStyle w:val="ListParagraph"/>
      </w:pPr>
      <w:r>
        <w:t>Given the interface of the reviews of DJCS and BRV (see below) with the small visitor economy, DHHS considers it appropriate to consider the outcomes and observations of that work prior to further implementation work on the Small Business Visitor Economy Review recommendations 5.1 and 5.2. Those recommendations relate to the simplification of the registration requirements of small visitor accommodation (e.g. hosted ‘bed and breakfast’) providers as prescribed accommodation.</w:t>
      </w:r>
      <w:r w:rsidR="003D207C">
        <w:rPr>
          <w:rStyle w:val="FootnoteReference"/>
        </w:rPr>
        <w:footnoteReference w:id="136"/>
      </w:r>
      <w:r>
        <w:t xml:space="preserve">  </w:t>
      </w:r>
    </w:p>
    <w:p w14:paraId="32A6CE4C" w14:textId="77777777" w:rsidR="0050203C" w:rsidRPr="000A574C" w:rsidRDefault="0050203C" w:rsidP="00F0077F">
      <w:pPr>
        <w:pStyle w:val="ListBullet"/>
        <w:numPr>
          <w:ilvl w:val="0"/>
          <w:numId w:val="168"/>
        </w:numPr>
        <w:spacing w:after="0"/>
        <w:rPr>
          <w:rFonts w:asciiTheme="minorHAnsi" w:hAnsiTheme="minorHAnsi" w:cs="Segoe UI Light"/>
          <w:b/>
        </w:rPr>
      </w:pPr>
      <w:r w:rsidRPr="000A574C">
        <w:rPr>
          <w:rFonts w:asciiTheme="minorHAnsi" w:hAnsiTheme="minorHAnsi" w:cs="Segoe UI Light"/>
          <w:b/>
        </w:rPr>
        <w:t>BRV review of any regulatory imbalances in the accommodation sector between traditional and short-stay accommodation.</w:t>
      </w:r>
    </w:p>
    <w:p w14:paraId="444500F1" w14:textId="4A0A5C4B" w:rsidR="0050203C" w:rsidRPr="00B802E3" w:rsidRDefault="0050203C" w:rsidP="00104C7E">
      <w:pPr>
        <w:pStyle w:val="ListParagraph"/>
      </w:pPr>
      <w:r>
        <w:t xml:space="preserve">BRV is undertaking a review of the imbalances in the accommodation sector, specifically differences in standards and regulations for traditional and short stay accommodation. In considering whether the definitions of various types of prescribed accommodation are ‘fit for purpose’, DHHS considers it appropriate to consider the outcomes of this review. Any observations or key findings regarding forms of short-stay accommodation not currently regulated as prescribed accommodation </w:t>
      </w:r>
      <w:r w:rsidRPr="00B802E3">
        <w:t xml:space="preserve">and any observations regarding regulatory burden in the shared accommodation sector, may be relevant. </w:t>
      </w:r>
    </w:p>
    <w:p w14:paraId="0A839632" w14:textId="77777777" w:rsidR="00104C7E" w:rsidRPr="00B802E3" w:rsidRDefault="00104C7E" w:rsidP="00F0077F">
      <w:pPr>
        <w:pStyle w:val="ListParagraph"/>
      </w:pPr>
    </w:p>
    <w:p w14:paraId="2641F465" w14:textId="6A332B79" w:rsidR="0050203C" w:rsidRPr="00B802E3" w:rsidRDefault="0050203C" w:rsidP="00F0077F">
      <w:pPr>
        <w:pStyle w:val="ListParagraph"/>
        <w:spacing w:before="120"/>
      </w:pPr>
      <w:r w:rsidRPr="00B802E3">
        <w:t xml:space="preserve">Given the interface </w:t>
      </w:r>
      <w:r w:rsidR="00120062" w:rsidRPr="00B802E3">
        <w:t>betwee</w:t>
      </w:r>
      <w:r w:rsidR="001F35BF" w:rsidRPr="00B802E3">
        <w:t xml:space="preserve">n the traditional and short-stay accommodation sector and </w:t>
      </w:r>
      <w:r w:rsidRPr="00B802E3">
        <w:t xml:space="preserve">the small </w:t>
      </w:r>
      <w:r w:rsidR="00A51187" w:rsidRPr="00B802E3">
        <w:t xml:space="preserve">business </w:t>
      </w:r>
      <w:r w:rsidRPr="00B802E3">
        <w:t xml:space="preserve">visitor economy, DHHS considers it appropriate to consider the outcomes and observations of </w:t>
      </w:r>
      <w:r w:rsidR="001F35BF" w:rsidRPr="00B802E3">
        <w:t xml:space="preserve">the BRV </w:t>
      </w:r>
      <w:r w:rsidRPr="00B802E3">
        <w:t>work prior to further consideration of implementation of the Small Business Visitor Economy Review recommendations relating to the regulation and registration of small visitor accommodation providers as prescribed accommodation.</w:t>
      </w:r>
    </w:p>
    <w:p w14:paraId="4B498E2C" w14:textId="77777777" w:rsidR="0050203C" w:rsidRPr="00B802E3" w:rsidRDefault="0050203C" w:rsidP="00F0077F">
      <w:pPr>
        <w:pStyle w:val="ListBullet"/>
        <w:numPr>
          <w:ilvl w:val="0"/>
          <w:numId w:val="168"/>
        </w:numPr>
        <w:spacing w:after="0"/>
        <w:rPr>
          <w:rFonts w:asciiTheme="minorHAnsi" w:hAnsiTheme="minorHAnsi" w:cs="Segoe UI Light"/>
          <w:b/>
        </w:rPr>
      </w:pPr>
      <w:r w:rsidRPr="00B802E3">
        <w:rPr>
          <w:rFonts w:asciiTheme="minorHAnsi" w:hAnsiTheme="minorHAnsi" w:cs="Segoe UI Light"/>
          <w:b/>
        </w:rPr>
        <w:t>DELWP review of the Residential Tenancies (Caravan Parks and Movable Dwellings Registration and Standards) Regulations 2020.</w:t>
      </w:r>
    </w:p>
    <w:p w14:paraId="5FE012C3" w14:textId="77777777" w:rsidR="0050203C" w:rsidRDefault="0050203C" w:rsidP="00F0077F">
      <w:pPr>
        <w:pStyle w:val="ListParagraph"/>
      </w:pPr>
      <w:r w:rsidRPr="00B802E3">
        <w:t>DELWP is undertaking a review of the Residential Tenancies (Caravan Parks and Movable Dwellings Registration and Standards) Regulations 2020. The review will help address issues relating to the safety and standard of living for residents</w:t>
      </w:r>
      <w:r>
        <w:t xml:space="preserve"> and visitors of caravan parks and moveable dwellings, while keeping the regulatory burden on operators to the minimum level necessary to achieve this. The Prescribed Accommodation Regulations regulate holiday camps, including camping grounds and caravan parks, used to accommodate student groups, youth groups or family groups for holiday or recreational purposes. The Residential Tenancies regime applies to tents, caravans and moveable dwellings. Some operators may be required to comply with both regimes.</w:t>
      </w:r>
    </w:p>
    <w:p w14:paraId="561D6E61" w14:textId="77777777" w:rsidR="00960479" w:rsidRDefault="00960479">
      <w:pPr>
        <w:spacing w:after="0"/>
        <w:rPr>
          <w:sz w:val="60"/>
        </w:rPr>
      </w:pPr>
      <w:r>
        <w:br w:type="page"/>
      </w:r>
    </w:p>
    <w:p w14:paraId="182A98F2" w14:textId="49626E17" w:rsidR="00187213" w:rsidRDefault="00A0002C" w:rsidP="00A0002C">
      <w:pPr>
        <w:pStyle w:val="Heading1un-numbered"/>
      </w:pPr>
      <w:bookmarkStart w:id="231" w:name="_Toc49460313"/>
      <w:r>
        <w:lastRenderedPageBreak/>
        <w:t xml:space="preserve">Appendix </w:t>
      </w:r>
      <w:r w:rsidR="00960479">
        <w:t>D</w:t>
      </w:r>
      <w:r>
        <w:t xml:space="preserve">: </w:t>
      </w:r>
      <w:r w:rsidR="00187213">
        <w:t>Option 2 changes to regulations</w:t>
      </w:r>
      <w:bookmarkEnd w:id="231"/>
    </w:p>
    <w:p w14:paraId="111E1D48" w14:textId="76443765" w:rsidR="00681D4B" w:rsidRDefault="006B3D9A" w:rsidP="006B3D9A">
      <w:pPr>
        <w:pStyle w:val="Caption"/>
      </w:pPr>
      <w:r>
        <w:t xml:space="preserve">Table C-1 </w:t>
      </w:r>
      <w:r w:rsidR="001B4474">
        <w:t>P</w:t>
      </w:r>
      <w:r w:rsidR="00681D4B">
        <w:t>roposed Changes to the Public Health and Wellbeing (Prescribed Accommodation) Regulations 2009</w:t>
      </w:r>
    </w:p>
    <w:tbl>
      <w:tblPr>
        <w:tblStyle w:val="Deloittetable"/>
        <w:tblW w:w="0" w:type="auto"/>
        <w:tblLook w:val="04A0" w:firstRow="1" w:lastRow="0" w:firstColumn="1" w:lastColumn="0" w:noHBand="0" w:noVBand="1"/>
      </w:tblPr>
      <w:tblGrid>
        <w:gridCol w:w="1433"/>
        <w:gridCol w:w="1075"/>
        <w:gridCol w:w="1914"/>
        <w:gridCol w:w="2279"/>
        <w:gridCol w:w="2325"/>
      </w:tblGrid>
      <w:tr w:rsidR="00F56177" w14:paraId="59CD6312" w14:textId="77777777" w:rsidTr="005D2483">
        <w:trPr>
          <w:cnfStyle w:val="100000000000" w:firstRow="1" w:lastRow="0" w:firstColumn="0" w:lastColumn="0" w:oddVBand="0" w:evenVBand="0" w:oddHBand="0" w:evenHBand="0" w:firstRowFirstColumn="0" w:firstRowLastColumn="0" w:lastRowFirstColumn="0" w:lastRowLastColumn="0"/>
        </w:trPr>
        <w:tc>
          <w:tcPr>
            <w:tcW w:w="1433" w:type="dxa"/>
          </w:tcPr>
          <w:p w14:paraId="4B5610D2" w14:textId="77777777" w:rsidR="00681D4B" w:rsidRDefault="00681D4B">
            <w:pPr>
              <w:spacing w:after="0" w:line="240" w:lineRule="auto"/>
              <w:rPr>
                <w:b/>
                <w:bCs/>
                <w:sz w:val="22"/>
                <w:szCs w:val="22"/>
              </w:rPr>
            </w:pPr>
            <w:r>
              <w:rPr>
                <w:b/>
                <w:bCs/>
              </w:rPr>
              <w:t>Summary of Proposed Change</w:t>
            </w:r>
          </w:p>
          <w:p w14:paraId="3FD034EF" w14:textId="77777777" w:rsidR="00681D4B" w:rsidRDefault="00681D4B">
            <w:pPr>
              <w:spacing w:after="0" w:line="240" w:lineRule="auto"/>
              <w:rPr>
                <w:b/>
                <w:bCs/>
              </w:rPr>
            </w:pPr>
          </w:p>
        </w:tc>
        <w:tc>
          <w:tcPr>
            <w:tcW w:w="1075" w:type="dxa"/>
            <w:hideMark/>
          </w:tcPr>
          <w:p w14:paraId="318B9D33" w14:textId="77777777" w:rsidR="00681D4B" w:rsidRDefault="00681D4B">
            <w:pPr>
              <w:spacing w:after="0" w:line="240" w:lineRule="auto"/>
              <w:rPr>
                <w:b/>
                <w:bCs/>
              </w:rPr>
            </w:pPr>
            <w:r>
              <w:rPr>
                <w:b/>
                <w:bCs/>
              </w:rPr>
              <w:t>Regulation</w:t>
            </w:r>
          </w:p>
        </w:tc>
        <w:tc>
          <w:tcPr>
            <w:tcW w:w="1914" w:type="dxa"/>
            <w:hideMark/>
          </w:tcPr>
          <w:p w14:paraId="541A8857" w14:textId="77777777" w:rsidR="00681D4B" w:rsidRDefault="00681D4B" w:rsidP="00CA6E3B">
            <w:pPr>
              <w:spacing w:after="0" w:line="240" w:lineRule="auto"/>
              <w:ind w:right="281"/>
              <w:rPr>
                <w:b/>
                <w:bCs/>
              </w:rPr>
            </w:pPr>
            <w:r>
              <w:rPr>
                <w:b/>
                <w:bCs/>
              </w:rPr>
              <w:t>Regulatory Impact of Proposed Change</w:t>
            </w:r>
          </w:p>
        </w:tc>
        <w:tc>
          <w:tcPr>
            <w:tcW w:w="2279" w:type="dxa"/>
            <w:hideMark/>
          </w:tcPr>
          <w:p w14:paraId="18ED5124" w14:textId="77777777" w:rsidR="00681D4B" w:rsidRDefault="00681D4B">
            <w:pPr>
              <w:spacing w:after="0" w:line="240" w:lineRule="auto"/>
              <w:rPr>
                <w:b/>
                <w:bCs/>
              </w:rPr>
            </w:pPr>
            <w:r>
              <w:rPr>
                <w:b/>
                <w:bCs/>
              </w:rPr>
              <w:t>Description of Proposed Change</w:t>
            </w:r>
          </w:p>
        </w:tc>
        <w:tc>
          <w:tcPr>
            <w:tcW w:w="2325" w:type="dxa"/>
            <w:hideMark/>
          </w:tcPr>
          <w:p w14:paraId="634E9C41" w14:textId="7D33171D" w:rsidR="00681D4B" w:rsidRPr="00CA6E3B" w:rsidRDefault="00684821">
            <w:pPr>
              <w:spacing w:after="0" w:line="240" w:lineRule="auto"/>
              <w:rPr>
                <w:b/>
                <w:bCs/>
                <w:highlight w:val="yellow"/>
              </w:rPr>
            </w:pPr>
            <w:r w:rsidRPr="00F0077F">
              <w:rPr>
                <w:b/>
                <w:bCs/>
              </w:rPr>
              <w:t>Questions for Stakeholders</w:t>
            </w:r>
          </w:p>
        </w:tc>
      </w:tr>
      <w:tr w:rsidR="00F56177" w14:paraId="17287FB4" w14:textId="77777777" w:rsidTr="005D2483">
        <w:tc>
          <w:tcPr>
            <w:tcW w:w="1433" w:type="dxa"/>
            <w:hideMark/>
          </w:tcPr>
          <w:p w14:paraId="375E943D" w14:textId="77777777" w:rsidR="00681D4B" w:rsidRDefault="00681D4B">
            <w:pPr>
              <w:spacing w:after="0" w:line="240" w:lineRule="auto"/>
            </w:pPr>
            <w:r>
              <w:t>Authorising provision</w:t>
            </w:r>
          </w:p>
        </w:tc>
        <w:tc>
          <w:tcPr>
            <w:tcW w:w="1075" w:type="dxa"/>
            <w:hideMark/>
          </w:tcPr>
          <w:p w14:paraId="4269B4D0" w14:textId="77777777" w:rsidR="00681D4B" w:rsidRDefault="00681D4B">
            <w:pPr>
              <w:spacing w:after="0" w:line="240" w:lineRule="auto"/>
            </w:pPr>
            <w:r>
              <w:t>2</w:t>
            </w:r>
          </w:p>
        </w:tc>
        <w:tc>
          <w:tcPr>
            <w:tcW w:w="1914" w:type="dxa"/>
            <w:hideMark/>
          </w:tcPr>
          <w:p w14:paraId="6C4A626E" w14:textId="77777777" w:rsidR="00681D4B" w:rsidRDefault="00681D4B" w:rsidP="00CA6E3B">
            <w:pPr>
              <w:spacing w:after="0" w:line="240" w:lineRule="auto"/>
              <w:ind w:right="281"/>
            </w:pPr>
            <w:r>
              <w:t>No material impact</w:t>
            </w:r>
          </w:p>
        </w:tc>
        <w:tc>
          <w:tcPr>
            <w:tcW w:w="2279" w:type="dxa"/>
            <w:hideMark/>
          </w:tcPr>
          <w:p w14:paraId="7CAF121D" w14:textId="77777777" w:rsidR="00681D4B" w:rsidRDefault="00681D4B">
            <w:pPr>
              <w:spacing w:after="0" w:line="240" w:lineRule="auto"/>
            </w:pPr>
            <w:r>
              <w:t xml:space="preserve">The proposed change updates the authorising provisions in the </w:t>
            </w:r>
            <w:r>
              <w:rPr>
                <w:i/>
                <w:iCs/>
              </w:rPr>
              <w:t>Public Health and Wellbeing Act 2008</w:t>
            </w:r>
          </w:p>
        </w:tc>
        <w:tc>
          <w:tcPr>
            <w:tcW w:w="2325" w:type="dxa"/>
          </w:tcPr>
          <w:p w14:paraId="6356E1FD" w14:textId="77777777" w:rsidR="00681D4B" w:rsidRPr="00CA6E3B" w:rsidRDefault="00681D4B">
            <w:pPr>
              <w:spacing w:after="0" w:line="240" w:lineRule="auto"/>
              <w:rPr>
                <w:highlight w:val="yellow"/>
              </w:rPr>
            </w:pPr>
          </w:p>
        </w:tc>
      </w:tr>
      <w:tr w:rsidR="00F56177" w14:paraId="58D12C01" w14:textId="77777777" w:rsidTr="005D2483">
        <w:tc>
          <w:tcPr>
            <w:tcW w:w="1433" w:type="dxa"/>
          </w:tcPr>
          <w:p w14:paraId="07B7D93C" w14:textId="77777777" w:rsidR="00681D4B" w:rsidRDefault="00681D4B">
            <w:pPr>
              <w:spacing w:after="0" w:line="240" w:lineRule="auto"/>
            </w:pPr>
            <w:r>
              <w:t>New commencement date</w:t>
            </w:r>
          </w:p>
          <w:p w14:paraId="33159928" w14:textId="77777777" w:rsidR="00681D4B" w:rsidRDefault="00681D4B">
            <w:pPr>
              <w:spacing w:after="0" w:line="240" w:lineRule="auto"/>
            </w:pPr>
          </w:p>
          <w:p w14:paraId="5EA15C83" w14:textId="77777777" w:rsidR="00681D4B" w:rsidRDefault="00681D4B">
            <w:pPr>
              <w:spacing w:after="0" w:line="240" w:lineRule="auto"/>
            </w:pPr>
          </w:p>
        </w:tc>
        <w:tc>
          <w:tcPr>
            <w:tcW w:w="1075" w:type="dxa"/>
            <w:hideMark/>
          </w:tcPr>
          <w:p w14:paraId="6F66E448" w14:textId="77777777" w:rsidR="00681D4B" w:rsidRDefault="00681D4B">
            <w:pPr>
              <w:spacing w:after="0" w:line="240" w:lineRule="auto"/>
            </w:pPr>
            <w:r>
              <w:t>3</w:t>
            </w:r>
          </w:p>
        </w:tc>
        <w:tc>
          <w:tcPr>
            <w:tcW w:w="1914" w:type="dxa"/>
            <w:hideMark/>
          </w:tcPr>
          <w:p w14:paraId="59507E10" w14:textId="77777777" w:rsidR="00681D4B" w:rsidRDefault="00681D4B" w:rsidP="00CA6E3B">
            <w:pPr>
              <w:spacing w:after="0" w:line="240" w:lineRule="auto"/>
              <w:ind w:right="281"/>
            </w:pPr>
            <w:r>
              <w:t xml:space="preserve">No material impact. </w:t>
            </w:r>
          </w:p>
        </w:tc>
        <w:tc>
          <w:tcPr>
            <w:tcW w:w="2279" w:type="dxa"/>
            <w:hideMark/>
          </w:tcPr>
          <w:p w14:paraId="000118D6" w14:textId="05D81C14" w:rsidR="00681D4B" w:rsidRDefault="00681D4B">
            <w:pPr>
              <w:spacing w:after="0" w:line="240" w:lineRule="auto"/>
            </w:pPr>
            <w:r>
              <w:t xml:space="preserve">The proposed change updates the date of commencement of the new regulations to </w:t>
            </w:r>
            <w:r w:rsidR="000433B7">
              <w:t>13</w:t>
            </w:r>
            <w:r>
              <w:t xml:space="preserve"> December 2020</w:t>
            </w:r>
          </w:p>
        </w:tc>
        <w:tc>
          <w:tcPr>
            <w:tcW w:w="2325" w:type="dxa"/>
          </w:tcPr>
          <w:p w14:paraId="4522883B" w14:textId="77777777" w:rsidR="00681D4B" w:rsidRPr="00CA6E3B" w:rsidRDefault="00681D4B">
            <w:pPr>
              <w:spacing w:after="0" w:line="240" w:lineRule="auto"/>
              <w:rPr>
                <w:highlight w:val="yellow"/>
              </w:rPr>
            </w:pPr>
          </w:p>
        </w:tc>
      </w:tr>
      <w:tr w:rsidR="00F56177" w14:paraId="782023F9" w14:textId="77777777" w:rsidTr="005D2483">
        <w:tc>
          <w:tcPr>
            <w:tcW w:w="1433" w:type="dxa"/>
          </w:tcPr>
          <w:p w14:paraId="6B9211A1" w14:textId="77777777" w:rsidR="00681D4B" w:rsidRDefault="00681D4B">
            <w:pPr>
              <w:spacing w:after="0" w:line="240" w:lineRule="auto"/>
            </w:pPr>
            <w:r>
              <w:t>Revocation of existing regulations</w:t>
            </w:r>
          </w:p>
          <w:p w14:paraId="5DBB4393" w14:textId="77777777" w:rsidR="00681D4B" w:rsidRDefault="00681D4B">
            <w:pPr>
              <w:spacing w:after="0" w:line="240" w:lineRule="auto"/>
            </w:pPr>
          </w:p>
          <w:p w14:paraId="741C426E" w14:textId="77777777" w:rsidR="00681D4B" w:rsidRDefault="00681D4B">
            <w:pPr>
              <w:spacing w:after="0" w:line="240" w:lineRule="auto"/>
            </w:pPr>
          </w:p>
        </w:tc>
        <w:tc>
          <w:tcPr>
            <w:tcW w:w="1075" w:type="dxa"/>
            <w:hideMark/>
          </w:tcPr>
          <w:p w14:paraId="7B2D629B" w14:textId="77777777" w:rsidR="00681D4B" w:rsidRDefault="00681D4B">
            <w:pPr>
              <w:spacing w:after="0" w:line="240" w:lineRule="auto"/>
            </w:pPr>
            <w:r>
              <w:t>4 (new)</w:t>
            </w:r>
          </w:p>
        </w:tc>
        <w:tc>
          <w:tcPr>
            <w:tcW w:w="1914" w:type="dxa"/>
            <w:hideMark/>
          </w:tcPr>
          <w:p w14:paraId="172CBCD6" w14:textId="3F1E7448" w:rsidR="00681D4B" w:rsidRDefault="00681D4B" w:rsidP="00CA6E3B">
            <w:pPr>
              <w:spacing w:after="0" w:line="240" w:lineRule="auto"/>
              <w:ind w:right="281"/>
            </w:pPr>
            <w:r>
              <w:t>No material impact</w:t>
            </w:r>
            <w:r w:rsidR="006050FA">
              <w:t>.</w:t>
            </w:r>
          </w:p>
        </w:tc>
        <w:tc>
          <w:tcPr>
            <w:tcW w:w="2279" w:type="dxa"/>
            <w:hideMark/>
          </w:tcPr>
          <w:p w14:paraId="2A552035" w14:textId="38DD0E95" w:rsidR="00681D4B" w:rsidRDefault="00681D4B">
            <w:pPr>
              <w:spacing w:after="0" w:line="240" w:lineRule="auto"/>
            </w:pPr>
            <w:r>
              <w:t>The proposed change revokes the existing regulations which sunset on 14 December 2020</w:t>
            </w:r>
            <w:r w:rsidR="008E71D8">
              <w:t xml:space="preserve"> (along with previous amending regulations)</w:t>
            </w:r>
          </w:p>
        </w:tc>
        <w:tc>
          <w:tcPr>
            <w:tcW w:w="2325" w:type="dxa"/>
          </w:tcPr>
          <w:p w14:paraId="1EC14927" w14:textId="77777777" w:rsidR="00681D4B" w:rsidRPr="00CA6E3B" w:rsidRDefault="00681D4B">
            <w:pPr>
              <w:spacing w:after="0" w:line="240" w:lineRule="auto"/>
              <w:rPr>
                <w:highlight w:val="yellow"/>
              </w:rPr>
            </w:pPr>
          </w:p>
        </w:tc>
      </w:tr>
      <w:tr w:rsidR="00F56177" w14:paraId="18AE0878" w14:textId="77777777" w:rsidTr="005D2483">
        <w:tc>
          <w:tcPr>
            <w:tcW w:w="1433" w:type="dxa"/>
            <w:hideMark/>
          </w:tcPr>
          <w:p w14:paraId="0410FA40" w14:textId="77777777" w:rsidR="00681D4B" w:rsidRDefault="00681D4B">
            <w:pPr>
              <w:spacing w:after="0" w:line="240" w:lineRule="auto"/>
            </w:pPr>
            <w:r>
              <w:t>Definition of ‘residential accommodation’</w:t>
            </w:r>
          </w:p>
        </w:tc>
        <w:tc>
          <w:tcPr>
            <w:tcW w:w="1075" w:type="dxa"/>
            <w:hideMark/>
          </w:tcPr>
          <w:p w14:paraId="1A5D2738" w14:textId="77777777" w:rsidR="00681D4B" w:rsidRDefault="00681D4B">
            <w:pPr>
              <w:spacing w:after="0" w:line="240" w:lineRule="auto"/>
            </w:pPr>
            <w:r>
              <w:t>5 (previously reg. 4)</w:t>
            </w:r>
          </w:p>
        </w:tc>
        <w:tc>
          <w:tcPr>
            <w:tcW w:w="1914" w:type="dxa"/>
          </w:tcPr>
          <w:p w14:paraId="3E3E07C0" w14:textId="7F8715C6" w:rsidR="00C41928" w:rsidRDefault="00C41928" w:rsidP="00F61AF7">
            <w:pPr>
              <w:spacing w:after="0" w:line="240" w:lineRule="auto"/>
              <w:ind w:right="281"/>
            </w:pPr>
            <w:r>
              <w:t xml:space="preserve">No material impact. </w:t>
            </w:r>
          </w:p>
          <w:p w14:paraId="547A30CE" w14:textId="77777777" w:rsidR="00C41928" w:rsidRDefault="00C41928" w:rsidP="00F61AF7">
            <w:pPr>
              <w:spacing w:after="0" w:line="240" w:lineRule="auto"/>
              <w:ind w:right="281"/>
            </w:pPr>
          </w:p>
          <w:p w14:paraId="4B79F79F" w14:textId="77777777" w:rsidR="00681D4B" w:rsidRDefault="00681D4B" w:rsidP="00CA6E3B">
            <w:pPr>
              <w:spacing w:after="0" w:line="240" w:lineRule="auto"/>
              <w:ind w:right="281"/>
            </w:pPr>
            <w:r>
              <w:t xml:space="preserve">This is clarifying what is intended to be the position, namely that apartments or flats within existing buildings or parts of buildings can constitute prescribed accommodation. </w:t>
            </w:r>
          </w:p>
        </w:tc>
        <w:tc>
          <w:tcPr>
            <w:tcW w:w="2279" w:type="dxa"/>
            <w:hideMark/>
          </w:tcPr>
          <w:p w14:paraId="211D7737" w14:textId="7802A2B9" w:rsidR="00681D4B" w:rsidRDefault="00716F93">
            <w:pPr>
              <w:spacing w:after="0" w:line="240" w:lineRule="auto"/>
            </w:pPr>
            <w:r w:rsidRPr="00716F93">
              <w:t xml:space="preserve">It is proposed to amend the definition to include ‘part’ of a house, building, or other structure used as a place of abode where </w:t>
            </w:r>
            <w:r w:rsidR="006B50F6">
              <w:t>people</w:t>
            </w:r>
            <w:r w:rsidRPr="00716F93">
              <w:t xml:space="preserve"> can live on payment of consideration.</w:t>
            </w:r>
          </w:p>
        </w:tc>
        <w:tc>
          <w:tcPr>
            <w:tcW w:w="2325" w:type="dxa"/>
          </w:tcPr>
          <w:p w14:paraId="02733467" w14:textId="77777777" w:rsidR="00681D4B" w:rsidRPr="00CA6E3B" w:rsidRDefault="00681D4B">
            <w:pPr>
              <w:spacing w:after="0" w:line="240" w:lineRule="auto"/>
              <w:rPr>
                <w:highlight w:val="yellow"/>
              </w:rPr>
            </w:pPr>
          </w:p>
        </w:tc>
      </w:tr>
      <w:tr w:rsidR="00F56177" w14:paraId="7B8C2F03" w14:textId="77777777" w:rsidTr="005D2483">
        <w:tc>
          <w:tcPr>
            <w:tcW w:w="1433" w:type="dxa"/>
          </w:tcPr>
          <w:p w14:paraId="6787AE26" w14:textId="77777777" w:rsidR="00681D4B" w:rsidRDefault="00681D4B">
            <w:pPr>
              <w:spacing w:after="0" w:line="240" w:lineRule="auto"/>
            </w:pPr>
            <w:r>
              <w:t>Definition of ‘rooming house’</w:t>
            </w:r>
          </w:p>
          <w:p w14:paraId="5B30CE61" w14:textId="77777777" w:rsidR="00681D4B" w:rsidRDefault="00681D4B">
            <w:pPr>
              <w:spacing w:after="0" w:line="240" w:lineRule="auto"/>
            </w:pPr>
          </w:p>
          <w:p w14:paraId="7A6A52A0" w14:textId="77777777" w:rsidR="00681D4B" w:rsidRDefault="00681D4B">
            <w:pPr>
              <w:spacing w:after="0" w:line="240" w:lineRule="auto"/>
            </w:pPr>
          </w:p>
        </w:tc>
        <w:tc>
          <w:tcPr>
            <w:tcW w:w="1075" w:type="dxa"/>
            <w:hideMark/>
          </w:tcPr>
          <w:p w14:paraId="5BF0B9D6" w14:textId="77777777" w:rsidR="00681D4B" w:rsidRDefault="00681D4B">
            <w:pPr>
              <w:spacing w:after="0" w:line="240" w:lineRule="auto"/>
            </w:pPr>
            <w:r>
              <w:t>5 (previously reg. 4)</w:t>
            </w:r>
          </w:p>
        </w:tc>
        <w:tc>
          <w:tcPr>
            <w:tcW w:w="1914" w:type="dxa"/>
          </w:tcPr>
          <w:p w14:paraId="2938C8F9" w14:textId="77777777" w:rsidR="00C41928" w:rsidRDefault="00C41928" w:rsidP="00C41928">
            <w:pPr>
              <w:spacing w:after="0" w:line="240" w:lineRule="auto"/>
              <w:ind w:right="281"/>
            </w:pPr>
            <w:r>
              <w:t xml:space="preserve">No material impact. </w:t>
            </w:r>
          </w:p>
          <w:p w14:paraId="7B20826F" w14:textId="77777777" w:rsidR="00C41928" w:rsidRDefault="00C41928" w:rsidP="00F61AF7">
            <w:pPr>
              <w:spacing w:after="0" w:line="240" w:lineRule="auto"/>
              <w:ind w:right="281"/>
            </w:pPr>
          </w:p>
          <w:p w14:paraId="1D093EBF" w14:textId="7712DC9E" w:rsidR="00681D4B" w:rsidRDefault="00681D4B" w:rsidP="00CA6E3B">
            <w:pPr>
              <w:spacing w:after="0" w:line="240" w:lineRule="auto"/>
              <w:ind w:right="281"/>
            </w:pPr>
            <w:r>
              <w:t>Currently the Regulations apply to S</w:t>
            </w:r>
            <w:r w:rsidR="003852A3">
              <w:t>pecialist Disability Accommodation (SDA)</w:t>
            </w:r>
            <w:r>
              <w:t xml:space="preserve"> enrolled dwellings while the rooming house minimum standards under the RTA do not apply as that </w:t>
            </w:r>
            <w:r>
              <w:lastRenderedPageBreak/>
              <w:t xml:space="preserve">accommodation </w:t>
            </w:r>
            <w:r w:rsidR="00D56AFE">
              <w:t xml:space="preserve">is </w:t>
            </w:r>
            <w:r>
              <w:t xml:space="preserve">excluded and is subject to a separate registration, quality and safeguards framework to be enrolled under the Commonwealth </w:t>
            </w:r>
            <w:r w:rsidR="009373C5">
              <w:t>National Disability Insurance Scheme (</w:t>
            </w:r>
            <w:r>
              <w:t>NDIS</w:t>
            </w:r>
            <w:r w:rsidR="009373C5">
              <w:t>)</w:t>
            </w:r>
            <w:r>
              <w:t xml:space="preserve"> legislation. Continuing to regulate this accommodation under the Regulations subjects them to dual regulation.</w:t>
            </w:r>
          </w:p>
          <w:p w14:paraId="06B8EBD3" w14:textId="77777777" w:rsidR="00681D4B" w:rsidRDefault="00681D4B" w:rsidP="00CA6E3B">
            <w:pPr>
              <w:spacing w:after="0" w:line="240" w:lineRule="auto"/>
              <w:ind w:right="281"/>
            </w:pPr>
          </w:p>
          <w:p w14:paraId="7F3BA73C" w14:textId="77777777" w:rsidR="00681D4B" w:rsidRDefault="00681D4B" w:rsidP="00CA6E3B">
            <w:pPr>
              <w:spacing w:after="0" w:line="240" w:lineRule="auto"/>
              <w:ind w:right="281"/>
            </w:pPr>
            <w:r>
              <w:t>The amendment would also ensure that declared rooming houses (declared by the Minister for Housing under s. 19 of the RTA) are subject to both the Regulations (which address matters of public health, particularly relating to sanitation and overcrowding), and the rooming house minimum standards created under the RTA. Currently, declared rooming houses would be subject to the requirements of the Regulations where they were caught by the current definition in the Regulations.</w:t>
            </w:r>
          </w:p>
        </w:tc>
        <w:tc>
          <w:tcPr>
            <w:tcW w:w="2279" w:type="dxa"/>
          </w:tcPr>
          <w:p w14:paraId="2E8BA1BC" w14:textId="77777777" w:rsidR="00681D4B" w:rsidRDefault="00681D4B">
            <w:pPr>
              <w:spacing w:after="0" w:line="240" w:lineRule="auto"/>
              <w:rPr>
                <w:i/>
                <w:iCs/>
              </w:rPr>
            </w:pPr>
            <w:r>
              <w:lastRenderedPageBreak/>
              <w:t xml:space="preserve">The definition is proposed to be amended to incorporate by reference, the definition of ‘rooming house’ in section 3(1) of the </w:t>
            </w:r>
            <w:r>
              <w:rPr>
                <w:i/>
                <w:iCs/>
              </w:rPr>
              <w:t>Residential Tenancies Act 1997.</w:t>
            </w:r>
          </w:p>
          <w:p w14:paraId="3DC8635E" w14:textId="77777777" w:rsidR="00681D4B" w:rsidRDefault="00681D4B">
            <w:pPr>
              <w:spacing w:after="0" w:line="240" w:lineRule="auto"/>
              <w:rPr>
                <w:i/>
                <w:iCs/>
              </w:rPr>
            </w:pPr>
          </w:p>
          <w:p w14:paraId="4B98DE38" w14:textId="77777777" w:rsidR="00681D4B" w:rsidRDefault="00681D4B">
            <w:pPr>
              <w:spacing w:after="0" w:line="240" w:lineRule="auto"/>
            </w:pPr>
            <w:r>
              <w:t xml:space="preserve">The definition of ‘rooming house’ in the Regulations is: </w:t>
            </w:r>
            <w:r>
              <w:br/>
              <w:t xml:space="preserve">‘rooming house means a building in which there is one or more rooms available for occupancy on </w:t>
            </w:r>
            <w:r>
              <w:lastRenderedPageBreak/>
              <w:t>payment of rent in which the total number of people who may occupy that room or those rooms is not less than 4;</w:t>
            </w:r>
          </w:p>
          <w:p w14:paraId="4291F8B7" w14:textId="77777777" w:rsidR="00681D4B" w:rsidRDefault="00681D4B">
            <w:pPr>
              <w:spacing w:after="0" w:line="240" w:lineRule="auto"/>
            </w:pPr>
          </w:p>
          <w:p w14:paraId="74FF4D4F" w14:textId="77777777" w:rsidR="00681D4B" w:rsidRDefault="00681D4B">
            <w:pPr>
              <w:spacing w:after="0" w:line="240" w:lineRule="auto"/>
            </w:pPr>
            <w:r>
              <w:t>It is proposed to amend the definition to:</w:t>
            </w:r>
          </w:p>
          <w:p w14:paraId="0145BED2" w14:textId="77777777" w:rsidR="00681D4B" w:rsidRDefault="00681D4B">
            <w:pPr>
              <w:spacing w:after="0" w:line="240" w:lineRule="auto"/>
            </w:pPr>
            <w:r>
              <w:t>‘rooming house has the same meaning as it has in section 3(1) of the Residential Tenancies Act 1997;’</w:t>
            </w:r>
          </w:p>
          <w:p w14:paraId="6BB64026" w14:textId="77777777" w:rsidR="00681D4B" w:rsidRDefault="00681D4B">
            <w:pPr>
              <w:spacing w:after="0" w:line="240" w:lineRule="auto"/>
            </w:pPr>
          </w:p>
          <w:p w14:paraId="49C7E50C" w14:textId="5450E569" w:rsidR="00681D4B" w:rsidRDefault="00681D4B">
            <w:pPr>
              <w:spacing w:after="0" w:line="240" w:lineRule="auto"/>
            </w:pPr>
            <w:r>
              <w:t>The definition of ‘rooming house’ in the Residential Tenancies Act is:</w:t>
            </w:r>
          </w:p>
          <w:p w14:paraId="14AACA50" w14:textId="77777777" w:rsidR="00681D4B" w:rsidRDefault="00681D4B">
            <w:pPr>
              <w:spacing w:after="0" w:line="240" w:lineRule="auto"/>
            </w:pPr>
            <w:r>
              <w:t>‘rooming house means a building, other than an SDA enrolled dwelling, in which there is one or more rooms available for occupancy on payment of rent—</w:t>
            </w:r>
          </w:p>
          <w:p w14:paraId="77202771" w14:textId="77777777" w:rsidR="00681D4B" w:rsidRDefault="00681D4B">
            <w:pPr>
              <w:spacing w:after="0" w:line="240" w:lineRule="auto"/>
            </w:pPr>
            <w:r>
              <w:t>(a) in which the total number of people who may occupy those rooms is no less than 4; or</w:t>
            </w:r>
          </w:p>
          <w:p w14:paraId="279605B9" w14:textId="77777777" w:rsidR="00681D4B" w:rsidRDefault="00681D4B">
            <w:pPr>
              <w:spacing w:after="0" w:line="240" w:lineRule="auto"/>
            </w:pPr>
            <w:r>
              <w:t>(b) in respect of which a declaration under section 19(2) or (3) is in force;’</w:t>
            </w:r>
          </w:p>
          <w:p w14:paraId="416664CC" w14:textId="77777777" w:rsidR="00681D4B" w:rsidRDefault="00681D4B">
            <w:pPr>
              <w:spacing w:after="0" w:line="240" w:lineRule="auto"/>
            </w:pPr>
          </w:p>
          <w:p w14:paraId="1035B0BE" w14:textId="77777777" w:rsidR="00681D4B" w:rsidRDefault="00681D4B">
            <w:pPr>
              <w:spacing w:after="0" w:line="240" w:lineRule="auto"/>
            </w:pPr>
            <w:r>
              <w:t>Room is defined to mean:</w:t>
            </w:r>
          </w:p>
          <w:p w14:paraId="76CA1933" w14:textId="77777777" w:rsidR="00681D4B" w:rsidRDefault="00681D4B">
            <w:pPr>
              <w:spacing w:after="0" w:line="240" w:lineRule="auto"/>
            </w:pPr>
            <w:r>
              <w:t>‘room means a room in a building, where the room is occupied or intended to be occupied for the purpose of a residence by a person having a right to occupy the room together with a right to use in common with others any facilities in the building but does not include a self-contained apartment;’</w:t>
            </w:r>
          </w:p>
          <w:p w14:paraId="4235B1DD" w14:textId="77777777" w:rsidR="00681D4B" w:rsidRDefault="00681D4B">
            <w:pPr>
              <w:spacing w:after="0" w:line="240" w:lineRule="auto"/>
            </w:pPr>
          </w:p>
          <w:p w14:paraId="20F53A56" w14:textId="77777777" w:rsidR="00681D4B" w:rsidRDefault="00681D4B">
            <w:pPr>
              <w:spacing w:after="0" w:line="240" w:lineRule="auto"/>
            </w:pPr>
            <w:r>
              <w:t>‘SDA enrolled dwelling’ is defined to mean:</w:t>
            </w:r>
          </w:p>
          <w:p w14:paraId="7ACBC0EB" w14:textId="77777777" w:rsidR="00681D4B" w:rsidRDefault="00681D4B">
            <w:pPr>
              <w:spacing w:after="0" w:line="240" w:lineRule="auto"/>
            </w:pPr>
            <w:r>
              <w:t>‘SDA enrolled dwelling means a permanent dwelling—</w:t>
            </w:r>
          </w:p>
          <w:p w14:paraId="75B4E2BE" w14:textId="77777777" w:rsidR="00681D4B" w:rsidRDefault="00681D4B">
            <w:pPr>
              <w:spacing w:after="0" w:line="240" w:lineRule="auto"/>
            </w:pPr>
            <w:r>
              <w:t>(a) that provides long-term accommodation for one or more SDA residents; and</w:t>
            </w:r>
          </w:p>
          <w:p w14:paraId="376B781A" w14:textId="77777777" w:rsidR="00681D4B" w:rsidRDefault="00681D4B">
            <w:pPr>
              <w:spacing w:after="0" w:line="240" w:lineRule="auto"/>
            </w:pPr>
            <w:r>
              <w:t>(b) that is enrolled as an SDA dwelling under the National Disability Insurance</w:t>
            </w:r>
          </w:p>
          <w:p w14:paraId="30EB58A2" w14:textId="77777777" w:rsidR="00681D4B" w:rsidRDefault="00681D4B">
            <w:pPr>
              <w:spacing w:after="0" w:line="240" w:lineRule="auto"/>
            </w:pPr>
            <w:r>
              <w:t xml:space="preserve">Scheme (Specialist Disability Accommodation) Rules 2016 of the Commonwealth as in force from time to time or </w:t>
            </w:r>
            <w:r>
              <w:lastRenderedPageBreak/>
              <w:t>under other rules made under</w:t>
            </w:r>
          </w:p>
          <w:p w14:paraId="4FB41ADD" w14:textId="77777777" w:rsidR="00681D4B" w:rsidRDefault="00681D4B">
            <w:pPr>
              <w:spacing w:after="0" w:line="240" w:lineRule="auto"/>
            </w:pPr>
            <w:r>
              <w:t>the National Disability Insurance Scheme Act 2013 of the Commonwealth; and</w:t>
            </w:r>
          </w:p>
          <w:p w14:paraId="4B776C39" w14:textId="77777777" w:rsidR="00681D4B" w:rsidRDefault="00681D4B">
            <w:pPr>
              <w:spacing w:after="0" w:line="240" w:lineRule="auto"/>
            </w:pPr>
            <w:r>
              <w:t>(c) that may comprise of—</w:t>
            </w:r>
          </w:p>
          <w:p w14:paraId="3F7F9BAD" w14:textId="77777777" w:rsidR="00681D4B" w:rsidRDefault="00681D4B">
            <w:pPr>
              <w:spacing w:after="0" w:line="240" w:lineRule="auto"/>
            </w:pPr>
            <w:r>
              <w:t>(i) an area or room exclusively occupied by an SDA resident and common areas shared by other SDA residents under an SDA residency agreement; or</w:t>
            </w:r>
          </w:p>
          <w:p w14:paraId="1D8414F1" w14:textId="77777777" w:rsidR="00681D4B" w:rsidRDefault="00681D4B">
            <w:pPr>
              <w:spacing w:after="0" w:line="240" w:lineRule="auto"/>
            </w:pPr>
            <w:r>
              <w:t>(ii) the dwelling as a whole occupied exclusively by an SDA resident under an SDA residency agreement; or</w:t>
            </w:r>
          </w:p>
          <w:p w14:paraId="6F2413E6" w14:textId="77777777" w:rsidR="00681D4B" w:rsidRDefault="00681D4B">
            <w:pPr>
              <w:spacing w:after="0" w:line="240" w:lineRule="auto"/>
            </w:pPr>
            <w:r>
              <w:t xml:space="preserve">(iii) the dwelling as a whole occupied under a tenancy agreement by at least one SDA resident and other occupants who may or may not be SDA residents; </w:t>
            </w:r>
          </w:p>
          <w:p w14:paraId="561C6127" w14:textId="77777777" w:rsidR="00681D4B" w:rsidRDefault="00681D4B">
            <w:pPr>
              <w:spacing w:after="0" w:line="240" w:lineRule="auto"/>
            </w:pPr>
          </w:p>
          <w:p w14:paraId="19C80616" w14:textId="77777777" w:rsidR="00681D4B" w:rsidRDefault="00681D4B">
            <w:pPr>
              <w:spacing w:after="0" w:line="240" w:lineRule="auto"/>
            </w:pPr>
            <w:r>
              <w:t xml:space="preserve">The amendment is proposed to: </w:t>
            </w:r>
          </w:p>
          <w:p w14:paraId="299E4991" w14:textId="77777777" w:rsidR="00681D4B" w:rsidRDefault="00681D4B" w:rsidP="00681D4B">
            <w:pPr>
              <w:pStyle w:val="ListParagraph"/>
              <w:numPr>
                <w:ilvl w:val="0"/>
                <w:numId w:val="116"/>
              </w:numPr>
              <w:spacing w:after="0" w:line="240" w:lineRule="auto"/>
            </w:pPr>
            <w:r>
              <w:t>ensure consistency between the RTA and the Regulations</w:t>
            </w:r>
          </w:p>
          <w:p w14:paraId="287B5AFC" w14:textId="30520481" w:rsidR="00681D4B" w:rsidRDefault="00681D4B" w:rsidP="00F0077F">
            <w:pPr>
              <w:pStyle w:val="ListParagraph"/>
              <w:numPr>
                <w:ilvl w:val="0"/>
                <w:numId w:val="116"/>
              </w:numPr>
              <w:spacing w:after="0" w:line="240" w:lineRule="auto"/>
            </w:pPr>
            <w:r>
              <w:t xml:space="preserve">accommodate a review lead by DJCS into the definition of ‘rooming house’ and avoid the need for further amendment to the definition of ‘rooming house’ in the Regulations to accommodate the outcomes of the DJCS review. </w:t>
            </w:r>
          </w:p>
        </w:tc>
        <w:tc>
          <w:tcPr>
            <w:tcW w:w="2325" w:type="dxa"/>
          </w:tcPr>
          <w:p w14:paraId="1F5E310B" w14:textId="77777777" w:rsidR="00681D4B" w:rsidRPr="00CA6E3B" w:rsidRDefault="00681D4B">
            <w:pPr>
              <w:spacing w:after="0" w:line="240" w:lineRule="auto"/>
              <w:rPr>
                <w:highlight w:val="yellow"/>
              </w:rPr>
            </w:pPr>
          </w:p>
        </w:tc>
      </w:tr>
      <w:tr w:rsidR="005D2483" w14:paraId="06B014FE" w14:textId="77777777" w:rsidTr="005D2483">
        <w:tc>
          <w:tcPr>
            <w:tcW w:w="1433" w:type="dxa"/>
          </w:tcPr>
          <w:p w14:paraId="545CBEBA" w14:textId="77205C9C" w:rsidR="005D2483" w:rsidRPr="00FD3AC1" w:rsidRDefault="005D2483" w:rsidP="005D2483">
            <w:pPr>
              <w:spacing w:after="0" w:line="240" w:lineRule="auto"/>
            </w:pPr>
            <w:r w:rsidRPr="0033550C">
              <w:lastRenderedPageBreak/>
              <w:t>Prescribed accommodation</w:t>
            </w:r>
          </w:p>
        </w:tc>
        <w:tc>
          <w:tcPr>
            <w:tcW w:w="1075" w:type="dxa"/>
          </w:tcPr>
          <w:p w14:paraId="050DD5E4" w14:textId="2F8DC6F5" w:rsidR="005D2483" w:rsidRPr="00FD3AC1" w:rsidRDefault="005D2483" w:rsidP="005D2483">
            <w:pPr>
              <w:spacing w:after="0" w:line="240" w:lineRule="auto"/>
            </w:pPr>
            <w:r w:rsidRPr="0033550C">
              <w:t>6 (previously reg. 13)</w:t>
            </w:r>
          </w:p>
        </w:tc>
        <w:tc>
          <w:tcPr>
            <w:tcW w:w="1914" w:type="dxa"/>
          </w:tcPr>
          <w:p w14:paraId="7ED34A04" w14:textId="6D166943" w:rsidR="005D2483" w:rsidRPr="00FD3AC1" w:rsidRDefault="005D2483" w:rsidP="005D2483">
            <w:pPr>
              <w:spacing w:after="0" w:line="240" w:lineRule="auto"/>
              <w:ind w:right="281"/>
            </w:pPr>
            <w:r w:rsidRPr="0033550C">
              <w:t>No material impact</w:t>
            </w:r>
          </w:p>
        </w:tc>
        <w:tc>
          <w:tcPr>
            <w:tcW w:w="2279" w:type="dxa"/>
          </w:tcPr>
          <w:p w14:paraId="0ACB7285" w14:textId="0FD11B64" w:rsidR="005D2483" w:rsidRPr="00FD3AC1" w:rsidRDefault="005D2483" w:rsidP="005D2483">
            <w:pPr>
              <w:spacing w:after="0" w:line="240" w:lineRule="auto"/>
            </w:pPr>
            <w:r w:rsidRPr="0033550C">
              <w:t xml:space="preserve">The amendment makes it clear that certain accommodation is not included within the definitions of prescribed accommodation. </w:t>
            </w:r>
          </w:p>
        </w:tc>
        <w:tc>
          <w:tcPr>
            <w:tcW w:w="2325" w:type="dxa"/>
          </w:tcPr>
          <w:p w14:paraId="39F4FD8E" w14:textId="77777777" w:rsidR="005D2483" w:rsidRPr="0033550C" w:rsidRDefault="005D2483" w:rsidP="005D2483">
            <w:pPr>
              <w:spacing w:after="0" w:line="240" w:lineRule="auto"/>
            </w:pPr>
          </w:p>
        </w:tc>
      </w:tr>
      <w:tr w:rsidR="00F56177" w14:paraId="204799E9" w14:textId="77777777" w:rsidTr="005D2483">
        <w:tc>
          <w:tcPr>
            <w:tcW w:w="1433" w:type="dxa"/>
            <w:hideMark/>
          </w:tcPr>
          <w:p w14:paraId="661BDDDA" w14:textId="77777777" w:rsidR="00681D4B" w:rsidRDefault="00681D4B">
            <w:pPr>
              <w:spacing w:after="0" w:line="240" w:lineRule="auto"/>
            </w:pPr>
            <w:r>
              <w:t>Reference to ‘self contained apartment’</w:t>
            </w:r>
          </w:p>
        </w:tc>
        <w:tc>
          <w:tcPr>
            <w:tcW w:w="1075" w:type="dxa"/>
            <w:hideMark/>
          </w:tcPr>
          <w:p w14:paraId="2797111A" w14:textId="77777777" w:rsidR="00C41928" w:rsidRDefault="00681D4B">
            <w:pPr>
              <w:spacing w:after="0" w:line="240" w:lineRule="auto"/>
            </w:pPr>
            <w:r>
              <w:t xml:space="preserve">7(b) </w:t>
            </w:r>
          </w:p>
          <w:p w14:paraId="561AE39D" w14:textId="6C3E2825" w:rsidR="00681D4B" w:rsidRDefault="00681D4B">
            <w:pPr>
              <w:spacing w:after="0" w:line="240" w:lineRule="auto"/>
            </w:pPr>
            <w:r>
              <w:t>(previously reg. 14(b))</w:t>
            </w:r>
          </w:p>
        </w:tc>
        <w:tc>
          <w:tcPr>
            <w:tcW w:w="1914" w:type="dxa"/>
            <w:hideMark/>
          </w:tcPr>
          <w:p w14:paraId="609ADBB2" w14:textId="77777777" w:rsidR="00681D4B" w:rsidRDefault="00681D4B" w:rsidP="00CA6E3B">
            <w:pPr>
              <w:spacing w:after="0" w:line="240" w:lineRule="auto"/>
              <w:ind w:right="281"/>
            </w:pPr>
            <w:r>
              <w:t>No material impact</w:t>
            </w:r>
          </w:p>
        </w:tc>
        <w:tc>
          <w:tcPr>
            <w:tcW w:w="2279" w:type="dxa"/>
          </w:tcPr>
          <w:p w14:paraId="2FEB1774" w14:textId="77777777" w:rsidR="00681D4B" w:rsidRDefault="00681D4B">
            <w:pPr>
              <w:spacing w:after="0" w:line="240" w:lineRule="auto"/>
            </w:pPr>
            <w:r>
              <w:t>The refence to (b) a self-contained flat under the exclusive</w:t>
            </w:r>
          </w:p>
          <w:p w14:paraId="68EF842C" w14:textId="77777777" w:rsidR="00681D4B" w:rsidRDefault="00681D4B">
            <w:pPr>
              <w:spacing w:after="0" w:line="240" w:lineRule="auto"/>
            </w:pPr>
            <w:r>
              <w:t>occupation of the occupier consisting of a</w:t>
            </w:r>
          </w:p>
          <w:p w14:paraId="47AE6D51" w14:textId="77777777" w:rsidR="00681D4B" w:rsidRDefault="00681D4B">
            <w:pPr>
              <w:spacing w:after="0" w:line="240" w:lineRule="auto"/>
            </w:pPr>
            <w:r>
              <w:t>suite of rooms that—</w:t>
            </w:r>
          </w:p>
          <w:p w14:paraId="09A49465" w14:textId="77777777" w:rsidR="00681D4B" w:rsidRDefault="00681D4B">
            <w:pPr>
              <w:spacing w:after="0" w:line="240" w:lineRule="auto"/>
            </w:pPr>
            <w:r>
              <w:t>(i) forms a portion or portions of a building; and</w:t>
            </w:r>
          </w:p>
          <w:p w14:paraId="09DDA39D" w14:textId="77777777" w:rsidR="00681D4B" w:rsidRDefault="00681D4B">
            <w:pPr>
              <w:spacing w:after="0" w:line="240" w:lineRule="auto"/>
            </w:pPr>
            <w:r>
              <w:lastRenderedPageBreak/>
              <w:t>(ii) includes kitchen, bathroom and toilet facilities; and</w:t>
            </w:r>
          </w:p>
          <w:p w14:paraId="536175DC" w14:textId="0D8A7A96" w:rsidR="00681D4B" w:rsidRDefault="00681D4B">
            <w:pPr>
              <w:spacing w:after="0" w:line="240" w:lineRule="auto"/>
            </w:pPr>
            <w:r>
              <w:t xml:space="preserve">(iii) forms a self-contained residence; </w:t>
            </w:r>
            <w:r w:rsidR="008C03EA">
              <w:t>is</w:t>
            </w:r>
            <w:r>
              <w:t xml:space="preserve"> proposed to be replaced with ‘a self contained apartment’ to modernise the terminology</w:t>
            </w:r>
            <w:r w:rsidR="00484DE4">
              <w:t>.</w:t>
            </w:r>
            <w:r>
              <w:t xml:space="preserve"> </w:t>
            </w:r>
          </w:p>
          <w:p w14:paraId="5CF34FFD" w14:textId="77777777" w:rsidR="00681D4B" w:rsidRDefault="00681D4B">
            <w:pPr>
              <w:spacing w:after="0" w:line="240" w:lineRule="auto"/>
            </w:pPr>
          </w:p>
          <w:p w14:paraId="7D50794B" w14:textId="3470A92B" w:rsidR="00681D4B" w:rsidRDefault="00681D4B">
            <w:pPr>
              <w:spacing w:after="0" w:line="240" w:lineRule="auto"/>
            </w:pPr>
          </w:p>
        </w:tc>
        <w:tc>
          <w:tcPr>
            <w:tcW w:w="2325" w:type="dxa"/>
          </w:tcPr>
          <w:p w14:paraId="134A3107" w14:textId="77777777" w:rsidR="00681D4B" w:rsidRPr="00CA6E3B" w:rsidRDefault="00681D4B">
            <w:pPr>
              <w:spacing w:after="0" w:line="240" w:lineRule="auto"/>
              <w:rPr>
                <w:highlight w:val="yellow"/>
              </w:rPr>
            </w:pPr>
          </w:p>
        </w:tc>
      </w:tr>
      <w:tr w:rsidR="005D2483" w14:paraId="76CE2751" w14:textId="77777777" w:rsidTr="005D2483">
        <w:tc>
          <w:tcPr>
            <w:tcW w:w="1433" w:type="dxa"/>
          </w:tcPr>
          <w:p w14:paraId="082A84FB" w14:textId="3E14BE01" w:rsidR="005D2483" w:rsidRDefault="005D2483" w:rsidP="005D2483">
            <w:pPr>
              <w:spacing w:after="0" w:line="240" w:lineRule="auto"/>
            </w:pPr>
            <w:r>
              <w:t>Definition of ‘temporary crisis accommodation’</w:t>
            </w:r>
          </w:p>
        </w:tc>
        <w:tc>
          <w:tcPr>
            <w:tcW w:w="1075" w:type="dxa"/>
          </w:tcPr>
          <w:p w14:paraId="623C4DB9" w14:textId="3CCA0B86" w:rsidR="005D2483" w:rsidRDefault="005D2483" w:rsidP="005D2483">
            <w:pPr>
              <w:spacing w:after="0" w:line="240" w:lineRule="auto"/>
            </w:pPr>
            <w:r>
              <w:t>5 (previously reg. 4)</w:t>
            </w:r>
          </w:p>
        </w:tc>
        <w:tc>
          <w:tcPr>
            <w:tcW w:w="1914" w:type="dxa"/>
          </w:tcPr>
          <w:p w14:paraId="3E7EA96B" w14:textId="2E28E162" w:rsidR="005D2483" w:rsidRDefault="005D2483" w:rsidP="005D2483">
            <w:pPr>
              <w:spacing w:after="0" w:line="240" w:lineRule="auto"/>
              <w:ind w:right="281"/>
            </w:pPr>
            <w:r>
              <w:t>No material impact</w:t>
            </w:r>
          </w:p>
        </w:tc>
        <w:tc>
          <w:tcPr>
            <w:tcW w:w="2279" w:type="dxa"/>
          </w:tcPr>
          <w:p w14:paraId="1C364757" w14:textId="49A0ED43" w:rsidR="005D2483" w:rsidRDefault="005D2483" w:rsidP="005D2483">
            <w:pPr>
              <w:spacing w:after="0" w:line="240" w:lineRule="auto"/>
            </w:pPr>
            <w:r>
              <w:t>The amendment modernises the term ‘the Government of Victoria’ and chang</w:t>
            </w:r>
            <w:r w:rsidR="004D25B8">
              <w:t>es</w:t>
            </w:r>
            <w:r>
              <w:t xml:space="preserve"> it to ‘the State’ </w:t>
            </w:r>
          </w:p>
        </w:tc>
        <w:tc>
          <w:tcPr>
            <w:tcW w:w="2325" w:type="dxa"/>
          </w:tcPr>
          <w:p w14:paraId="695B836F" w14:textId="77777777" w:rsidR="005D2483" w:rsidRPr="00CA6E3B" w:rsidRDefault="005D2483" w:rsidP="005D2483">
            <w:pPr>
              <w:spacing w:after="0" w:line="240" w:lineRule="auto"/>
              <w:rPr>
                <w:highlight w:val="yellow"/>
              </w:rPr>
            </w:pPr>
          </w:p>
        </w:tc>
      </w:tr>
      <w:tr w:rsidR="00F56177" w14:paraId="7AF7FB45" w14:textId="77777777" w:rsidTr="005D2483">
        <w:tc>
          <w:tcPr>
            <w:tcW w:w="1433" w:type="dxa"/>
          </w:tcPr>
          <w:p w14:paraId="75E8343E" w14:textId="77777777" w:rsidR="00681D4B" w:rsidRDefault="00681D4B">
            <w:pPr>
              <w:spacing w:after="0" w:line="240" w:lineRule="auto"/>
            </w:pPr>
            <w:r>
              <w:t>Excluding SDA enrolled dwellings from prescribed accommodation</w:t>
            </w:r>
          </w:p>
          <w:p w14:paraId="68291BFE" w14:textId="77777777" w:rsidR="00681D4B" w:rsidRDefault="00681D4B">
            <w:pPr>
              <w:spacing w:after="0" w:line="240" w:lineRule="auto"/>
            </w:pPr>
          </w:p>
        </w:tc>
        <w:tc>
          <w:tcPr>
            <w:tcW w:w="1075" w:type="dxa"/>
            <w:hideMark/>
          </w:tcPr>
          <w:p w14:paraId="0C23C7A7" w14:textId="77777777" w:rsidR="00681D4B" w:rsidRDefault="00681D4B">
            <w:pPr>
              <w:spacing w:after="0" w:line="240" w:lineRule="auto"/>
            </w:pPr>
            <w:r>
              <w:t>7</w:t>
            </w:r>
          </w:p>
          <w:p w14:paraId="34273271" w14:textId="77777777" w:rsidR="00C41928" w:rsidRDefault="00681D4B">
            <w:pPr>
              <w:spacing w:after="0" w:line="240" w:lineRule="auto"/>
            </w:pPr>
            <w:r>
              <w:t xml:space="preserve">(previously </w:t>
            </w:r>
          </w:p>
          <w:p w14:paraId="53AF061E" w14:textId="5EC6DB5C" w:rsidR="00681D4B" w:rsidRDefault="00681D4B">
            <w:pPr>
              <w:spacing w:after="0" w:line="240" w:lineRule="auto"/>
            </w:pPr>
            <w:r>
              <w:t>re</w:t>
            </w:r>
            <w:r w:rsidR="00C41928">
              <w:t>g</w:t>
            </w:r>
            <w:r>
              <w:t>. 14)</w:t>
            </w:r>
          </w:p>
        </w:tc>
        <w:tc>
          <w:tcPr>
            <w:tcW w:w="1914" w:type="dxa"/>
          </w:tcPr>
          <w:p w14:paraId="7C8A8C6E" w14:textId="77777777" w:rsidR="00681D4B" w:rsidRDefault="00681D4B" w:rsidP="00CA6E3B">
            <w:pPr>
              <w:spacing w:after="0" w:line="240" w:lineRule="auto"/>
              <w:ind w:right="281"/>
            </w:pPr>
            <w:r>
              <w:t>No material impact.</w:t>
            </w:r>
          </w:p>
          <w:p w14:paraId="6A3A4880" w14:textId="77777777" w:rsidR="00681D4B" w:rsidRDefault="00681D4B" w:rsidP="00CA6E3B">
            <w:pPr>
              <w:spacing w:after="0" w:line="240" w:lineRule="auto"/>
              <w:ind w:right="281"/>
            </w:pPr>
          </w:p>
          <w:p w14:paraId="58FC501B" w14:textId="1819127F" w:rsidR="00681D4B" w:rsidRDefault="00681D4B" w:rsidP="00CA6E3B">
            <w:pPr>
              <w:spacing w:after="0" w:line="240" w:lineRule="auto"/>
              <w:ind w:right="281"/>
            </w:pPr>
            <w:r>
              <w:t>The rooming house minimum standards under the RTA do not apply to SDA enrolled accommodation as that accommodation is subject to a separate registration, quality and safeguards framework to be enrolled under the Commonwealth NDIS legislation. Continuing to regulate this accommodation under the Regulations subjects them to dual regulation.</w:t>
            </w:r>
          </w:p>
        </w:tc>
        <w:tc>
          <w:tcPr>
            <w:tcW w:w="2279" w:type="dxa"/>
            <w:hideMark/>
          </w:tcPr>
          <w:p w14:paraId="629A1471" w14:textId="77777777" w:rsidR="00681D4B" w:rsidRDefault="00681D4B">
            <w:pPr>
              <w:spacing w:after="0" w:line="240" w:lineRule="auto"/>
            </w:pPr>
            <w:r>
              <w:t xml:space="preserve">Consistently with the proposed amendment to the definition of ‘rooming house’ which would exclude SDA enrolled dwellings from the definition of ‘rooming house’, it is proposed to exclude SDA enrolled dwellings from all other forms of prescribed accommodation. </w:t>
            </w:r>
          </w:p>
        </w:tc>
        <w:tc>
          <w:tcPr>
            <w:tcW w:w="2325" w:type="dxa"/>
          </w:tcPr>
          <w:p w14:paraId="4C0F1DD3" w14:textId="77777777" w:rsidR="00681D4B" w:rsidRPr="00CA6E3B" w:rsidRDefault="00681D4B">
            <w:pPr>
              <w:spacing w:after="0" w:line="240" w:lineRule="auto"/>
              <w:rPr>
                <w:highlight w:val="yellow"/>
              </w:rPr>
            </w:pPr>
          </w:p>
        </w:tc>
      </w:tr>
      <w:tr w:rsidR="005D2483" w14:paraId="5F7CF577" w14:textId="77777777" w:rsidTr="005D2483">
        <w:trPr>
          <w:trHeight w:val="914"/>
        </w:trPr>
        <w:tc>
          <w:tcPr>
            <w:tcW w:w="1433" w:type="dxa"/>
          </w:tcPr>
          <w:p w14:paraId="231835F1" w14:textId="0CF3A6EF" w:rsidR="005D2483" w:rsidRPr="00FD3AC1" w:rsidRDefault="005D2483" w:rsidP="005D2483">
            <w:pPr>
              <w:spacing w:after="0" w:line="240" w:lineRule="auto"/>
            </w:pPr>
            <w:r w:rsidRPr="0033550C">
              <w:t>Accommodation that is not prescribed accommodation.</w:t>
            </w:r>
          </w:p>
        </w:tc>
        <w:tc>
          <w:tcPr>
            <w:tcW w:w="1075" w:type="dxa"/>
          </w:tcPr>
          <w:p w14:paraId="72DA279A" w14:textId="7A57E135" w:rsidR="005D2483" w:rsidRPr="00FD3AC1" w:rsidRDefault="005D2483" w:rsidP="005D2483">
            <w:pPr>
              <w:spacing w:after="0" w:line="240" w:lineRule="auto"/>
            </w:pPr>
            <w:r w:rsidRPr="0033550C">
              <w:t>7 (previously reg. 14)</w:t>
            </w:r>
          </w:p>
        </w:tc>
        <w:tc>
          <w:tcPr>
            <w:tcW w:w="1914" w:type="dxa"/>
          </w:tcPr>
          <w:p w14:paraId="362E42F8" w14:textId="1867ABE9" w:rsidR="005D2483" w:rsidRPr="00FD3AC1" w:rsidRDefault="005D2483" w:rsidP="005D2483">
            <w:pPr>
              <w:spacing w:after="0" w:line="240" w:lineRule="auto"/>
              <w:ind w:right="281"/>
            </w:pPr>
            <w:r w:rsidRPr="0033550C">
              <w:t>No material impact</w:t>
            </w:r>
          </w:p>
        </w:tc>
        <w:tc>
          <w:tcPr>
            <w:tcW w:w="2279" w:type="dxa"/>
          </w:tcPr>
          <w:p w14:paraId="27CC0008" w14:textId="5C3AD4A5" w:rsidR="005D2483" w:rsidRPr="00FD3AC1" w:rsidRDefault="005D2483" w:rsidP="005D2483">
            <w:pPr>
              <w:spacing w:after="0" w:line="240" w:lineRule="auto"/>
            </w:pPr>
            <w:r w:rsidRPr="0033550C">
              <w:t>The amendment makes it clear that certain accommodation is not included within the definitions of prescribed accommodation.</w:t>
            </w:r>
          </w:p>
        </w:tc>
        <w:tc>
          <w:tcPr>
            <w:tcW w:w="2325" w:type="dxa"/>
          </w:tcPr>
          <w:p w14:paraId="582A07E0" w14:textId="77777777" w:rsidR="005D2483" w:rsidRPr="006B3D9A" w:rsidRDefault="005D2483" w:rsidP="005D2483">
            <w:pPr>
              <w:spacing w:after="0" w:line="240" w:lineRule="auto"/>
            </w:pPr>
          </w:p>
        </w:tc>
      </w:tr>
      <w:tr w:rsidR="00F56177" w14:paraId="610A43C0" w14:textId="77777777" w:rsidTr="005D2483">
        <w:trPr>
          <w:trHeight w:val="914"/>
        </w:trPr>
        <w:tc>
          <w:tcPr>
            <w:tcW w:w="1433" w:type="dxa"/>
          </w:tcPr>
          <w:p w14:paraId="166F7B2F" w14:textId="77777777" w:rsidR="00681D4B" w:rsidRDefault="00681D4B">
            <w:pPr>
              <w:spacing w:after="0" w:line="240" w:lineRule="auto"/>
            </w:pPr>
            <w:r>
              <w:t>Application to register prescribed accommodation</w:t>
            </w:r>
          </w:p>
          <w:p w14:paraId="0F4E921B" w14:textId="77777777" w:rsidR="00681D4B" w:rsidRDefault="00681D4B">
            <w:pPr>
              <w:spacing w:after="0" w:line="240" w:lineRule="auto"/>
            </w:pPr>
          </w:p>
        </w:tc>
        <w:tc>
          <w:tcPr>
            <w:tcW w:w="1075" w:type="dxa"/>
            <w:hideMark/>
          </w:tcPr>
          <w:p w14:paraId="5447CED4" w14:textId="0DDA4F1D" w:rsidR="00681D4B" w:rsidRDefault="00681D4B">
            <w:pPr>
              <w:spacing w:after="0" w:line="240" w:lineRule="auto"/>
            </w:pPr>
            <w:r>
              <w:t>8 (previously reg. 16(a))</w:t>
            </w:r>
          </w:p>
        </w:tc>
        <w:tc>
          <w:tcPr>
            <w:tcW w:w="1914" w:type="dxa"/>
            <w:hideMark/>
          </w:tcPr>
          <w:p w14:paraId="61D67D9F" w14:textId="77777777" w:rsidR="00681D4B" w:rsidRDefault="00681D4B" w:rsidP="00CA6E3B">
            <w:pPr>
              <w:spacing w:after="0" w:line="240" w:lineRule="auto"/>
              <w:ind w:right="281"/>
            </w:pPr>
            <w:r>
              <w:t>No material impact</w:t>
            </w:r>
          </w:p>
        </w:tc>
        <w:tc>
          <w:tcPr>
            <w:tcW w:w="2279" w:type="dxa"/>
            <w:hideMark/>
          </w:tcPr>
          <w:p w14:paraId="7C9E1819" w14:textId="77777777" w:rsidR="00681D4B" w:rsidRDefault="00681D4B">
            <w:pPr>
              <w:spacing w:after="0" w:line="240" w:lineRule="auto"/>
            </w:pPr>
            <w:r>
              <w:t xml:space="preserve">The requirements to apply to register prescribed accommodation are proposed to be included in a stand alone section. </w:t>
            </w:r>
          </w:p>
        </w:tc>
        <w:tc>
          <w:tcPr>
            <w:tcW w:w="2325" w:type="dxa"/>
            <w:hideMark/>
          </w:tcPr>
          <w:p w14:paraId="580F6108" w14:textId="77777777" w:rsidR="00681D4B" w:rsidRPr="00CA6E3B" w:rsidRDefault="00681D4B">
            <w:pPr>
              <w:spacing w:after="0" w:line="240" w:lineRule="auto"/>
              <w:rPr>
                <w:highlight w:val="yellow"/>
              </w:rPr>
            </w:pPr>
            <w:r w:rsidRPr="006B3D9A">
              <w:t>Why is the date of registration included in an application for registration?</w:t>
            </w:r>
          </w:p>
        </w:tc>
      </w:tr>
      <w:tr w:rsidR="00F56177" w:rsidRPr="00143E2D" w14:paraId="78513880" w14:textId="77777777" w:rsidTr="005D2483">
        <w:tc>
          <w:tcPr>
            <w:tcW w:w="1433" w:type="dxa"/>
          </w:tcPr>
          <w:p w14:paraId="61D60067" w14:textId="77777777" w:rsidR="00681D4B" w:rsidRPr="00143E2D" w:rsidRDefault="00681D4B">
            <w:pPr>
              <w:spacing w:after="0" w:line="240" w:lineRule="auto"/>
            </w:pPr>
            <w:r w:rsidRPr="00143E2D">
              <w:t>Application for renewal of registration of prescribed accommodation</w:t>
            </w:r>
          </w:p>
          <w:p w14:paraId="69DA5F95" w14:textId="77777777" w:rsidR="00681D4B" w:rsidRPr="00143E2D" w:rsidRDefault="00681D4B">
            <w:pPr>
              <w:spacing w:after="0" w:line="240" w:lineRule="auto"/>
            </w:pPr>
          </w:p>
          <w:p w14:paraId="7991D41B" w14:textId="77777777" w:rsidR="00681D4B" w:rsidRPr="00143E2D" w:rsidRDefault="00681D4B">
            <w:pPr>
              <w:spacing w:after="0" w:line="240" w:lineRule="auto"/>
            </w:pPr>
          </w:p>
        </w:tc>
        <w:tc>
          <w:tcPr>
            <w:tcW w:w="1075" w:type="dxa"/>
            <w:hideMark/>
          </w:tcPr>
          <w:p w14:paraId="6A830F1C" w14:textId="77777777" w:rsidR="00681D4B" w:rsidRPr="00143E2D" w:rsidRDefault="00681D4B">
            <w:pPr>
              <w:spacing w:after="0" w:line="240" w:lineRule="auto"/>
            </w:pPr>
            <w:r w:rsidRPr="00143E2D">
              <w:t>9.</w:t>
            </w:r>
          </w:p>
          <w:p w14:paraId="19B22CFA" w14:textId="77777777" w:rsidR="00C41928" w:rsidRPr="00143E2D" w:rsidRDefault="00681D4B">
            <w:pPr>
              <w:spacing w:after="0" w:line="240" w:lineRule="auto"/>
            </w:pPr>
            <w:r w:rsidRPr="00143E2D">
              <w:t xml:space="preserve">(previously </w:t>
            </w:r>
          </w:p>
          <w:p w14:paraId="40E79664" w14:textId="7423BA62" w:rsidR="00681D4B" w:rsidRPr="00143E2D" w:rsidRDefault="00681D4B">
            <w:pPr>
              <w:spacing w:after="0" w:line="240" w:lineRule="auto"/>
            </w:pPr>
            <w:r w:rsidRPr="00143E2D">
              <w:t>reg. 16(b))</w:t>
            </w:r>
          </w:p>
        </w:tc>
        <w:tc>
          <w:tcPr>
            <w:tcW w:w="1914" w:type="dxa"/>
            <w:hideMark/>
          </w:tcPr>
          <w:p w14:paraId="0F813F6A" w14:textId="77777777" w:rsidR="00681D4B" w:rsidRPr="00143E2D" w:rsidRDefault="00681D4B" w:rsidP="00CA6E3B">
            <w:pPr>
              <w:spacing w:after="0" w:line="240" w:lineRule="auto"/>
              <w:ind w:right="281"/>
            </w:pPr>
            <w:r w:rsidRPr="00143E2D">
              <w:t>No material impact</w:t>
            </w:r>
          </w:p>
        </w:tc>
        <w:tc>
          <w:tcPr>
            <w:tcW w:w="2279" w:type="dxa"/>
            <w:hideMark/>
          </w:tcPr>
          <w:p w14:paraId="6C6A8B1D" w14:textId="77777777" w:rsidR="00681D4B" w:rsidRPr="00143E2D" w:rsidRDefault="00681D4B">
            <w:pPr>
              <w:spacing w:after="0" w:line="240" w:lineRule="auto"/>
            </w:pPr>
            <w:r w:rsidRPr="00143E2D">
              <w:t>The requirement to apply for a renewal of registration of prescribed accommodation is proposed to be included in a stand alone section.</w:t>
            </w:r>
          </w:p>
          <w:p w14:paraId="4E67CDEC" w14:textId="77777777" w:rsidR="00681D4B" w:rsidRPr="00143E2D" w:rsidRDefault="00681D4B">
            <w:pPr>
              <w:spacing w:after="0" w:line="240" w:lineRule="auto"/>
            </w:pPr>
            <w:r w:rsidRPr="00143E2D">
              <w:t xml:space="preserve">The following additional matters have been </w:t>
            </w:r>
            <w:r w:rsidRPr="00143E2D">
              <w:lastRenderedPageBreak/>
              <w:t xml:space="preserve">included as required in an application: </w:t>
            </w:r>
          </w:p>
          <w:p w14:paraId="7F53B045" w14:textId="77777777" w:rsidR="00681D4B" w:rsidRPr="00143E2D" w:rsidRDefault="00681D4B">
            <w:pPr>
              <w:spacing w:after="0" w:line="240" w:lineRule="auto"/>
            </w:pPr>
            <w:r w:rsidRPr="00143E2D">
              <w:t>(a)</w:t>
            </w:r>
            <w:r w:rsidRPr="00143E2D">
              <w:tab/>
              <w:t>the date of the application for registration;</w:t>
            </w:r>
          </w:p>
          <w:p w14:paraId="489E4997" w14:textId="77777777" w:rsidR="00681D4B" w:rsidRPr="00143E2D" w:rsidRDefault="00681D4B">
            <w:pPr>
              <w:spacing w:after="0" w:line="240" w:lineRule="auto"/>
            </w:pPr>
            <w:r w:rsidRPr="00143E2D">
              <w:t>(b)</w:t>
            </w:r>
            <w:r w:rsidRPr="00143E2D">
              <w:tab/>
              <w:t>the name and address of the proprietor;</w:t>
            </w:r>
          </w:p>
          <w:p w14:paraId="7B7A0FE0" w14:textId="77777777" w:rsidR="00681D4B" w:rsidRPr="00143E2D" w:rsidRDefault="00681D4B">
            <w:pPr>
              <w:spacing w:after="0" w:line="240" w:lineRule="auto"/>
            </w:pPr>
            <w:r w:rsidRPr="00143E2D">
              <w:t>(c)</w:t>
            </w:r>
            <w:r w:rsidRPr="00143E2D">
              <w:tab/>
              <w:t>the address of the premises;</w:t>
            </w:r>
          </w:p>
        </w:tc>
        <w:tc>
          <w:tcPr>
            <w:tcW w:w="2325" w:type="dxa"/>
          </w:tcPr>
          <w:p w14:paraId="17D928FB" w14:textId="77777777" w:rsidR="0060309A" w:rsidRPr="00143E2D" w:rsidRDefault="0060309A" w:rsidP="0060309A">
            <w:pPr>
              <w:spacing w:after="0" w:line="240" w:lineRule="auto"/>
            </w:pPr>
            <w:r w:rsidRPr="00143E2D">
              <w:lastRenderedPageBreak/>
              <w:t>Is it useful to local government to include the conditions?</w:t>
            </w:r>
          </w:p>
          <w:p w14:paraId="259C122B" w14:textId="77777777" w:rsidR="00681D4B" w:rsidRPr="00143E2D" w:rsidRDefault="00681D4B">
            <w:pPr>
              <w:spacing w:after="0" w:line="240" w:lineRule="auto"/>
            </w:pPr>
          </w:p>
          <w:p w14:paraId="6F71B59D" w14:textId="77777777" w:rsidR="00681D4B" w:rsidRPr="00143E2D" w:rsidRDefault="00681D4B">
            <w:pPr>
              <w:spacing w:after="0" w:line="240" w:lineRule="auto"/>
            </w:pPr>
            <w:r w:rsidRPr="00143E2D">
              <w:t xml:space="preserve">Are the additional matters required with respect to an application to renew registration? </w:t>
            </w:r>
          </w:p>
        </w:tc>
      </w:tr>
      <w:tr w:rsidR="00F56177" w:rsidRPr="00E70A23" w14:paraId="2F7A8368" w14:textId="77777777" w:rsidTr="005D2483">
        <w:tc>
          <w:tcPr>
            <w:tcW w:w="1433" w:type="dxa"/>
          </w:tcPr>
          <w:p w14:paraId="5EF17910" w14:textId="77777777" w:rsidR="00681D4B" w:rsidRPr="00143E2D" w:rsidRDefault="00681D4B">
            <w:pPr>
              <w:spacing w:after="0" w:line="240" w:lineRule="auto"/>
            </w:pPr>
            <w:r w:rsidRPr="00143E2D">
              <w:t>Application for transfer of registration of prescribed accommodation</w:t>
            </w:r>
          </w:p>
          <w:p w14:paraId="70BE50AC" w14:textId="77777777" w:rsidR="00681D4B" w:rsidRPr="00143E2D" w:rsidRDefault="00681D4B">
            <w:pPr>
              <w:spacing w:after="0" w:line="240" w:lineRule="auto"/>
            </w:pPr>
          </w:p>
          <w:p w14:paraId="5029CBF9" w14:textId="77777777" w:rsidR="00681D4B" w:rsidRPr="00143E2D" w:rsidRDefault="00681D4B">
            <w:pPr>
              <w:spacing w:after="0" w:line="240" w:lineRule="auto"/>
            </w:pPr>
          </w:p>
        </w:tc>
        <w:tc>
          <w:tcPr>
            <w:tcW w:w="1075" w:type="dxa"/>
            <w:hideMark/>
          </w:tcPr>
          <w:p w14:paraId="6E82E21A" w14:textId="63743189" w:rsidR="00681D4B" w:rsidRPr="00143E2D" w:rsidRDefault="00681D4B">
            <w:pPr>
              <w:spacing w:after="0" w:line="240" w:lineRule="auto"/>
            </w:pPr>
            <w:r w:rsidRPr="00143E2D">
              <w:t>10 (previously reg. 16(c))</w:t>
            </w:r>
          </w:p>
        </w:tc>
        <w:tc>
          <w:tcPr>
            <w:tcW w:w="1914" w:type="dxa"/>
            <w:hideMark/>
          </w:tcPr>
          <w:p w14:paraId="2E28E6B3" w14:textId="77777777" w:rsidR="00681D4B" w:rsidRPr="00143E2D" w:rsidRDefault="00681D4B" w:rsidP="00CA6E3B">
            <w:pPr>
              <w:spacing w:after="0" w:line="240" w:lineRule="auto"/>
              <w:ind w:right="281"/>
            </w:pPr>
            <w:r w:rsidRPr="00143E2D">
              <w:t>No material impact</w:t>
            </w:r>
          </w:p>
        </w:tc>
        <w:tc>
          <w:tcPr>
            <w:tcW w:w="2279" w:type="dxa"/>
          </w:tcPr>
          <w:p w14:paraId="72272030" w14:textId="77777777" w:rsidR="00681D4B" w:rsidRPr="00143E2D" w:rsidRDefault="00681D4B">
            <w:pPr>
              <w:spacing w:after="0" w:line="240" w:lineRule="auto"/>
            </w:pPr>
            <w:r w:rsidRPr="00143E2D">
              <w:t>The requirement to apply for a transfer of registration of prescribed accommodation are proposed to be included as a stand alone provision.</w:t>
            </w:r>
          </w:p>
          <w:p w14:paraId="620AD65C" w14:textId="77777777" w:rsidR="00681D4B" w:rsidRPr="00143E2D" w:rsidRDefault="00681D4B">
            <w:pPr>
              <w:spacing w:after="0" w:line="240" w:lineRule="auto"/>
            </w:pPr>
            <w:r w:rsidRPr="00143E2D">
              <w:t>Regulation 16(c)has been changed from ‘(i) the date of transfer of registration’ to:</w:t>
            </w:r>
          </w:p>
          <w:p w14:paraId="54CE6A40" w14:textId="77777777" w:rsidR="00681D4B" w:rsidRPr="00143E2D" w:rsidRDefault="00681D4B">
            <w:pPr>
              <w:spacing w:after="0" w:line="240" w:lineRule="auto"/>
            </w:pPr>
            <w:r w:rsidRPr="00143E2D">
              <w:t xml:space="preserve">‘(a)      the date of the application for transfer of registration’ to reflect that transfer is dependent on approval of the application. </w:t>
            </w:r>
          </w:p>
          <w:p w14:paraId="0DCF097F" w14:textId="77777777" w:rsidR="00681D4B" w:rsidRPr="00143E2D" w:rsidRDefault="00681D4B">
            <w:pPr>
              <w:spacing w:after="0" w:line="240" w:lineRule="auto"/>
            </w:pPr>
          </w:p>
          <w:p w14:paraId="5AAC045C" w14:textId="77777777" w:rsidR="00681D4B" w:rsidRPr="00143E2D" w:rsidRDefault="00681D4B">
            <w:pPr>
              <w:spacing w:after="0" w:line="240" w:lineRule="auto"/>
            </w:pPr>
            <w:r w:rsidRPr="00143E2D">
              <w:t>The following additional matters have been included as required in an application:</w:t>
            </w:r>
          </w:p>
          <w:p w14:paraId="1430123E" w14:textId="77777777" w:rsidR="00681D4B" w:rsidRPr="00143E2D" w:rsidRDefault="00681D4B">
            <w:pPr>
              <w:spacing w:after="0" w:line="240" w:lineRule="auto"/>
            </w:pPr>
            <w:r w:rsidRPr="00143E2D">
              <w:t>(b)</w:t>
            </w:r>
            <w:r w:rsidRPr="00143E2D">
              <w:tab/>
              <w:t>the name and address of the proprietor;</w:t>
            </w:r>
          </w:p>
          <w:p w14:paraId="13389FAE" w14:textId="77777777" w:rsidR="00681D4B" w:rsidRPr="00143E2D" w:rsidRDefault="00681D4B">
            <w:pPr>
              <w:spacing w:after="0" w:line="240" w:lineRule="auto"/>
            </w:pPr>
            <w:r w:rsidRPr="00143E2D">
              <w:t>(c)</w:t>
            </w:r>
            <w:r w:rsidRPr="00143E2D">
              <w:tab/>
              <w:t>the address of the premises;</w:t>
            </w:r>
          </w:p>
          <w:p w14:paraId="7E5290CD" w14:textId="77777777" w:rsidR="00681D4B" w:rsidRPr="00143E2D" w:rsidRDefault="00681D4B">
            <w:pPr>
              <w:spacing w:after="0" w:line="240" w:lineRule="auto"/>
            </w:pPr>
            <w:r w:rsidRPr="00143E2D">
              <w:t>(d)</w:t>
            </w:r>
            <w:r w:rsidRPr="00143E2D">
              <w:tab/>
              <w:t>the date of proposed transfer of registration;</w:t>
            </w:r>
          </w:p>
        </w:tc>
        <w:tc>
          <w:tcPr>
            <w:tcW w:w="2325" w:type="dxa"/>
          </w:tcPr>
          <w:p w14:paraId="408A0A53" w14:textId="77777777" w:rsidR="00681D4B" w:rsidRPr="00E70A23" w:rsidRDefault="00681D4B">
            <w:pPr>
              <w:spacing w:after="0" w:line="240" w:lineRule="auto"/>
            </w:pPr>
          </w:p>
          <w:p w14:paraId="3A1AC168" w14:textId="77777777" w:rsidR="00681D4B" w:rsidRPr="00E70A23" w:rsidRDefault="00681D4B">
            <w:pPr>
              <w:spacing w:after="0" w:line="240" w:lineRule="auto"/>
            </w:pPr>
            <w:r w:rsidRPr="00E70A23">
              <w:t>Are the additional matters required with respect to an application to transfer registration?</w:t>
            </w:r>
          </w:p>
        </w:tc>
      </w:tr>
      <w:tr w:rsidR="00F56177" w:rsidRPr="00E70A23" w14:paraId="206DB308" w14:textId="77777777" w:rsidTr="005D2483">
        <w:trPr>
          <w:trHeight w:val="1493"/>
        </w:trPr>
        <w:tc>
          <w:tcPr>
            <w:tcW w:w="1433" w:type="dxa"/>
          </w:tcPr>
          <w:p w14:paraId="46D0A9C4" w14:textId="135DF648" w:rsidR="00681D4B" w:rsidRPr="00E70A23" w:rsidRDefault="00681D4B">
            <w:pPr>
              <w:spacing w:after="0" w:line="240" w:lineRule="auto"/>
            </w:pPr>
            <w:r w:rsidRPr="00E70A23">
              <w:t>Exemption from requirements relating to size of bedroom based on cultural heritage significance</w:t>
            </w:r>
          </w:p>
        </w:tc>
        <w:tc>
          <w:tcPr>
            <w:tcW w:w="1075" w:type="dxa"/>
            <w:hideMark/>
          </w:tcPr>
          <w:p w14:paraId="4E0D9B1F" w14:textId="77777777" w:rsidR="00681D4B" w:rsidRPr="00E70A23" w:rsidRDefault="00681D4B">
            <w:pPr>
              <w:spacing w:after="0" w:line="240" w:lineRule="auto"/>
            </w:pPr>
            <w:r w:rsidRPr="00E70A23">
              <w:t>12(2)(b) (previously reg. 17A(2)(b)</w:t>
            </w:r>
          </w:p>
        </w:tc>
        <w:tc>
          <w:tcPr>
            <w:tcW w:w="1914" w:type="dxa"/>
            <w:hideMark/>
          </w:tcPr>
          <w:p w14:paraId="7B04C2B5" w14:textId="77777777" w:rsidR="00681D4B" w:rsidRPr="00E70A23" w:rsidRDefault="00681D4B" w:rsidP="00CA6E3B">
            <w:pPr>
              <w:spacing w:after="0" w:line="240" w:lineRule="auto"/>
              <w:ind w:right="281"/>
            </w:pPr>
            <w:r w:rsidRPr="00E70A23">
              <w:t>No material impact</w:t>
            </w:r>
          </w:p>
        </w:tc>
        <w:tc>
          <w:tcPr>
            <w:tcW w:w="2279" w:type="dxa"/>
            <w:hideMark/>
          </w:tcPr>
          <w:p w14:paraId="00AEA0C7" w14:textId="14E74AC9" w:rsidR="00681D4B" w:rsidRPr="00E70A23" w:rsidRDefault="00681D4B">
            <w:pPr>
              <w:spacing w:after="0" w:line="240" w:lineRule="auto"/>
            </w:pPr>
            <w:r w:rsidRPr="00E70A23">
              <w:t>The reference is proposed to be updated from the Heritage Act 1995 to the Heritage Act 2017</w:t>
            </w:r>
            <w:r w:rsidR="00786177" w:rsidRPr="00E70A23">
              <w:t>, and other minor updates such as the name of the relevant department.</w:t>
            </w:r>
          </w:p>
        </w:tc>
        <w:tc>
          <w:tcPr>
            <w:tcW w:w="2325" w:type="dxa"/>
          </w:tcPr>
          <w:p w14:paraId="465AB20F" w14:textId="77777777" w:rsidR="00681D4B" w:rsidRPr="00E70A23" w:rsidRDefault="00681D4B">
            <w:pPr>
              <w:spacing w:after="0" w:line="240" w:lineRule="auto"/>
            </w:pPr>
          </w:p>
        </w:tc>
      </w:tr>
      <w:tr w:rsidR="005D2483" w:rsidRPr="00E70A23" w14:paraId="42FD2415" w14:textId="77777777" w:rsidTr="005D2483">
        <w:trPr>
          <w:trHeight w:val="1493"/>
        </w:trPr>
        <w:tc>
          <w:tcPr>
            <w:tcW w:w="1433" w:type="dxa"/>
          </w:tcPr>
          <w:p w14:paraId="35C4CCE2" w14:textId="05E1E43B" w:rsidR="005D2483" w:rsidRPr="00FD3AC1" w:rsidRDefault="005D2483" w:rsidP="005D2483">
            <w:pPr>
              <w:spacing w:after="0" w:line="240" w:lineRule="auto"/>
            </w:pPr>
            <w:r w:rsidRPr="0033550C">
              <w:t>Drinking water and prescribed accommodation</w:t>
            </w:r>
          </w:p>
        </w:tc>
        <w:tc>
          <w:tcPr>
            <w:tcW w:w="1075" w:type="dxa"/>
          </w:tcPr>
          <w:p w14:paraId="59F4C5DA" w14:textId="45FD655A" w:rsidR="005D2483" w:rsidRPr="00FD3AC1" w:rsidRDefault="005D2483" w:rsidP="005D2483">
            <w:pPr>
              <w:spacing w:after="0" w:line="240" w:lineRule="auto"/>
            </w:pPr>
            <w:r w:rsidRPr="0033550C">
              <w:t>16 (previously definition in reg. 4)</w:t>
            </w:r>
          </w:p>
        </w:tc>
        <w:tc>
          <w:tcPr>
            <w:tcW w:w="1914" w:type="dxa"/>
          </w:tcPr>
          <w:p w14:paraId="1E572E8A" w14:textId="25261732" w:rsidR="005D2483" w:rsidRPr="00FD3AC1" w:rsidRDefault="005D2483" w:rsidP="005D2483">
            <w:pPr>
              <w:spacing w:after="0" w:line="240" w:lineRule="auto"/>
              <w:ind w:right="281"/>
            </w:pPr>
            <w:r w:rsidRPr="0033550C">
              <w:t>No material impact</w:t>
            </w:r>
          </w:p>
        </w:tc>
        <w:tc>
          <w:tcPr>
            <w:tcW w:w="2279" w:type="dxa"/>
          </w:tcPr>
          <w:p w14:paraId="11A11EA8" w14:textId="4154A96A" w:rsidR="005D2483" w:rsidRPr="00FD3AC1" w:rsidRDefault="005D2483" w:rsidP="005D2483">
            <w:pPr>
              <w:spacing w:after="0" w:line="240" w:lineRule="auto"/>
            </w:pPr>
            <w:r w:rsidRPr="0033550C">
              <w:t xml:space="preserve">The definition of ‘water supplier’ has been included in the regulation it relates to, namely regulation 16. </w:t>
            </w:r>
          </w:p>
        </w:tc>
        <w:tc>
          <w:tcPr>
            <w:tcW w:w="2325" w:type="dxa"/>
          </w:tcPr>
          <w:p w14:paraId="6D21C12F" w14:textId="77777777" w:rsidR="005D2483" w:rsidRPr="00E70A23" w:rsidRDefault="005D2483" w:rsidP="005D2483">
            <w:pPr>
              <w:spacing w:after="0" w:line="240" w:lineRule="auto"/>
            </w:pPr>
          </w:p>
        </w:tc>
      </w:tr>
      <w:tr w:rsidR="005D2483" w14:paraId="4581C387" w14:textId="77777777" w:rsidTr="005D2483">
        <w:tc>
          <w:tcPr>
            <w:tcW w:w="1433" w:type="dxa"/>
          </w:tcPr>
          <w:p w14:paraId="53C760C6" w14:textId="1236784D" w:rsidR="005D2483" w:rsidRPr="00FD3AC1" w:rsidRDefault="005D2483" w:rsidP="005D2483">
            <w:pPr>
              <w:spacing w:after="0" w:line="240" w:lineRule="auto"/>
            </w:pPr>
            <w:r w:rsidRPr="0033550C">
              <w:t>Infringements</w:t>
            </w:r>
          </w:p>
        </w:tc>
        <w:tc>
          <w:tcPr>
            <w:tcW w:w="1075" w:type="dxa"/>
          </w:tcPr>
          <w:p w14:paraId="22D85BCE" w14:textId="4EB1EACD" w:rsidR="005D2483" w:rsidRPr="00FD3AC1" w:rsidRDefault="005D2483" w:rsidP="005D2483">
            <w:pPr>
              <w:spacing w:after="0" w:line="240" w:lineRule="auto"/>
            </w:pPr>
            <w:r w:rsidRPr="0033550C">
              <w:t>24(2) (previously reg. 88 (2))</w:t>
            </w:r>
          </w:p>
        </w:tc>
        <w:tc>
          <w:tcPr>
            <w:tcW w:w="1914" w:type="dxa"/>
          </w:tcPr>
          <w:p w14:paraId="6146B970" w14:textId="1A89A998" w:rsidR="005D2483" w:rsidRPr="00FD3AC1" w:rsidRDefault="005D2483" w:rsidP="005D2483">
            <w:pPr>
              <w:spacing w:after="0" w:line="240" w:lineRule="auto"/>
              <w:ind w:right="281"/>
            </w:pPr>
            <w:r w:rsidRPr="0033550C">
              <w:t>No material impact</w:t>
            </w:r>
          </w:p>
        </w:tc>
        <w:tc>
          <w:tcPr>
            <w:tcW w:w="2279" w:type="dxa"/>
          </w:tcPr>
          <w:p w14:paraId="7144E217" w14:textId="2E3BEE02" w:rsidR="005D2483" w:rsidRPr="00FD3AC1" w:rsidRDefault="005D2483" w:rsidP="005D2483">
            <w:pPr>
              <w:spacing w:after="0" w:line="240" w:lineRule="auto"/>
            </w:pPr>
            <w:r w:rsidRPr="0033550C">
              <w:t>The formatting is restructured for ease of understanding.</w:t>
            </w:r>
          </w:p>
        </w:tc>
        <w:tc>
          <w:tcPr>
            <w:tcW w:w="2325" w:type="dxa"/>
          </w:tcPr>
          <w:p w14:paraId="7AA2757A" w14:textId="77777777" w:rsidR="005D2483" w:rsidRDefault="005D2483" w:rsidP="005D2483">
            <w:pPr>
              <w:spacing w:after="0" w:line="240" w:lineRule="auto"/>
            </w:pPr>
          </w:p>
        </w:tc>
      </w:tr>
      <w:tr w:rsidR="005D2483" w14:paraId="1EFD87C7" w14:textId="77777777" w:rsidTr="005D2483">
        <w:tc>
          <w:tcPr>
            <w:tcW w:w="1433" w:type="dxa"/>
          </w:tcPr>
          <w:p w14:paraId="0580E5FC" w14:textId="423E363A" w:rsidR="005D2483" w:rsidRPr="00E70A23" w:rsidRDefault="005D2483" w:rsidP="005D2483">
            <w:pPr>
              <w:spacing w:after="0" w:line="240" w:lineRule="auto"/>
            </w:pPr>
            <w:r w:rsidRPr="00E70A23">
              <w:t>Advertising and prescribed accommodation</w:t>
            </w:r>
          </w:p>
        </w:tc>
        <w:tc>
          <w:tcPr>
            <w:tcW w:w="1075" w:type="dxa"/>
          </w:tcPr>
          <w:p w14:paraId="3D039E48" w14:textId="2D84A7B3" w:rsidR="005D2483" w:rsidRPr="00E70A23" w:rsidRDefault="005D2483" w:rsidP="005D2483">
            <w:pPr>
              <w:spacing w:after="0" w:line="240" w:lineRule="auto"/>
            </w:pPr>
            <w:r w:rsidRPr="00E70A23">
              <w:t>27</w:t>
            </w:r>
          </w:p>
        </w:tc>
        <w:tc>
          <w:tcPr>
            <w:tcW w:w="1914" w:type="dxa"/>
          </w:tcPr>
          <w:p w14:paraId="4EDC10AA" w14:textId="5A236238" w:rsidR="005D2483" w:rsidRPr="00E70A23" w:rsidRDefault="005D2483" w:rsidP="005D2483">
            <w:pPr>
              <w:spacing w:after="0" w:line="240" w:lineRule="auto"/>
              <w:ind w:right="281"/>
            </w:pPr>
            <w:r w:rsidRPr="00E70A23">
              <w:t>No material impact</w:t>
            </w:r>
          </w:p>
        </w:tc>
        <w:tc>
          <w:tcPr>
            <w:tcW w:w="2279" w:type="dxa"/>
          </w:tcPr>
          <w:p w14:paraId="6B7821CC" w14:textId="58D16803" w:rsidR="005D2483" w:rsidRDefault="005D2483" w:rsidP="005D2483">
            <w:pPr>
              <w:spacing w:after="0" w:line="240" w:lineRule="auto"/>
            </w:pPr>
            <w:r w:rsidRPr="00E70A23">
              <w:t>It is proposed to change the reference to ‘issued’ from ‘published’ to better reflect contemporary means of advertising.</w:t>
            </w:r>
          </w:p>
        </w:tc>
        <w:tc>
          <w:tcPr>
            <w:tcW w:w="2325" w:type="dxa"/>
          </w:tcPr>
          <w:p w14:paraId="7AB5795B" w14:textId="77777777" w:rsidR="005D2483" w:rsidRDefault="005D2483" w:rsidP="005D2483">
            <w:pPr>
              <w:spacing w:after="0" w:line="240" w:lineRule="auto"/>
            </w:pPr>
          </w:p>
        </w:tc>
      </w:tr>
    </w:tbl>
    <w:p w14:paraId="58D3D958" w14:textId="082CC0CA" w:rsidR="00A0002C" w:rsidRDefault="00187213" w:rsidP="00A0002C">
      <w:pPr>
        <w:pStyle w:val="Heading1un-numbered"/>
      </w:pPr>
      <w:bookmarkStart w:id="232" w:name="_Toc49460314"/>
      <w:r>
        <w:lastRenderedPageBreak/>
        <w:t xml:space="preserve">Appendix </w:t>
      </w:r>
      <w:r w:rsidR="00960479">
        <w:t>E</w:t>
      </w:r>
      <w:r>
        <w:t xml:space="preserve">: </w:t>
      </w:r>
      <w:r w:rsidR="00A0002C">
        <w:t>Detailed assumptions</w:t>
      </w:r>
      <w:bookmarkEnd w:id="232"/>
    </w:p>
    <w:p w14:paraId="7009DCDF" w14:textId="76C42DB6" w:rsidR="00FA3EF7" w:rsidRPr="00E63F76" w:rsidRDefault="00FA3EF7" w:rsidP="000463D8">
      <w:r w:rsidRPr="00E63F76">
        <w:t>Detailed description</w:t>
      </w:r>
      <w:r w:rsidR="00222C32" w:rsidRPr="00E63F76">
        <w:t xml:space="preserve"> of source data and calculations for</w:t>
      </w:r>
      <w:r w:rsidRPr="00E63F76">
        <w:t xml:space="preserve"> these assumptions is provided in Chapter 4.</w:t>
      </w:r>
    </w:p>
    <w:p w14:paraId="7EEBEA8C" w14:textId="37ECA89A" w:rsidR="00A0002C" w:rsidRPr="00E63F76" w:rsidRDefault="004D09F0" w:rsidP="000463D8">
      <w:pPr>
        <w:rPr>
          <w:b/>
        </w:rPr>
      </w:pPr>
      <w:r w:rsidRPr="00E63F76">
        <w:rPr>
          <w:b/>
        </w:rPr>
        <w:t xml:space="preserve">Estimated number </w:t>
      </w:r>
      <w:r w:rsidR="00A0002C" w:rsidRPr="00E63F76">
        <w:rPr>
          <w:b/>
        </w:rPr>
        <w:t xml:space="preserve">of prescribed accommodation facilities </w:t>
      </w:r>
    </w:p>
    <w:tbl>
      <w:tblPr>
        <w:tblStyle w:val="Deloittetable"/>
        <w:tblW w:w="5073" w:type="pct"/>
        <w:tblLayout w:type="fixed"/>
        <w:tblLook w:val="04A0" w:firstRow="1" w:lastRow="0" w:firstColumn="1" w:lastColumn="0" w:noHBand="0" w:noVBand="1"/>
      </w:tblPr>
      <w:tblGrid>
        <w:gridCol w:w="1986"/>
        <w:gridCol w:w="530"/>
        <w:gridCol w:w="556"/>
        <w:gridCol w:w="551"/>
        <w:gridCol w:w="551"/>
        <w:gridCol w:w="553"/>
        <w:gridCol w:w="553"/>
        <w:gridCol w:w="553"/>
        <w:gridCol w:w="553"/>
        <w:gridCol w:w="553"/>
        <w:gridCol w:w="553"/>
        <w:gridCol w:w="553"/>
        <w:gridCol w:w="553"/>
        <w:gridCol w:w="560"/>
      </w:tblGrid>
      <w:tr w:rsidR="00D51D8D" w:rsidRPr="00D51D8D" w14:paraId="269CFC1F" w14:textId="77777777" w:rsidTr="001419A0">
        <w:trPr>
          <w:cnfStyle w:val="100000000000" w:firstRow="1" w:lastRow="0" w:firstColumn="0" w:lastColumn="0" w:oddVBand="0" w:evenVBand="0" w:oddHBand="0" w:evenHBand="0" w:firstRowFirstColumn="0" w:firstRowLastColumn="0" w:lastRowFirstColumn="0" w:lastRowLastColumn="0"/>
          <w:trHeight w:val="139"/>
          <w:tblHeader/>
        </w:trPr>
        <w:tc>
          <w:tcPr>
            <w:tcW w:w="1084" w:type="pct"/>
            <w:noWrap/>
            <w:hideMark/>
          </w:tcPr>
          <w:p w14:paraId="1CD8BC40" w14:textId="77777777" w:rsidR="00A0002C" w:rsidRPr="00D51D8D" w:rsidRDefault="00A0002C" w:rsidP="00FE6F9B">
            <w:pPr>
              <w:spacing w:after="0" w:line="240" w:lineRule="auto"/>
              <w:rPr>
                <w:rFonts w:asciiTheme="majorHAnsi" w:eastAsia="Times New Roman" w:hAnsiTheme="majorHAnsi" w:cs="Times New Roman"/>
                <w:b/>
                <w:bCs/>
                <w:color w:val="000000"/>
                <w:sz w:val="14"/>
                <w:szCs w:val="14"/>
                <w:lang w:eastAsia="en-AU"/>
              </w:rPr>
            </w:pPr>
          </w:p>
        </w:tc>
        <w:tc>
          <w:tcPr>
            <w:tcW w:w="289" w:type="pct"/>
            <w:noWrap/>
            <w:vAlign w:val="center"/>
            <w:hideMark/>
          </w:tcPr>
          <w:p w14:paraId="41BAA257" w14:textId="77777777" w:rsidR="00A0002C" w:rsidRPr="00D51D8D" w:rsidRDefault="00A0002C" w:rsidP="00FE6F9B">
            <w:pPr>
              <w:spacing w:after="0" w:line="240" w:lineRule="auto"/>
              <w:jc w:val="center"/>
              <w:rPr>
                <w:rFonts w:asciiTheme="majorHAnsi" w:eastAsia="Times New Roman" w:hAnsiTheme="majorHAnsi" w:cs="Times New Roman"/>
                <w:b/>
                <w:bCs/>
                <w:color w:val="000000"/>
                <w:sz w:val="14"/>
                <w:szCs w:val="14"/>
                <w:lang w:eastAsia="en-AU"/>
              </w:rPr>
            </w:pPr>
            <w:r w:rsidRPr="00D51D8D">
              <w:rPr>
                <w:rFonts w:asciiTheme="majorHAnsi" w:eastAsia="Times New Roman" w:hAnsiTheme="majorHAnsi" w:cs="Times New Roman"/>
                <w:b/>
                <w:bCs/>
                <w:color w:val="000000"/>
                <w:sz w:val="14"/>
                <w:szCs w:val="14"/>
                <w:lang w:eastAsia="en-AU"/>
              </w:rPr>
              <w:t>2018 (a)</w:t>
            </w:r>
          </w:p>
        </w:tc>
        <w:tc>
          <w:tcPr>
            <w:tcW w:w="303" w:type="pct"/>
            <w:noWrap/>
            <w:vAlign w:val="center"/>
            <w:hideMark/>
          </w:tcPr>
          <w:p w14:paraId="2FF2BB33" w14:textId="77777777" w:rsidR="00A0002C" w:rsidRPr="00D51D8D" w:rsidRDefault="00A0002C" w:rsidP="00FE6F9B">
            <w:pPr>
              <w:spacing w:after="0" w:line="240" w:lineRule="auto"/>
              <w:jc w:val="center"/>
              <w:rPr>
                <w:rFonts w:asciiTheme="majorHAnsi" w:eastAsia="Times New Roman" w:hAnsiTheme="majorHAnsi" w:cs="Times New Roman"/>
                <w:b/>
                <w:bCs/>
                <w:color w:val="000000"/>
                <w:sz w:val="14"/>
                <w:szCs w:val="14"/>
                <w:lang w:eastAsia="en-AU"/>
              </w:rPr>
            </w:pPr>
            <w:r w:rsidRPr="00D51D8D">
              <w:rPr>
                <w:rFonts w:asciiTheme="majorHAnsi" w:eastAsia="Times New Roman" w:hAnsiTheme="majorHAnsi" w:cs="Times New Roman"/>
                <w:b/>
                <w:bCs/>
                <w:color w:val="000000"/>
                <w:sz w:val="14"/>
                <w:szCs w:val="14"/>
                <w:lang w:eastAsia="en-AU"/>
              </w:rPr>
              <w:t>2019 (f)</w:t>
            </w:r>
          </w:p>
        </w:tc>
        <w:tc>
          <w:tcPr>
            <w:tcW w:w="301" w:type="pct"/>
            <w:noWrap/>
            <w:vAlign w:val="center"/>
            <w:hideMark/>
          </w:tcPr>
          <w:p w14:paraId="0E0453F8" w14:textId="77777777" w:rsidR="00A0002C" w:rsidRPr="00D51D8D" w:rsidRDefault="00A0002C" w:rsidP="00FE6F9B">
            <w:pPr>
              <w:spacing w:after="0" w:line="240" w:lineRule="auto"/>
              <w:jc w:val="center"/>
              <w:rPr>
                <w:rFonts w:asciiTheme="majorHAnsi" w:eastAsia="Times New Roman" w:hAnsiTheme="majorHAnsi" w:cs="Times New Roman"/>
                <w:b/>
                <w:bCs/>
                <w:color w:val="000000"/>
                <w:sz w:val="14"/>
                <w:szCs w:val="14"/>
                <w:lang w:eastAsia="en-AU"/>
              </w:rPr>
            </w:pPr>
            <w:r w:rsidRPr="00D51D8D">
              <w:rPr>
                <w:rFonts w:asciiTheme="majorHAnsi" w:eastAsia="Times New Roman" w:hAnsiTheme="majorHAnsi" w:cs="Times New Roman"/>
                <w:b/>
                <w:bCs/>
                <w:color w:val="000000"/>
                <w:sz w:val="14"/>
                <w:szCs w:val="14"/>
                <w:lang w:eastAsia="en-AU"/>
              </w:rPr>
              <w:t>2020 (f)</w:t>
            </w:r>
          </w:p>
        </w:tc>
        <w:tc>
          <w:tcPr>
            <w:tcW w:w="301" w:type="pct"/>
            <w:noWrap/>
            <w:vAlign w:val="center"/>
            <w:hideMark/>
          </w:tcPr>
          <w:p w14:paraId="57160CA9" w14:textId="77777777" w:rsidR="00A0002C" w:rsidRPr="00D51D8D" w:rsidRDefault="00A0002C" w:rsidP="00FE6F9B">
            <w:pPr>
              <w:spacing w:after="0" w:line="240" w:lineRule="auto"/>
              <w:jc w:val="center"/>
              <w:rPr>
                <w:rFonts w:asciiTheme="majorHAnsi" w:eastAsia="Times New Roman" w:hAnsiTheme="majorHAnsi" w:cs="Times New Roman"/>
                <w:b/>
                <w:bCs/>
                <w:color w:val="000000"/>
                <w:sz w:val="14"/>
                <w:szCs w:val="14"/>
                <w:lang w:eastAsia="en-AU"/>
              </w:rPr>
            </w:pPr>
            <w:r w:rsidRPr="00D51D8D">
              <w:rPr>
                <w:rFonts w:asciiTheme="majorHAnsi" w:eastAsia="Times New Roman" w:hAnsiTheme="majorHAnsi" w:cs="Times New Roman"/>
                <w:b/>
                <w:bCs/>
                <w:color w:val="000000"/>
                <w:sz w:val="14"/>
                <w:szCs w:val="14"/>
                <w:lang w:eastAsia="en-AU"/>
              </w:rPr>
              <w:t>2021 (f)</w:t>
            </w:r>
          </w:p>
        </w:tc>
        <w:tc>
          <w:tcPr>
            <w:tcW w:w="302" w:type="pct"/>
            <w:noWrap/>
            <w:vAlign w:val="center"/>
            <w:hideMark/>
          </w:tcPr>
          <w:p w14:paraId="03F098BF" w14:textId="77777777" w:rsidR="00A0002C" w:rsidRPr="00D51D8D" w:rsidRDefault="00A0002C" w:rsidP="00FE6F9B">
            <w:pPr>
              <w:spacing w:after="0" w:line="240" w:lineRule="auto"/>
              <w:jc w:val="center"/>
              <w:rPr>
                <w:rFonts w:asciiTheme="majorHAnsi" w:eastAsia="Times New Roman" w:hAnsiTheme="majorHAnsi" w:cs="Times New Roman"/>
                <w:b/>
                <w:bCs/>
                <w:color w:val="000000"/>
                <w:sz w:val="14"/>
                <w:szCs w:val="14"/>
                <w:lang w:eastAsia="en-AU"/>
              </w:rPr>
            </w:pPr>
            <w:r w:rsidRPr="00D51D8D">
              <w:rPr>
                <w:rFonts w:asciiTheme="majorHAnsi" w:eastAsia="Times New Roman" w:hAnsiTheme="majorHAnsi" w:cs="Times New Roman"/>
                <w:b/>
                <w:bCs/>
                <w:color w:val="000000"/>
                <w:sz w:val="14"/>
                <w:szCs w:val="14"/>
                <w:lang w:eastAsia="en-AU"/>
              </w:rPr>
              <w:t>2022 (f)</w:t>
            </w:r>
          </w:p>
        </w:tc>
        <w:tc>
          <w:tcPr>
            <w:tcW w:w="302" w:type="pct"/>
            <w:noWrap/>
            <w:vAlign w:val="center"/>
            <w:hideMark/>
          </w:tcPr>
          <w:p w14:paraId="402099B3" w14:textId="77777777" w:rsidR="00A0002C" w:rsidRPr="00D51D8D" w:rsidRDefault="00A0002C" w:rsidP="00FE6F9B">
            <w:pPr>
              <w:spacing w:after="0" w:line="240" w:lineRule="auto"/>
              <w:jc w:val="center"/>
              <w:rPr>
                <w:rFonts w:asciiTheme="majorHAnsi" w:eastAsia="Times New Roman" w:hAnsiTheme="majorHAnsi" w:cs="Times New Roman"/>
                <w:b/>
                <w:bCs/>
                <w:color w:val="000000"/>
                <w:sz w:val="14"/>
                <w:szCs w:val="14"/>
                <w:lang w:eastAsia="en-AU"/>
              </w:rPr>
            </w:pPr>
            <w:r w:rsidRPr="00D51D8D">
              <w:rPr>
                <w:rFonts w:asciiTheme="majorHAnsi" w:eastAsia="Times New Roman" w:hAnsiTheme="majorHAnsi" w:cs="Times New Roman"/>
                <w:b/>
                <w:bCs/>
                <w:color w:val="000000"/>
                <w:sz w:val="14"/>
                <w:szCs w:val="14"/>
                <w:lang w:eastAsia="en-AU"/>
              </w:rPr>
              <w:t>2023 (f)</w:t>
            </w:r>
          </w:p>
        </w:tc>
        <w:tc>
          <w:tcPr>
            <w:tcW w:w="302" w:type="pct"/>
            <w:noWrap/>
            <w:vAlign w:val="center"/>
            <w:hideMark/>
          </w:tcPr>
          <w:p w14:paraId="3DB5385A" w14:textId="77777777" w:rsidR="00A0002C" w:rsidRPr="00D51D8D" w:rsidRDefault="00A0002C" w:rsidP="00FE6F9B">
            <w:pPr>
              <w:spacing w:after="0" w:line="240" w:lineRule="auto"/>
              <w:jc w:val="center"/>
              <w:rPr>
                <w:rFonts w:asciiTheme="majorHAnsi" w:eastAsia="Times New Roman" w:hAnsiTheme="majorHAnsi" w:cs="Times New Roman"/>
                <w:b/>
                <w:bCs/>
                <w:color w:val="000000"/>
                <w:sz w:val="14"/>
                <w:szCs w:val="14"/>
                <w:lang w:eastAsia="en-AU"/>
              </w:rPr>
            </w:pPr>
            <w:r w:rsidRPr="00D51D8D">
              <w:rPr>
                <w:rFonts w:asciiTheme="majorHAnsi" w:eastAsia="Times New Roman" w:hAnsiTheme="majorHAnsi" w:cs="Times New Roman"/>
                <w:b/>
                <w:bCs/>
                <w:color w:val="000000"/>
                <w:sz w:val="14"/>
                <w:szCs w:val="14"/>
                <w:lang w:eastAsia="en-AU"/>
              </w:rPr>
              <w:t>2024 (f)</w:t>
            </w:r>
          </w:p>
        </w:tc>
        <w:tc>
          <w:tcPr>
            <w:tcW w:w="302" w:type="pct"/>
            <w:noWrap/>
            <w:vAlign w:val="center"/>
            <w:hideMark/>
          </w:tcPr>
          <w:p w14:paraId="6C3FA3BE" w14:textId="77777777" w:rsidR="00A0002C" w:rsidRPr="00D51D8D" w:rsidRDefault="00A0002C" w:rsidP="00FE6F9B">
            <w:pPr>
              <w:spacing w:after="0" w:line="240" w:lineRule="auto"/>
              <w:jc w:val="center"/>
              <w:rPr>
                <w:rFonts w:asciiTheme="majorHAnsi" w:eastAsia="Times New Roman" w:hAnsiTheme="majorHAnsi" w:cs="Times New Roman"/>
                <w:b/>
                <w:bCs/>
                <w:color w:val="000000"/>
                <w:sz w:val="14"/>
                <w:szCs w:val="14"/>
                <w:lang w:eastAsia="en-AU"/>
              </w:rPr>
            </w:pPr>
            <w:r w:rsidRPr="00D51D8D">
              <w:rPr>
                <w:rFonts w:asciiTheme="majorHAnsi" w:eastAsia="Times New Roman" w:hAnsiTheme="majorHAnsi" w:cs="Times New Roman"/>
                <w:b/>
                <w:bCs/>
                <w:color w:val="000000"/>
                <w:sz w:val="14"/>
                <w:szCs w:val="14"/>
                <w:lang w:eastAsia="en-AU"/>
              </w:rPr>
              <w:t>2025 (f)</w:t>
            </w:r>
          </w:p>
        </w:tc>
        <w:tc>
          <w:tcPr>
            <w:tcW w:w="302" w:type="pct"/>
            <w:noWrap/>
            <w:vAlign w:val="center"/>
            <w:hideMark/>
          </w:tcPr>
          <w:p w14:paraId="6079A210" w14:textId="77777777" w:rsidR="00A0002C" w:rsidRPr="00D51D8D" w:rsidRDefault="00A0002C" w:rsidP="00FE6F9B">
            <w:pPr>
              <w:spacing w:after="0" w:line="240" w:lineRule="auto"/>
              <w:jc w:val="center"/>
              <w:rPr>
                <w:rFonts w:asciiTheme="majorHAnsi" w:eastAsia="Times New Roman" w:hAnsiTheme="majorHAnsi" w:cs="Times New Roman"/>
                <w:b/>
                <w:bCs/>
                <w:color w:val="000000"/>
                <w:sz w:val="14"/>
                <w:szCs w:val="14"/>
                <w:lang w:eastAsia="en-AU"/>
              </w:rPr>
            </w:pPr>
            <w:r w:rsidRPr="00D51D8D">
              <w:rPr>
                <w:rFonts w:asciiTheme="majorHAnsi" w:eastAsia="Times New Roman" w:hAnsiTheme="majorHAnsi" w:cs="Times New Roman"/>
                <w:b/>
                <w:bCs/>
                <w:color w:val="000000"/>
                <w:sz w:val="14"/>
                <w:szCs w:val="14"/>
                <w:lang w:eastAsia="en-AU"/>
              </w:rPr>
              <w:t>2026 (f)</w:t>
            </w:r>
          </w:p>
        </w:tc>
        <w:tc>
          <w:tcPr>
            <w:tcW w:w="302" w:type="pct"/>
            <w:noWrap/>
            <w:vAlign w:val="center"/>
            <w:hideMark/>
          </w:tcPr>
          <w:p w14:paraId="354B2B56" w14:textId="77777777" w:rsidR="00A0002C" w:rsidRPr="00D51D8D" w:rsidRDefault="00A0002C" w:rsidP="00FE6F9B">
            <w:pPr>
              <w:spacing w:after="0" w:line="240" w:lineRule="auto"/>
              <w:jc w:val="center"/>
              <w:rPr>
                <w:rFonts w:asciiTheme="majorHAnsi" w:eastAsia="Times New Roman" w:hAnsiTheme="majorHAnsi" w:cs="Times New Roman"/>
                <w:b/>
                <w:bCs/>
                <w:color w:val="000000"/>
                <w:sz w:val="14"/>
                <w:szCs w:val="14"/>
                <w:lang w:eastAsia="en-AU"/>
              </w:rPr>
            </w:pPr>
            <w:r w:rsidRPr="00D51D8D">
              <w:rPr>
                <w:rFonts w:asciiTheme="majorHAnsi" w:eastAsia="Times New Roman" w:hAnsiTheme="majorHAnsi" w:cs="Times New Roman"/>
                <w:b/>
                <w:bCs/>
                <w:color w:val="000000"/>
                <w:sz w:val="14"/>
                <w:szCs w:val="14"/>
                <w:lang w:eastAsia="en-AU"/>
              </w:rPr>
              <w:t>2027 (f)</w:t>
            </w:r>
          </w:p>
        </w:tc>
        <w:tc>
          <w:tcPr>
            <w:tcW w:w="302" w:type="pct"/>
            <w:noWrap/>
            <w:vAlign w:val="center"/>
            <w:hideMark/>
          </w:tcPr>
          <w:p w14:paraId="1FCA4ED2" w14:textId="77777777" w:rsidR="00A0002C" w:rsidRPr="00D51D8D" w:rsidRDefault="00A0002C" w:rsidP="00FE6F9B">
            <w:pPr>
              <w:spacing w:after="0" w:line="240" w:lineRule="auto"/>
              <w:jc w:val="center"/>
              <w:rPr>
                <w:rFonts w:asciiTheme="majorHAnsi" w:eastAsia="Times New Roman" w:hAnsiTheme="majorHAnsi" w:cs="Times New Roman"/>
                <w:b/>
                <w:bCs/>
                <w:color w:val="000000"/>
                <w:sz w:val="14"/>
                <w:szCs w:val="14"/>
                <w:lang w:eastAsia="en-AU"/>
              </w:rPr>
            </w:pPr>
            <w:r w:rsidRPr="00D51D8D">
              <w:rPr>
                <w:rFonts w:asciiTheme="majorHAnsi" w:eastAsia="Times New Roman" w:hAnsiTheme="majorHAnsi" w:cs="Times New Roman"/>
                <w:b/>
                <w:bCs/>
                <w:color w:val="000000"/>
                <w:sz w:val="14"/>
                <w:szCs w:val="14"/>
                <w:lang w:eastAsia="en-AU"/>
              </w:rPr>
              <w:t>2028 (f)</w:t>
            </w:r>
          </w:p>
        </w:tc>
        <w:tc>
          <w:tcPr>
            <w:tcW w:w="302" w:type="pct"/>
            <w:noWrap/>
            <w:vAlign w:val="center"/>
            <w:hideMark/>
          </w:tcPr>
          <w:p w14:paraId="2F3E9A31" w14:textId="77777777" w:rsidR="00A0002C" w:rsidRPr="00D51D8D" w:rsidRDefault="00A0002C" w:rsidP="00FE6F9B">
            <w:pPr>
              <w:spacing w:after="0" w:line="240" w:lineRule="auto"/>
              <w:jc w:val="center"/>
              <w:rPr>
                <w:rFonts w:asciiTheme="majorHAnsi" w:eastAsia="Times New Roman" w:hAnsiTheme="majorHAnsi" w:cs="Times New Roman"/>
                <w:b/>
                <w:bCs/>
                <w:color w:val="000000"/>
                <w:sz w:val="14"/>
                <w:szCs w:val="14"/>
                <w:lang w:eastAsia="en-AU"/>
              </w:rPr>
            </w:pPr>
            <w:r w:rsidRPr="00D51D8D">
              <w:rPr>
                <w:rFonts w:asciiTheme="majorHAnsi" w:eastAsia="Times New Roman" w:hAnsiTheme="majorHAnsi" w:cs="Times New Roman"/>
                <w:b/>
                <w:bCs/>
                <w:color w:val="000000"/>
                <w:sz w:val="14"/>
                <w:szCs w:val="14"/>
                <w:lang w:eastAsia="en-AU"/>
              </w:rPr>
              <w:t>2029 (f)</w:t>
            </w:r>
          </w:p>
        </w:tc>
        <w:tc>
          <w:tcPr>
            <w:tcW w:w="307" w:type="pct"/>
            <w:noWrap/>
            <w:vAlign w:val="center"/>
            <w:hideMark/>
          </w:tcPr>
          <w:p w14:paraId="0FAE23B8" w14:textId="77777777" w:rsidR="00A0002C" w:rsidRPr="00D51D8D" w:rsidRDefault="00A0002C" w:rsidP="00FE6F9B">
            <w:pPr>
              <w:spacing w:after="0" w:line="240" w:lineRule="auto"/>
              <w:jc w:val="center"/>
              <w:rPr>
                <w:rFonts w:asciiTheme="majorHAnsi" w:eastAsia="Times New Roman" w:hAnsiTheme="majorHAnsi" w:cs="Times New Roman"/>
                <w:b/>
                <w:bCs/>
                <w:color w:val="000000"/>
                <w:sz w:val="14"/>
                <w:szCs w:val="14"/>
                <w:lang w:eastAsia="en-AU"/>
              </w:rPr>
            </w:pPr>
            <w:r w:rsidRPr="00D51D8D">
              <w:rPr>
                <w:rFonts w:asciiTheme="majorHAnsi" w:eastAsia="Times New Roman" w:hAnsiTheme="majorHAnsi" w:cs="Times New Roman"/>
                <w:b/>
                <w:bCs/>
                <w:color w:val="000000"/>
                <w:sz w:val="14"/>
                <w:szCs w:val="14"/>
                <w:lang w:eastAsia="en-AU"/>
              </w:rPr>
              <w:t>2030 (f)</w:t>
            </w:r>
          </w:p>
        </w:tc>
      </w:tr>
      <w:tr w:rsidR="00A0002C" w:rsidRPr="00D51D8D" w14:paraId="43E45E02" w14:textId="77777777" w:rsidTr="00E63F76">
        <w:trPr>
          <w:trHeight w:val="139"/>
        </w:trPr>
        <w:tc>
          <w:tcPr>
            <w:tcW w:w="5000" w:type="pct"/>
            <w:gridSpan w:val="14"/>
            <w:shd w:val="clear" w:color="auto" w:fill="DFF0F9" w:themeFill="accent3" w:themeFillTint="33"/>
            <w:noWrap/>
          </w:tcPr>
          <w:p w14:paraId="6F810687" w14:textId="77777777" w:rsidR="00A0002C" w:rsidRPr="00D51D8D" w:rsidRDefault="00A0002C" w:rsidP="00FE6F9B">
            <w:pPr>
              <w:spacing w:after="0" w:line="240" w:lineRule="auto"/>
              <w:jc w:val="center"/>
              <w:rPr>
                <w:rFonts w:asciiTheme="majorHAnsi" w:eastAsia="Times New Roman" w:hAnsiTheme="majorHAnsi" w:cs="Times New Roman"/>
                <w:b/>
                <w:bCs/>
                <w:color w:val="000000"/>
                <w:sz w:val="14"/>
                <w:szCs w:val="14"/>
                <w:lang w:eastAsia="en-AU"/>
              </w:rPr>
            </w:pPr>
            <w:r w:rsidRPr="00D51D8D">
              <w:rPr>
                <w:rFonts w:asciiTheme="majorHAnsi" w:eastAsia="Times New Roman" w:hAnsiTheme="majorHAnsi" w:cs="Times New Roman"/>
                <w:b/>
                <w:bCs/>
                <w:color w:val="000000"/>
                <w:sz w:val="14"/>
                <w:szCs w:val="14"/>
                <w:lang w:eastAsia="en-AU"/>
              </w:rPr>
              <w:t xml:space="preserve">Total prescribed accommodation </w:t>
            </w:r>
          </w:p>
        </w:tc>
      </w:tr>
      <w:tr w:rsidR="00D51D8D" w:rsidRPr="00D51D8D" w14:paraId="5FD862B8" w14:textId="77777777" w:rsidTr="001419A0">
        <w:trPr>
          <w:trHeight w:val="139"/>
        </w:trPr>
        <w:tc>
          <w:tcPr>
            <w:tcW w:w="1084" w:type="pct"/>
            <w:noWrap/>
            <w:hideMark/>
          </w:tcPr>
          <w:p w14:paraId="2AF73B09" w14:textId="77777777" w:rsidR="007B7EED" w:rsidRPr="00D51D8D" w:rsidRDefault="007B7EED" w:rsidP="00D51D8D">
            <w:pPr>
              <w:spacing w:after="0" w:line="240" w:lineRule="auto"/>
              <w:ind w:right="640"/>
              <w:rPr>
                <w:rFonts w:asciiTheme="majorHAnsi" w:eastAsia="Times New Roman" w:hAnsiTheme="majorHAnsi" w:cs="Times New Roman"/>
                <w:color w:val="000000"/>
                <w:sz w:val="14"/>
                <w:szCs w:val="14"/>
                <w:lang w:eastAsia="en-AU"/>
              </w:rPr>
            </w:pPr>
            <w:r w:rsidRPr="00D51D8D">
              <w:rPr>
                <w:rFonts w:asciiTheme="majorHAnsi" w:eastAsia="Times New Roman" w:hAnsiTheme="majorHAnsi" w:cs="Times New Roman"/>
                <w:color w:val="000000"/>
                <w:sz w:val="14"/>
                <w:szCs w:val="14"/>
                <w:lang w:eastAsia="en-AU"/>
              </w:rPr>
              <w:t>Total prescribed accommodation facilities</w:t>
            </w:r>
          </w:p>
        </w:tc>
        <w:tc>
          <w:tcPr>
            <w:tcW w:w="289" w:type="pct"/>
            <w:noWrap/>
            <w:hideMark/>
          </w:tcPr>
          <w:p w14:paraId="69A0869C" w14:textId="617CC18E" w:rsidR="007B7EED" w:rsidRPr="00D51D8D" w:rsidRDefault="007B7EED" w:rsidP="007B7EED">
            <w:pPr>
              <w:spacing w:after="0" w:line="240" w:lineRule="auto"/>
              <w:jc w:val="center"/>
              <w:rPr>
                <w:rFonts w:asciiTheme="majorHAnsi" w:eastAsia="Times New Roman" w:hAnsiTheme="majorHAnsi" w:cs="Times New Roman"/>
                <w:b/>
                <w:bCs/>
                <w:color w:val="000000"/>
                <w:sz w:val="14"/>
                <w:szCs w:val="14"/>
                <w:lang w:eastAsia="en-AU"/>
              </w:rPr>
            </w:pPr>
            <w:r w:rsidRPr="00D51D8D">
              <w:rPr>
                <w:rFonts w:asciiTheme="majorHAnsi" w:hAnsiTheme="majorHAnsi"/>
                <w:b/>
                <w:sz w:val="14"/>
                <w:szCs w:val="14"/>
              </w:rPr>
              <w:t xml:space="preserve"> 4,823 </w:t>
            </w:r>
          </w:p>
        </w:tc>
        <w:tc>
          <w:tcPr>
            <w:tcW w:w="303" w:type="pct"/>
            <w:noWrap/>
            <w:hideMark/>
          </w:tcPr>
          <w:p w14:paraId="4E58ED4E" w14:textId="2FC7C002" w:rsidR="007B7EED" w:rsidRPr="00D51D8D" w:rsidRDefault="007B7EED" w:rsidP="007B7EED">
            <w:pPr>
              <w:spacing w:after="0" w:line="240" w:lineRule="auto"/>
              <w:jc w:val="center"/>
              <w:rPr>
                <w:rFonts w:asciiTheme="majorHAnsi" w:eastAsia="Times New Roman" w:hAnsiTheme="majorHAnsi" w:cs="Times New Roman"/>
                <w:b/>
                <w:bCs/>
                <w:color w:val="000000"/>
                <w:sz w:val="14"/>
                <w:szCs w:val="14"/>
                <w:lang w:eastAsia="en-AU"/>
              </w:rPr>
            </w:pPr>
            <w:r w:rsidRPr="00D51D8D">
              <w:rPr>
                <w:rFonts w:asciiTheme="majorHAnsi" w:hAnsiTheme="majorHAnsi"/>
                <w:b/>
                <w:sz w:val="14"/>
                <w:szCs w:val="14"/>
              </w:rPr>
              <w:t xml:space="preserve"> 4,929 </w:t>
            </w:r>
          </w:p>
        </w:tc>
        <w:tc>
          <w:tcPr>
            <w:tcW w:w="301" w:type="pct"/>
            <w:noWrap/>
            <w:hideMark/>
          </w:tcPr>
          <w:p w14:paraId="4494B2FC" w14:textId="1BA242B3" w:rsidR="007B7EED" w:rsidRPr="00D51D8D" w:rsidRDefault="007B7EED" w:rsidP="007B7EED">
            <w:pPr>
              <w:spacing w:after="0" w:line="240" w:lineRule="auto"/>
              <w:jc w:val="center"/>
              <w:rPr>
                <w:rFonts w:asciiTheme="majorHAnsi" w:eastAsia="Times New Roman" w:hAnsiTheme="majorHAnsi" w:cs="Times New Roman"/>
                <w:b/>
                <w:bCs/>
                <w:color w:val="000000"/>
                <w:sz w:val="14"/>
                <w:szCs w:val="14"/>
                <w:lang w:eastAsia="en-AU"/>
              </w:rPr>
            </w:pPr>
            <w:r w:rsidRPr="00D51D8D">
              <w:rPr>
                <w:rFonts w:asciiTheme="majorHAnsi" w:hAnsiTheme="majorHAnsi"/>
                <w:b/>
                <w:sz w:val="14"/>
                <w:szCs w:val="14"/>
              </w:rPr>
              <w:t xml:space="preserve"> 5,037 </w:t>
            </w:r>
          </w:p>
        </w:tc>
        <w:tc>
          <w:tcPr>
            <w:tcW w:w="301" w:type="pct"/>
            <w:noWrap/>
            <w:hideMark/>
          </w:tcPr>
          <w:p w14:paraId="17A34BBC" w14:textId="1465452C" w:rsidR="007B7EED" w:rsidRPr="00D51D8D" w:rsidRDefault="007B7EED" w:rsidP="007B7EED">
            <w:pPr>
              <w:spacing w:after="0" w:line="240" w:lineRule="auto"/>
              <w:jc w:val="center"/>
              <w:rPr>
                <w:rFonts w:asciiTheme="majorHAnsi" w:eastAsia="Times New Roman" w:hAnsiTheme="majorHAnsi" w:cs="Times New Roman"/>
                <w:b/>
                <w:bCs/>
                <w:color w:val="000000"/>
                <w:sz w:val="14"/>
                <w:szCs w:val="14"/>
                <w:lang w:eastAsia="en-AU"/>
              </w:rPr>
            </w:pPr>
            <w:r w:rsidRPr="00D51D8D">
              <w:rPr>
                <w:rFonts w:asciiTheme="majorHAnsi" w:hAnsiTheme="majorHAnsi"/>
                <w:b/>
                <w:sz w:val="14"/>
                <w:szCs w:val="14"/>
              </w:rPr>
              <w:t xml:space="preserve"> 5,148 </w:t>
            </w:r>
          </w:p>
        </w:tc>
        <w:tc>
          <w:tcPr>
            <w:tcW w:w="302" w:type="pct"/>
            <w:noWrap/>
            <w:hideMark/>
          </w:tcPr>
          <w:p w14:paraId="6E9D2B22" w14:textId="12495A70" w:rsidR="007B7EED" w:rsidRPr="00D51D8D" w:rsidRDefault="007B7EED" w:rsidP="007B7EED">
            <w:pPr>
              <w:spacing w:after="0" w:line="240" w:lineRule="auto"/>
              <w:jc w:val="center"/>
              <w:rPr>
                <w:rFonts w:asciiTheme="majorHAnsi" w:eastAsia="Times New Roman" w:hAnsiTheme="majorHAnsi" w:cs="Times New Roman"/>
                <w:b/>
                <w:bCs/>
                <w:color w:val="000000"/>
                <w:sz w:val="14"/>
                <w:szCs w:val="14"/>
                <w:lang w:eastAsia="en-AU"/>
              </w:rPr>
            </w:pPr>
            <w:r w:rsidRPr="00D51D8D">
              <w:rPr>
                <w:rFonts w:asciiTheme="majorHAnsi" w:hAnsiTheme="majorHAnsi"/>
                <w:b/>
                <w:sz w:val="14"/>
                <w:szCs w:val="14"/>
              </w:rPr>
              <w:t xml:space="preserve"> 5,262 </w:t>
            </w:r>
          </w:p>
        </w:tc>
        <w:tc>
          <w:tcPr>
            <w:tcW w:w="302" w:type="pct"/>
            <w:noWrap/>
            <w:hideMark/>
          </w:tcPr>
          <w:p w14:paraId="1E8CAE44" w14:textId="7DF0164A" w:rsidR="007B7EED" w:rsidRPr="00D51D8D" w:rsidRDefault="007B7EED" w:rsidP="007B7EED">
            <w:pPr>
              <w:spacing w:after="0" w:line="240" w:lineRule="auto"/>
              <w:jc w:val="center"/>
              <w:rPr>
                <w:rFonts w:asciiTheme="majorHAnsi" w:eastAsia="Times New Roman" w:hAnsiTheme="majorHAnsi" w:cs="Times New Roman"/>
                <w:b/>
                <w:bCs/>
                <w:color w:val="000000"/>
                <w:sz w:val="14"/>
                <w:szCs w:val="14"/>
                <w:lang w:eastAsia="en-AU"/>
              </w:rPr>
            </w:pPr>
            <w:r w:rsidRPr="00D51D8D">
              <w:rPr>
                <w:rFonts w:asciiTheme="majorHAnsi" w:hAnsiTheme="majorHAnsi"/>
                <w:b/>
                <w:sz w:val="14"/>
                <w:szCs w:val="14"/>
              </w:rPr>
              <w:t xml:space="preserve"> 5,379 </w:t>
            </w:r>
          </w:p>
        </w:tc>
        <w:tc>
          <w:tcPr>
            <w:tcW w:w="302" w:type="pct"/>
            <w:noWrap/>
            <w:hideMark/>
          </w:tcPr>
          <w:p w14:paraId="1606245F" w14:textId="10B7CD3A" w:rsidR="007B7EED" w:rsidRPr="00D51D8D" w:rsidRDefault="007B7EED" w:rsidP="007B7EED">
            <w:pPr>
              <w:spacing w:after="0" w:line="240" w:lineRule="auto"/>
              <w:jc w:val="center"/>
              <w:rPr>
                <w:rFonts w:asciiTheme="majorHAnsi" w:eastAsia="Times New Roman" w:hAnsiTheme="majorHAnsi" w:cs="Times New Roman"/>
                <w:b/>
                <w:bCs/>
                <w:color w:val="000000"/>
                <w:sz w:val="14"/>
                <w:szCs w:val="14"/>
                <w:lang w:eastAsia="en-AU"/>
              </w:rPr>
            </w:pPr>
            <w:r w:rsidRPr="00D51D8D">
              <w:rPr>
                <w:rFonts w:asciiTheme="majorHAnsi" w:hAnsiTheme="majorHAnsi"/>
                <w:b/>
                <w:sz w:val="14"/>
                <w:szCs w:val="14"/>
              </w:rPr>
              <w:t xml:space="preserve"> 5,499 </w:t>
            </w:r>
          </w:p>
        </w:tc>
        <w:tc>
          <w:tcPr>
            <w:tcW w:w="302" w:type="pct"/>
            <w:noWrap/>
            <w:hideMark/>
          </w:tcPr>
          <w:p w14:paraId="04AE16CC" w14:textId="65930814" w:rsidR="007B7EED" w:rsidRPr="00D51D8D" w:rsidRDefault="007B7EED" w:rsidP="007B7EED">
            <w:pPr>
              <w:spacing w:after="0" w:line="240" w:lineRule="auto"/>
              <w:jc w:val="center"/>
              <w:rPr>
                <w:rFonts w:asciiTheme="majorHAnsi" w:eastAsia="Times New Roman" w:hAnsiTheme="majorHAnsi" w:cs="Times New Roman"/>
                <w:b/>
                <w:bCs/>
                <w:color w:val="000000"/>
                <w:sz w:val="14"/>
                <w:szCs w:val="14"/>
                <w:lang w:eastAsia="en-AU"/>
              </w:rPr>
            </w:pPr>
            <w:r w:rsidRPr="00D51D8D">
              <w:rPr>
                <w:rFonts w:asciiTheme="majorHAnsi" w:hAnsiTheme="majorHAnsi"/>
                <w:b/>
                <w:sz w:val="14"/>
                <w:szCs w:val="14"/>
              </w:rPr>
              <w:t xml:space="preserve"> 5,622 </w:t>
            </w:r>
          </w:p>
        </w:tc>
        <w:tc>
          <w:tcPr>
            <w:tcW w:w="302" w:type="pct"/>
            <w:noWrap/>
            <w:hideMark/>
          </w:tcPr>
          <w:p w14:paraId="25AD5220" w14:textId="1419442B" w:rsidR="007B7EED" w:rsidRPr="00D51D8D" w:rsidRDefault="007B7EED" w:rsidP="007B7EED">
            <w:pPr>
              <w:spacing w:after="0" w:line="240" w:lineRule="auto"/>
              <w:jc w:val="center"/>
              <w:rPr>
                <w:rFonts w:asciiTheme="majorHAnsi" w:eastAsia="Times New Roman" w:hAnsiTheme="majorHAnsi" w:cs="Times New Roman"/>
                <w:b/>
                <w:bCs/>
                <w:color w:val="000000"/>
                <w:sz w:val="14"/>
                <w:szCs w:val="14"/>
                <w:lang w:eastAsia="en-AU"/>
              </w:rPr>
            </w:pPr>
            <w:r w:rsidRPr="00D51D8D">
              <w:rPr>
                <w:rFonts w:asciiTheme="majorHAnsi" w:hAnsiTheme="majorHAnsi"/>
                <w:b/>
                <w:sz w:val="14"/>
                <w:szCs w:val="14"/>
              </w:rPr>
              <w:t xml:space="preserve"> 5,747 </w:t>
            </w:r>
          </w:p>
        </w:tc>
        <w:tc>
          <w:tcPr>
            <w:tcW w:w="302" w:type="pct"/>
            <w:noWrap/>
            <w:hideMark/>
          </w:tcPr>
          <w:p w14:paraId="05344A14" w14:textId="72CFAE49" w:rsidR="007B7EED" w:rsidRPr="00D51D8D" w:rsidRDefault="007B7EED" w:rsidP="007B7EED">
            <w:pPr>
              <w:spacing w:after="0" w:line="240" w:lineRule="auto"/>
              <w:jc w:val="center"/>
              <w:rPr>
                <w:rFonts w:asciiTheme="majorHAnsi" w:eastAsia="Times New Roman" w:hAnsiTheme="majorHAnsi" w:cs="Times New Roman"/>
                <w:b/>
                <w:bCs/>
                <w:color w:val="000000"/>
                <w:sz w:val="14"/>
                <w:szCs w:val="14"/>
                <w:lang w:eastAsia="en-AU"/>
              </w:rPr>
            </w:pPr>
            <w:r w:rsidRPr="00D51D8D">
              <w:rPr>
                <w:rFonts w:asciiTheme="majorHAnsi" w:hAnsiTheme="majorHAnsi"/>
                <w:b/>
                <w:sz w:val="14"/>
                <w:szCs w:val="14"/>
              </w:rPr>
              <w:t xml:space="preserve"> 5,876 </w:t>
            </w:r>
          </w:p>
        </w:tc>
        <w:tc>
          <w:tcPr>
            <w:tcW w:w="302" w:type="pct"/>
            <w:noWrap/>
            <w:hideMark/>
          </w:tcPr>
          <w:p w14:paraId="420A9A70" w14:textId="4B7353C8" w:rsidR="007B7EED" w:rsidRPr="00D51D8D" w:rsidRDefault="007B7EED" w:rsidP="007B7EED">
            <w:pPr>
              <w:spacing w:after="0" w:line="240" w:lineRule="auto"/>
              <w:jc w:val="center"/>
              <w:rPr>
                <w:rFonts w:asciiTheme="majorHAnsi" w:eastAsia="Times New Roman" w:hAnsiTheme="majorHAnsi" w:cs="Times New Roman"/>
                <w:b/>
                <w:bCs/>
                <w:color w:val="000000"/>
                <w:sz w:val="14"/>
                <w:szCs w:val="14"/>
                <w:lang w:eastAsia="en-AU"/>
              </w:rPr>
            </w:pPr>
            <w:r w:rsidRPr="00D51D8D">
              <w:rPr>
                <w:rFonts w:asciiTheme="majorHAnsi" w:hAnsiTheme="majorHAnsi"/>
                <w:b/>
                <w:sz w:val="14"/>
                <w:szCs w:val="14"/>
              </w:rPr>
              <w:t xml:space="preserve"> 6,008 </w:t>
            </w:r>
          </w:p>
        </w:tc>
        <w:tc>
          <w:tcPr>
            <w:tcW w:w="302" w:type="pct"/>
            <w:noWrap/>
            <w:hideMark/>
          </w:tcPr>
          <w:p w14:paraId="2BD384DE" w14:textId="22F27738" w:rsidR="007B7EED" w:rsidRPr="00D51D8D" w:rsidRDefault="007B7EED" w:rsidP="007B7EED">
            <w:pPr>
              <w:spacing w:after="0" w:line="240" w:lineRule="auto"/>
              <w:jc w:val="center"/>
              <w:rPr>
                <w:rFonts w:asciiTheme="majorHAnsi" w:eastAsia="Times New Roman" w:hAnsiTheme="majorHAnsi" w:cs="Times New Roman"/>
                <w:b/>
                <w:bCs/>
                <w:color w:val="000000"/>
                <w:sz w:val="14"/>
                <w:szCs w:val="14"/>
                <w:lang w:eastAsia="en-AU"/>
              </w:rPr>
            </w:pPr>
            <w:r w:rsidRPr="00D51D8D">
              <w:rPr>
                <w:rFonts w:asciiTheme="majorHAnsi" w:hAnsiTheme="majorHAnsi"/>
                <w:b/>
                <w:sz w:val="14"/>
                <w:szCs w:val="14"/>
              </w:rPr>
              <w:t xml:space="preserve"> 6,144 </w:t>
            </w:r>
          </w:p>
        </w:tc>
        <w:tc>
          <w:tcPr>
            <w:tcW w:w="307" w:type="pct"/>
            <w:noWrap/>
            <w:hideMark/>
          </w:tcPr>
          <w:p w14:paraId="6C9D0BBE" w14:textId="4E4EF5E6" w:rsidR="007B7EED" w:rsidRPr="00D51D8D" w:rsidRDefault="007B7EED" w:rsidP="007B7EED">
            <w:pPr>
              <w:spacing w:after="0" w:line="240" w:lineRule="auto"/>
              <w:jc w:val="center"/>
              <w:rPr>
                <w:rFonts w:asciiTheme="majorHAnsi" w:eastAsia="Times New Roman" w:hAnsiTheme="majorHAnsi" w:cs="Times New Roman"/>
                <w:b/>
                <w:bCs/>
                <w:color w:val="000000"/>
                <w:sz w:val="14"/>
                <w:szCs w:val="14"/>
                <w:lang w:eastAsia="en-AU"/>
              </w:rPr>
            </w:pPr>
            <w:r w:rsidRPr="00D51D8D">
              <w:rPr>
                <w:rFonts w:asciiTheme="majorHAnsi" w:hAnsiTheme="majorHAnsi"/>
                <w:b/>
                <w:sz w:val="14"/>
                <w:szCs w:val="14"/>
              </w:rPr>
              <w:t xml:space="preserve"> 6,282 </w:t>
            </w:r>
          </w:p>
        </w:tc>
      </w:tr>
      <w:tr w:rsidR="00D51D8D" w:rsidRPr="00D51D8D" w14:paraId="3F7E80D9" w14:textId="77777777" w:rsidTr="001419A0">
        <w:trPr>
          <w:trHeight w:val="139"/>
        </w:trPr>
        <w:tc>
          <w:tcPr>
            <w:tcW w:w="1084" w:type="pct"/>
            <w:noWrap/>
            <w:hideMark/>
          </w:tcPr>
          <w:p w14:paraId="0B501FDD" w14:textId="77777777" w:rsidR="007B7EED" w:rsidRPr="00D51D8D" w:rsidRDefault="007B7EED" w:rsidP="00286786">
            <w:pPr>
              <w:spacing w:after="0" w:line="240" w:lineRule="auto"/>
              <w:ind w:left="142" w:right="640"/>
              <w:rPr>
                <w:rFonts w:asciiTheme="majorHAnsi" w:eastAsia="Times New Roman" w:hAnsiTheme="majorHAnsi" w:cs="Times New Roman"/>
                <w:color w:val="000000"/>
                <w:sz w:val="14"/>
                <w:szCs w:val="14"/>
                <w:lang w:eastAsia="en-AU"/>
              </w:rPr>
            </w:pPr>
            <w:r w:rsidRPr="00D51D8D">
              <w:rPr>
                <w:rFonts w:asciiTheme="majorHAnsi" w:eastAsia="Times New Roman" w:hAnsiTheme="majorHAnsi" w:cs="Times New Roman"/>
                <w:color w:val="000000"/>
                <w:sz w:val="14"/>
                <w:szCs w:val="14"/>
                <w:lang w:eastAsia="en-AU"/>
              </w:rPr>
              <w:t>Residential Accommodation</w:t>
            </w:r>
          </w:p>
        </w:tc>
        <w:tc>
          <w:tcPr>
            <w:tcW w:w="289" w:type="pct"/>
            <w:noWrap/>
            <w:hideMark/>
          </w:tcPr>
          <w:p w14:paraId="1BE30DCC" w14:textId="16A436AA" w:rsidR="007B7EED" w:rsidRPr="00D51D8D" w:rsidRDefault="007B7EED" w:rsidP="007B7EED">
            <w:pPr>
              <w:spacing w:after="0" w:line="240" w:lineRule="auto"/>
              <w:jc w:val="center"/>
              <w:rPr>
                <w:rFonts w:asciiTheme="majorHAnsi" w:eastAsia="Times New Roman" w:hAnsiTheme="majorHAnsi" w:cs="Times New Roman"/>
                <w:color w:val="000000" w:themeColor="text1"/>
                <w:sz w:val="14"/>
                <w:szCs w:val="14"/>
                <w:lang w:eastAsia="en-AU"/>
              </w:rPr>
            </w:pPr>
            <w:r w:rsidRPr="00D51D8D">
              <w:rPr>
                <w:rFonts w:asciiTheme="majorHAnsi" w:hAnsiTheme="majorHAnsi"/>
                <w:sz w:val="14"/>
                <w:szCs w:val="14"/>
              </w:rPr>
              <w:t xml:space="preserve"> 1,517 </w:t>
            </w:r>
          </w:p>
        </w:tc>
        <w:tc>
          <w:tcPr>
            <w:tcW w:w="303" w:type="pct"/>
            <w:noWrap/>
            <w:hideMark/>
          </w:tcPr>
          <w:p w14:paraId="7094FA89" w14:textId="5D9DF23C"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1,555 </w:t>
            </w:r>
          </w:p>
        </w:tc>
        <w:tc>
          <w:tcPr>
            <w:tcW w:w="301" w:type="pct"/>
            <w:noWrap/>
            <w:hideMark/>
          </w:tcPr>
          <w:p w14:paraId="1E5C5926" w14:textId="5DE456C5"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1,594 </w:t>
            </w:r>
          </w:p>
        </w:tc>
        <w:tc>
          <w:tcPr>
            <w:tcW w:w="301" w:type="pct"/>
            <w:noWrap/>
            <w:hideMark/>
          </w:tcPr>
          <w:p w14:paraId="57D4D88D" w14:textId="3A4945FA"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1,634 </w:t>
            </w:r>
          </w:p>
        </w:tc>
        <w:tc>
          <w:tcPr>
            <w:tcW w:w="302" w:type="pct"/>
            <w:noWrap/>
            <w:hideMark/>
          </w:tcPr>
          <w:p w14:paraId="1B847995" w14:textId="4C6BEF0E"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1,675 </w:t>
            </w:r>
          </w:p>
        </w:tc>
        <w:tc>
          <w:tcPr>
            <w:tcW w:w="302" w:type="pct"/>
            <w:noWrap/>
            <w:hideMark/>
          </w:tcPr>
          <w:p w14:paraId="4439133C" w14:textId="29DE39B6"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1,717 </w:t>
            </w:r>
          </w:p>
        </w:tc>
        <w:tc>
          <w:tcPr>
            <w:tcW w:w="302" w:type="pct"/>
            <w:noWrap/>
            <w:hideMark/>
          </w:tcPr>
          <w:p w14:paraId="5CA3B0EC" w14:textId="5EFAE5B5"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1,760 </w:t>
            </w:r>
          </w:p>
        </w:tc>
        <w:tc>
          <w:tcPr>
            <w:tcW w:w="302" w:type="pct"/>
            <w:noWrap/>
            <w:hideMark/>
          </w:tcPr>
          <w:p w14:paraId="0EC73C8F" w14:textId="12C1A2F8"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1,804 </w:t>
            </w:r>
          </w:p>
        </w:tc>
        <w:tc>
          <w:tcPr>
            <w:tcW w:w="302" w:type="pct"/>
            <w:noWrap/>
            <w:hideMark/>
          </w:tcPr>
          <w:p w14:paraId="0C6ADFDE" w14:textId="7059C614"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1,850 </w:t>
            </w:r>
          </w:p>
        </w:tc>
        <w:tc>
          <w:tcPr>
            <w:tcW w:w="302" w:type="pct"/>
            <w:noWrap/>
            <w:hideMark/>
          </w:tcPr>
          <w:p w14:paraId="7B1AF7AD" w14:textId="05705D6B"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1,896 </w:t>
            </w:r>
          </w:p>
        </w:tc>
        <w:tc>
          <w:tcPr>
            <w:tcW w:w="302" w:type="pct"/>
            <w:noWrap/>
            <w:hideMark/>
          </w:tcPr>
          <w:p w14:paraId="549C923F" w14:textId="56938AA6"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1,944 </w:t>
            </w:r>
          </w:p>
        </w:tc>
        <w:tc>
          <w:tcPr>
            <w:tcW w:w="302" w:type="pct"/>
            <w:noWrap/>
            <w:hideMark/>
          </w:tcPr>
          <w:p w14:paraId="15A35208" w14:textId="6E7B24D8"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1,993 </w:t>
            </w:r>
          </w:p>
        </w:tc>
        <w:tc>
          <w:tcPr>
            <w:tcW w:w="307" w:type="pct"/>
            <w:noWrap/>
            <w:hideMark/>
          </w:tcPr>
          <w:p w14:paraId="358EB9E6" w14:textId="37A8A6F6"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2,043 </w:t>
            </w:r>
          </w:p>
        </w:tc>
      </w:tr>
      <w:tr w:rsidR="00D51D8D" w:rsidRPr="00D51D8D" w14:paraId="0027795D" w14:textId="77777777" w:rsidTr="001419A0">
        <w:trPr>
          <w:trHeight w:val="139"/>
        </w:trPr>
        <w:tc>
          <w:tcPr>
            <w:tcW w:w="1084" w:type="pct"/>
            <w:noWrap/>
            <w:hideMark/>
          </w:tcPr>
          <w:p w14:paraId="7321EBEE" w14:textId="5DB4BD78" w:rsidR="007B7EED" w:rsidRPr="00D51D8D" w:rsidRDefault="007B7EED" w:rsidP="00286786">
            <w:pPr>
              <w:spacing w:after="0" w:line="240" w:lineRule="auto"/>
              <w:ind w:left="142" w:right="640"/>
              <w:rPr>
                <w:rFonts w:asciiTheme="majorHAnsi" w:eastAsia="Times New Roman" w:hAnsiTheme="majorHAnsi" w:cs="Times New Roman"/>
                <w:color w:val="000000"/>
                <w:sz w:val="14"/>
                <w:szCs w:val="14"/>
                <w:lang w:eastAsia="en-AU"/>
              </w:rPr>
            </w:pPr>
            <w:r w:rsidRPr="00D51D8D">
              <w:rPr>
                <w:rFonts w:asciiTheme="majorHAnsi" w:eastAsia="Times New Roman" w:hAnsiTheme="majorHAnsi" w:cs="Times New Roman"/>
                <w:color w:val="000000"/>
                <w:sz w:val="14"/>
                <w:szCs w:val="14"/>
                <w:lang w:eastAsia="en-AU"/>
              </w:rPr>
              <w:t>Hotels &amp;</w:t>
            </w:r>
            <w:r w:rsidR="005620A8">
              <w:rPr>
                <w:rFonts w:asciiTheme="majorHAnsi" w:eastAsia="Times New Roman" w:hAnsiTheme="majorHAnsi" w:cs="Times New Roman"/>
                <w:color w:val="000000"/>
                <w:sz w:val="14"/>
                <w:szCs w:val="14"/>
                <w:lang w:eastAsia="en-AU"/>
              </w:rPr>
              <w:t xml:space="preserve"> </w:t>
            </w:r>
            <w:r w:rsidR="00612EA8">
              <w:rPr>
                <w:rFonts w:asciiTheme="majorHAnsi" w:eastAsia="Times New Roman" w:hAnsiTheme="majorHAnsi" w:cs="Times New Roman"/>
                <w:color w:val="000000"/>
                <w:sz w:val="14"/>
                <w:szCs w:val="14"/>
                <w:lang w:eastAsia="en-AU"/>
              </w:rPr>
              <w:t>M</w:t>
            </w:r>
            <w:r w:rsidRPr="00D51D8D">
              <w:rPr>
                <w:rFonts w:asciiTheme="majorHAnsi" w:eastAsia="Times New Roman" w:hAnsiTheme="majorHAnsi" w:cs="Times New Roman"/>
                <w:color w:val="000000"/>
                <w:sz w:val="14"/>
                <w:szCs w:val="14"/>
                <w:lang w:eastAsia="en-AU"/>
              </w:rPr>
              <w:t xml:space="preserve">otels </w:t>
            </w:r>
          </w:p>
        </w:tc>
        <w:tc>
          <w:tcPr>
            <w:tcW w:w="289" w:type="pct"/>
            <w:noWrap/>
            <w:hideMark/>
          </w:tcPr>
          <w:p w14:paraId="77650743" w14:textId="74B17943" w:rsidR="007B7EED" w:rsidRPr="00D51D8D" w:rsidRDefault="007B7EED" w:rsidP="007B7EED">
            <w:pPr>
              <w:spacing w:after="0" w:line="240" w:lineRule="auto"/>
              <w:jc w:val="center"/>
              <w:rPr>
                <w:rFonts w:asciiTheme="majorHAnsi" w:eastAsia="Times New Roman" w:hAnsiTheme="majorHAnsi" w:cs="Times New Roman"/>
                <w:color w:val="000000" w:themeColor="text1"/>
                <w:sz w:val="14"/>
                <w:szCs w:val="14"/>
                <w:lang w:eastAsia="en-AU"/>
              </w:rPr>
            </w:pPr>
            <w:r w:rsidRPr="00D51D8D">
              <w:rPr>
                <w:rFonts w:asciiTheme="majorHAnsi" w:hAnsiTheme="majorHAnsi"/>
                <w:sz w:val="14"/>
                <w:szCs w:val="14"/>
              </w:rPr>
              <w:t xml:space="preserve"> 1,309 </w:t>
            </w:r>
          </w:p>
        </w:tc>
        <w:tc>
          <w:tcPr>
            <w:tcW w:w="303" w:type="pct"/>
            <w:noWrap/>
            <w:hideMark/>
          </w:tcPr>
          <w:p w14:paraId="79D494A4" w14:textId="1D400C2E"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1,332 </w:t>
            </w:r>
          </w:p>
        </w:tc>
        <w:tc>
          <w:tcPr>
            <w:tcW w:w="301" w:type="pct"/>
            <w:noWrap/>
            <w:hideMark/>
          </w:tcPr>
          <w:p w14:paraId="6B5748CB" w14:textId="12629383"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1,355 </w:t>
            </w:r>
          </w:p>
        </w:tc>
        <w:tc>
          <w:tcPr>
            <w:tcW w:w="301" w:type="pct"/>
            <w:noWrap/>
            <w:hideMark/>
          </w:tcPr>
          <w:p w14:paraId="0E907F46" w14:textId="26138171"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1,379 </w:t>
            </w:r>
          </w:p>
        </w:tc>
        <w:tc>
          <w:tcPr>
            <w:tcW w:w="302" w:type="pct"/>
            <w:noWrap/>
            <w:hideMark/>
          </w:tcPr>
          <w:p w14:paraId="586F46B8" w14:textId="6B468D1C"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1,403 </w:t>
            </w:r>
          </w:p>
        </w:tc>
        <w:tc>
          <w:tcPr>
            <w:tcW w:w="302" w:type="pct"/>
            <w:noWrap/>
            <w:hideMark/>
          </w:tcPr>
          <w:p w14:paraId="3FF8D3B7" w14:textId="7F5889A8"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1,428 </w:t>
            </w:r>
          </w:p>
        </w:tc>
        <w:tc>
          <w:tcPr>
            <w:tcW w:w="302" w:type="pct"/>
            <w:noWrap/>
            <w:hideMark/>
          </w:tcPr>
          <w:p w14:paraId="47DEE946" w14:textId="3558C1F4"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1,453 </w:t>
            </w:r>
          </w:p>
        </w:tc>
        <w:tc>
          <w:tcPr>
            <w:tcW w:w="302" w:type="pct"/>
            <w:noWrap/>
            <w:hideMark/>
          </w:tcPr>
          <w:p w14:paraId="4DA7FB72" w14:textId="383816AA"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1,479 </w:t>
            </w:r>
          </w:p>
        </w:tc>
        <w:tc>
          <w:tcPr>
            <w:tcW w:w="302" w:type="pct"/>
            <w:noWrap/>
            <w:hideMark/>
          </w:tcPr>
          <w:p w14:paraId="40661629" w14:textId="1C75C59B"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1,504 </w:t>
            </w:r>
          </w:p>
        </w:tc>
        <w:tc>
          <w:tcPr>
            <w:tcW w:w="302" w:type="pct"/>
            <w:noWrap/>
            <w:hideMark/>
          </w:tcPr>
          <w:p w14:paraId="276D0341" w14:textId="128DF3D9"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1,531 </w:t>
            </w:r>
          </w:p>
        </w:tc>
        <w:tc>
          <w:tcPr>
            <w:tcW w:w="302" w:type="pct"/>
            <w:noWrap/>
            <w:hideMark/>
          </w:tcPr>
          <w:p w14:paraId="1C229EB8" w14:textId="5F48A1FC"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1,558 </w:t>
            </w:r>
          </w:p>
        </w:tc>
        <w:tc>
          <w:tcPr>
            <w:tcW w:w="302" w:type="pct"/>
            <w:noWrap/>
            <w:hideMark/>
          </w:tcPr>
          <w:p w14:paraId="772FC4F8" w14:textId="113C70C6"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1,585 </w:t>
            </w:r>
          </w:p>
        </w:tc>
        <w:tc>
          <w:tcPr>
            <w:tcW w:w="307" w:type="pct"/>
            <w:noWrap/>
            <w:hideMark/>
          </w:tcPr>
          <w:p w14:paraId="7EA44CE9" w14:textId="7AFE231B"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1,613 </w:t>
            </w:r>
          </w:p>
        </w:tc>
      </w:tr>
      <w:tr w:rsidR="00D51D8D" w:rsidRPr="00D51D8D" w14:paraId="21CD8FFD" w14:textId="77777777" w:rsidTr="001419A0">
        <w:trPr>
          <w:trHeight w:val="139"/>
        </w:trPr>
        <w:tc>
          <w:tcPr>
            <w:tcW w:w="1084" w:type="pct"/>
            <w:noWrap/>
            <w:hideMark/>
          </w:tcPr>
          <w:p w14:paraId="05679BDD" w14:textId="77777777" w:rsidR="007B7EED" w:rsidRPr="00D51D8D" w:rsidRDefault="007B7EED" w:rsidP="00286786">
            <w:pPr>
              <w:spacing w:after="0" w:line="240" w:lineRule="auto"/>
              <w:ind w:left="142" w:right="640"/>
              <w:rPr>
                <w:rFonts w:asciiTheme="majorHAnsi" w:eastAsia="Times New Roman" w:hAnsiTheme="majorHAnsi" w:cs="Times New Roman"/>
                <w:color w:val="000000"/>
                <w:sz w:val="14"/>
                <w:szCs w:val="14"/>
                <w:lang w:eastAsia="en-AU"/>
              </w:rPr>
            </w:pPr>
            <w:r w:rsidRPr="00D51D8D">
              <w:rPr>
                <w:rFonts w:asciiTheme="majorHAnsi" w:eastAsia="Times New Roman" w:hAnsiTheme="majorHAnsi" w:cs="Times New Roman"/>
                <w:color w:val="000000"/>
                <w:sz w:val="14"/>
                <w:szCs w:val="14"/>
                <w:lang w:eastAsia="en-AU"/>
              </w:rPr>
              <w:t>Hostels</w:t>
            </w:r>
          </w:p>
        </w:tc>
        <w:tc>
          <w:tcPr>
            <w:tcW w:w="289" w:type="pct"/>
            <w:noWrap/>
            <w:hideMark/>
          </w:tcPr>
          <w:p w14:paraId="72D30DCD" w14:textId="7F937B73" w:rsidR="007B7EED" w:rsidRPr="00D51D8D" w:rsidRDefault="007B7EED" w:rsidP="007B7EED">
            <w:pPr>
              <w:spacing w:after="0" w:line="240" w:lineRule="auto"/>
              <w:jc w:val="center"/>
              <w:rPr>
                <w:rFonts w:asciiTheme="majorHAnsi" w:eastAsia="Times New Roman" w:hAnsiTheme="majorHAnsi" w:cs="Times New Roman"/>
                <w:color w:val="000000" w:themeColor="text1"/>
                <w:sz w:val="14"/>
                <w:szCs w:val="14"/>
                <w:lang w:eastAsia="en-AU"/>
              </w:rPr>
            </w:pPr>
            <w:r w:rsidRPr="00D51D8D">
              <w:rPr>
                <w:rFonts w:asciiTheme="majorHAnsi" w:hAnsiTheme="majorHAnsi"/>
                <w:sz w:val="14"/>
                <w:szCs w:val="14"/>
              </w:rPr>
              <w:t xml:space="preserve"> 207 </w:t>
            </w:r>
          </w:p>
        </w:tc>
        <w:tc>
          <w:tcPr>
            <w:tcW w:w="303" w:type="pct"/>
            <w:noWrap/>
            <w:hideMark/>
          </w:tcPr>
          <w:p w14:paraId="25C5799B" w14:textId="295F3E0E"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209 </w:t>
            </w:r>
          </w:p>
        </w:tc>
        <w:tc>
          <w:tcPr>
            <w:tcW w:w="301" w:type="pct"/>
            <w:noWrap/>
            <w:hideMark/>
          </w:tcPr>
          <w:p w14:paraId="23D6F3DF" w14:textId="312726AD"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211 </w:t>
            </w:r>
          </w:p>
        </w:tc>
        <w:tc>
          <w:tcPr>
            <w:tcW w:w="301" w:type="pct"/>
            <w:noWrap/>
            <w:hideMark/>
          </w:tcPr>
          <w:p w14:paraId="08566D35" w14:textId="0E21E704"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213 </w:t>
            </w:r>
          </w:p>
        </w:tc>
        <w:tc>
          <w:tcPr>
            <w:tcW w:w="302" w:type="pct"/>
            <w:noWrap/>
            <w:hideMark/>
          </w:tcPr>
          <w:p w14:paraId="76A850C2" w14:textId="6198F594"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215 </w:t>
            </w:r>
          </w:p>
        </w:tc>
        <w:tc>
          <w:tcPr>
            <w:tcW w:w="302" w:type="pct"/>
            <w:noWrap/>
            <w:hideMark/>
          </w:tcPr>
          <w:p w14:paraId="322F1FC2" w14:textId="06E605B0"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217 </w:t>
            </w:r>
          </w:p>
        </w:tc>
        <w:tc>
          <w:tcPr>
            <w:tcW w:w="302" w:type="pct"/>
            <w:noWrap/>
            <w:hideMark/>
          </w:tcPr>
          <w:p w14:paraId="54E223ED" w14:textId="39B9A738"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220 </w:t>
            </w:r>
          </w:p>
        </w:tc>
        <w:tc>
          <w:tcPr>
            <w:tcW w:w="302" w:type="pct"/>
            <w:noWrap/>
            <w:hideMark/>
          </w:tcPr>
          <w:p w14:paraId="02891BC2" w14:textId="13BB5102"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222 </w:t>
            </w:r>
          </w:p>
        </w:tc>
        <w:tc>
          <w:tcPr>
            <w:tcW w:w="302" w:type="pct"/>
            <w:noWrap/>
            <w:hideMark/>
          </w:tcPr>
          <w:p w14:paraId="60FAA117" w14:textId="187E8998"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224 </w:t>
            </w:r>
          </w:p>
        </w:tc>
        <w:tc>
          <w:tcPr>
            <w:tcW w:w="302" w:type="pct"/>
            <w:noWrap/>
            <w:hideMark/>
          </w:tcPr>
          <w:p w14:paraId="0A02D15E" w14:textId="1B51828F"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226 </w:t>
            </w:r>
          </w:p>
        </w:tc>
        <w:tc>
          <w:tcPr>
            <w:tcW w:w="302" w:type="pct"/>
            <w:noWrap/>
            <w:hideMark/>
          </w:tcPr>
          <w:p w14:paraId="2926BDBE" w14:textId="27CF1A56"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228 </w:t>
            </w:r>
          </w:p>
        </w:tc>
        <w:tc>
          <w:tcPr>
            <w:tcW w:w="302" w:type="pct"/>
            <w:noWrap/>
            <w:hideMark/>
          </w:tcPr>
          <w:p w14:paraId="4E49FD83" w14:textId="5208D887"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231 </w:t>
            </w:r>
          </w:p>
        </w:tc>
        <w:tc>
          <w:tcPr>
            <w:tcW w:w="307" w:type="pct"/>
            <w:noWrap/>
            <w:hideMark/>
          </w:tcPr>
          <w:p w14:paraId="078F5C1E" w14:textId="767518B4"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233 </w:t>
            </w:r>
          </w:p>
        </w:tc>
      </w:tr>
      <w:tr w:rsidR="00D51D8D" w:rsidRPr="00D51D8D" w14:paraId="25D76D45" w14:textId="77777777" w:rsidTr="001419A0">
        <w:trPr>
          <w:trHeight w:val="139"/>
        </w:trPr>
        <w:tc>
          <w:tcPr>
            <w:tcW w:w="1084" w:type="pct"/>
            <w:noWrap/>
            <w:hideMark/>
          </w:tcPr>
          <w:p w14:paraId="6619B360" w14:textId="77777777" w:rsidR="007B7EED" w:rsidRPr="00D51D8D" w:rsidRDefault="007B7EED" w:rsidP="00286786">
            <w:pPr>
              <w:spacing w:after="0" w:line="240" w:lineRule="auto"/>
              <w:ind w:left="142" w:right="640"/>
              <w:rPr>
                <w:rFonts w:asciiTheme="majorHAnsi" w:eastAsia="Times New Roman" w:hAnsiTheme="majorHAnsi" w:cs="Times New Roman"/>
                <w:color w:val="000000"/>
                <w:sz w:val="14"/>
                <w:szCs w:val="14"/>
                <w:lang w:eastAsia="en-AU"/>
              </w:rPr>
            </w:pPr>
            <w:r w:rsidRPr="00D51D8D">
              <w:rPr>
                <w:rFonts w:asciiTheme="majorHAnsi" w:eastAsia="Times New Roman" w:hAnsiTheme="majorHAnsi" w:cs="Times New Roman"/>
                <w:color w:val="000000"/>
                <w:sz w:val="14"/>
                <w:szCs w:val="14"/>
                <w:lang w:eastAsia="en-AU"/>
              </w:rPr>
              <w:t>Student Dormitories</w:t>
            </w:r>
          </w:p>
        </w:tc>
        <w:tc>
          <w:tcPr>
            <w:tcW w:w="289" w:type="pct"/>
            <w:noWrap/>
            <w:hideMark/>
          </w:tcPr>
          <w:p w14:paraId="03035B3F" w14:textId="778E3DB3" w:rsidR="007B7EED" w:rsidRPr="00D51D8D" w:rsidRDefault="007B7EED" w:rsidP="007B7EED">
            <w:pPr>
              <w:spacing w:after="0" w:line="240" w:lineRule="auto"/>
              <w:jc w:val="center"/>
              <w:rPr>
                <w:rFonts w:asciiTheme="majorHAnsi" w:eastAsia="Times New Roman" w:hAnsiTheme="majorHAnsi" w:cs="Times New Roman"/>
                <w:color w:val="000000" w:themeColor="text1"/>
                <w:sz w:val="14"/>
                <w:szCs w:val="14"/>
                <w:lang w:eastAsia="en-AU"/>
              </w:rPr>
            </w:pPr>
            <w:r w:rsidRPr="00D51D8D">
              <w:rPr>
                <w:rFonts w:asciiTheme="majorHAnsi" w:hAnsiTheme="majorHAnsi"/>
                <w:sz w:val="14"/>
                <w:szCs w:val="14"/>
              </w:rPr>
              <w:t xml:space="preserve"> 170 </w:t>
            </w:r>
          </w:p>
        </w:tc>
        <w:tc>
          <w:tcPr>
            <w:tcW w:w="303" w:type="pct"/>
            <w:noWrap/>
            <w:hideMark/>
          </w:tcPr>
          <w:p w14:paraId="32D02C8C" w14:textId="6A9FA17A"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174 </w:t>
            </w:r>
          </w:p>
        </w:tc>
        <w:tc>
          <w:tcPr>
            <w:tcW w:w="301" w:type="pct"/>
            <w:noWrap/>
            <w:hideMark/>
          </w:tcPr>
          <w:p w14:paraId="7749B43A" w14:textId="466CA4E0"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178 </w:t>
            </w:r>
          </w:p>
        </w:tc>
        <w:tc>
          <w:tcPr>
            <w:tcW w:w="301" w:type="pct"/>
            <w:noWrap/>
            <w:hideMark/>
          </w:tcPr>
          <w:p w14:paraId="6193FCD8" w14:textId="3A0F7FD8"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182 </w:t>
            </w:r>
          </w:p>
        </w:tc>
        <w:tc>
          <w:tcPr>
            <w:tcW w:w="302" w:type="pct"/>
            <w:noWrap/>
            <w:hideMark/>
          </w:tcPr>
          <w:p w14:paraId="0557DA57" w14:textId="78733AFD"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186 </w:t>
            </w:r>
          </w:p>
        </w:tc>
        <w:tc>
          <w:tcPr>
            <w:tcW w:w="302" w:type="pct"/>
            <w:noWrap/>
            <w:hideMark/>
          </w:tcPr>
          <w:p w14:paraId="165FF65A" w14:textId="7596B647"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190 </w:t>
            </w:r>
          </w:p>
        </w:tc>
        <w:tc>
          <w:tcPr>
            <w:tcW w:w="302" w:type="pct"/>
            <w:noWrap/>
            <w:hideMark/>
          </w:tcPr>
          <w:p w14:paraId="7A7A9DC1" w14:textId="57AB1A00"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194 </w:t>
            </w:r>
          </w:p>
        </w:tc>
        <w:tc>
          <w:tcPr>
            <w:tcW w:w="302" w:type="pct"/>
            <w:noWrap/>
            <w:hideMark/>
          </w:tcPr>
          <w:p w14:paraId="4D02E4C2" w14:textId="68B63950"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198 </w:t>
            </w:r>
          </w:p>
        </w:tc>
        <w:tc>
          <w:tcPr>
            <w:tcW w:w="302" w:type="pct"/>
            <w:noWrap/>
            <w:hideMark/>
          </w:tcPr>
          <w:p w14:paraId="030EB2D5" w14:textId="6C5FA936"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203 </w:t>
            </w:r>
          </w:p>
        </w:tc>
        <w:tc>
          <w:tcPr>
            <w:tcW w:w="302" w:type="pct"/>
            <w:noWrap/>
            <w:hideMark/>
          </w:tcPr>
          <w:p w14:paraId="65EF4C60" w14:textId="60CCF9DC"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207 </w:t>
            </w:r>
          </w:p>
        </w:tc>
        <w:tc>
          <w:tcPr>
            <w:tcW w:w="302" w:type="pct"/>
            <w:noWrap/>
            <w:hideMark/>
          </w:tcPr>
          <w:p w14:paraId="2851E528" w14:textId="6648799A"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212 </w:t>
            </w:r>
          </w:p>
        </w:tc>
        <w:tc>
          <w:tcPr>
            <w:tcW w:w="302" w:type="pct"/>
            <w:noWrap/>
            <w:hideMark/>
          </w:tcPr>
          <w:p w14:paraId="68D0F7AF" w14:textId="6570D5DE"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217 </w:t>
            </w:r>
          </w:p>
        </w:tc>
        <w:tc>
          <w:tcPr>
            <w:tcW w:w="307" w:type="pct"/>
            <w:noWrap/>
            <w:hideMark/>
          </w:tcPr>
          <w:p w14:paraId="33BAF1B5" w14:textId="3529222C"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221 </w:t>
            </w:r>
          </w:p>
        </w:tc>
      </w:tr>
      <w:tr w:rsidR="00D51D8D" w:rsidRPr="00D51D8D" w14:paraId="68BD02BC" w14:textId="77777777" w:rsidTr="001419A0">
        <w:trPr>
          <w:trHeight w:val="139"/>
        </w:trPr>
        <w:tc>
          <w:tcPr>
            <w:tcW w:w="1084" w:type="pct"/>
            <w:noWrap/>
            <w:hideMark/>
          </w:tcPr>
          <w:p w14:paraId="5487B29A" w14:textId="77777777" w:rsidR="007B7EED" w:rsidRPr="00D51D8D" w:rsidRDefault="007B7EED" w:rsidP="00286786">
            <w:pPr>
              <w:spacing w:after="0" w:line="240" w:lineRule="auto"/>
              <w:ind w:left="142" w:right="640"/>
              <w:rPr>
                <w:rFonts w:asciiTheme="majorHAnsi" w:eastAsia="Times New Roman" w:hAnsiTheme="majorHAnsi" w:cs="Times New Roman"/>
                <w:color w:val="000000"/>
                <w:sz w:val="14"/>
                <w:szCs w:val="14"/>
                <w:lang w:eastAsia="en-AU"/>
              </w:rPr>
            </w:pPr>
            <w:r w:rsidRPr="00D51D8D">
              <w:rPr>
                <w:rFonts w:asciiTheme="majorHAnsi" w:eastAsia="Times New Roman" w:hAnsiTheme="majorHAnsi" w:cs="Times New Roman"/>
                <w:color w:val="000000"/>
                <w:sz w:val="14"/>
                <w:szCs w:val="14"/>
                <w:lang w:eastAsia="en-AU"/>
              </w:rPr>
              <w:t>Holiday Camps</w:t>
            </w:r>
          </w:p>
        </w:tc>
        <w:tc>
          <w:tcPr>
            <w:tcW w:w="289" w:type="pct"/>
            <w:noWrap/>
            <w:hideMark/>
          </w:tcPr>
          <w:p w14:paraId="74DBA32C" w14:textId="3F9D252C" w:rsidR="007B7EED" w:rsidRPr="00D51D8D" w:rsidRDefault="007B7EED" w:rsidP="007B7EED">
            <w:pPr>
              <w:spacing w:after="0" w:line="240" w:lineRule="auto"/>
              <w:jc w:val="center"/>
              <w:rPr>
                <w:rFonts w:asciiTheme="majorHAnsi" w:eastAsia="Times New Roman" w:hAnsiTheme="majorHAnsi" w:cs="Times New Roman"/>
                <w:color w:val="000000" w:themeColor="text1"/>
                <w:sz w:val="14"/>
                <w:szCs w:val="14"/>
                <w:lang w:eastAsia="en-AU"/>
              </w:rPr>
            </w:pPr>
            <w:r w:rsidRPr="00D51D8D">
              <w:rPr>
                <w:rFonts w:asciiTheme="majorHAnsi" w:hAnsiTheme="majorHAnsi"/>
                <w:sz w:val="14"/>
                <w:szCs w:val="14"/>
              </w:rPr>
              <w:t xml:space="preserve"> 315 </w:t>
            </w:r>
          </w:p>
        </w:tc>
        <w:tc>
          <w:tcPr>
            <w:tcW w:w="303" w:type="pct"/>
            <w:noWrap/>
            <w:hideMark/>
          </w:tcPr>
          <w:p w14:paraId="290FB809" w14:textId="7F4B8F83"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315 </w:t>
            </w:r>
          </w:p>
        </w:tc>
        <w:tc>
          <w:tcPr>
            <w:tcW w:w="301" w:type="pct"/>
            <w:noWrap/>
            <w:hideMark/>
          </w:tcPr>
          <w:p w14:paraId="5B13FE38" w14:textId="370C015D"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315 </w:t>
            </w:r>
          </w:p>
        </w:tc>
        <w:tc>
          <w:tcPr>
            <w:tcW w:w="301" w:type="pct"/>
            <w:noWrap/>
            <w:hideMark/>
          </w:tcPr>
          <w:p w14:paraId="290C9917" w14:textId="3F1F597B"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315 </w:t>
            </w:r>
          </w:p>
        </w:tc>
        <w:tc>
          <w:tcPr>
            <w:tcW w:w="302" w:type="pct"/>
            <w:noWrap/>
            <w:hideMark/>
          </w:tcPr>
          <w:p w14:paraId="6359CCAA" w14:textId="37433B0C"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315 </w:t>
            </w:r>
          </w:p>
        </w:tc>
        <w:tc>
          <w:tcPr>
            <w:tcW w:w="302" w:type="pct"/>
            <w:noWrap/>
            <w:hideMark/>
          </w:tcPr>
          <w:p w14:paraId="070D7046" w14:textId="28182F0E"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315 </w:t>
            </w:r>
          </w:p>
        </w:tc>
        <w:tc>
          <w:tcPr>
            <w:tcW w:w="302" w:type="pct"/>
            <w:noWrap/>
            <w:hideMark/>
          </w:tcPr>
          <w:p w14:paraId="2998F117" w14:textId="09BF3A60"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315 </w:t>
            </w:r>
          </w:p>
        </w:tc>
        <w:tc>
          <w:tcPr>
            <w:tcW w:w="302" w:type="pct"/>
            <w:noWrap/>
            <w:hideMark/>
          </w:tcPr>
          <w:p w14:paraId="6B65DA04" w14:textId="134E8054"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315 </w:t>
            </w:r>
          </w:p>
        </w:tc>
        <w:tc>
          <w:tcPr>
            <w:tcW w:w="302" w:type="pct"/>
            <w:noWrap/>
            <w:hideMark/>
          </w:tcPr>
          <w:p w14:paraId="3D69C36A" w14:textId="52D935BE"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315 </w:t>
            </w:r>
          </w:p>
        </w:tc>
        <w:tc>
          <w:tcPr>
            <w:tcW w:w="302" w:type="pct"/>
            <w:noWrap/>
            <w:hideMark/>
          </w:tcPr>
          <w:p w14:paraId="1D7A8C02" w14:textId="13104888"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315 </w:t>
            </w:r>
          </w:p>
        </w:tc>
        <w:tc>
          <w:tcPr>
            <w:tcW w:w="302" w:type="pct"/>
            <w:noWrap/>
            <w:hideMark/>
          </w:tcPr>
          <w:p w14:paraId="0159DBAF" w14:textId="168E1F95"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315 </w:t>
            </w:r>
          </w:p>
        </w:tc>
        <w:tc>
          <w:tcPr>
            <w:tcW w:w="302" w:type="pct"/>
            <w:noWrap/>
            <w:hideMark/>
          </w:tcPr>
          <w:p w14:paraId="6F4D6977" w14:textId="70A84837"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315 </w:t>
            </w:r>
          </w:p>
        </w:tc>
        <w:tc>
          <w:tcPr>
            <w:tcW w:w="307" w:type="pct"/>
            <w:noWrap/>
            <w:hideMark/>
          </w:tcPr>
          <w:p w14:paraId="07D3F079" w14:textId="001A43EA"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315 </w:t>
            </w:r>
          </w:p>
        </w:tc>
      </w:tr>
      <w:tr w:rsidR="00D51D8D" w:rsidRPr="00D51D8D" w14:paraId="0C2FA652" w14:textId="77777777" w:rsidTr="001419A0">
        <w:trPr>
          <w:trHeight w:val="139"/>
        </w:trPr>
        <w:tc>
          <w:tcPr>
            <w:tcW w:w="1084" w:type="pct"/>
            <w:noWrap/>
            <w:hideMark/>
          </w:tcPr>
          <w:p w14:paraId="361EC9A7" w14:textId="77777777" w:rsidR="007B7EED" w:rsidRPr="00D51D8D" w:rsidRDefault="007B7EED" w:rsidP="00286786">
            <w:pPr>
              <w:spacing w:after="0" w:line="240" w:lineRule="auto"/>
              <w:ind w:left="142" w:right="640"/>
              <w:rPr>
                <w:rFonts w:asciiTheme="majorHAnsi" w:eastAsia="Times New Roman" w:hAnsiTheme="majorHAnsi" w:cs="Times New Roman"/>
                <w:color w:val="000000"/>
                <w:sz w:val="14"/>
                <w:szCs w:val="14"/>
                <w:lang w:eastAsia="en-AU"/>
              </w:rPr>
            </w:pPr>
            <w:r w:rsidRPr="00D51D8D">
              <w:rPr>
                <w:rFonts w:asciiTheme="majorHAnsi" w:eastAsia="Times New Roman" w:hAnsiTheme="majorHAnsi" w:cs="Times New Roman"/>
                <w:color w:val="000000"/>
                <w:sz w:val="14"/>
                <w:szCs w:val="14"/>
                <w:lang w:eastAsia="en-AU"/>
              </w:rPr>
              <w:t>Rooming Houses</w:t>
            </w:r>
          </w:p>
        </w:tc>
        <w:tc>
          <w:tcPr>
            <w:tcW w:w="289" w:type="pct"/>
            <w:noWrap/>
            <w:hideMark/>
          </w:tcPr>
          <w:p w14:paraId="562ADFF6" w14:textId="64FBD12C" w:rsidR="007B7EED" w:rsidRPr="00D51D8D" w:rsidRDefault="007B7EED" w:rsidP="007B7EED">
            <w:pPr>
              <w:spacing w:after="0" w:line="240" w:lineRule="auto"/>
              <w:jc w:val="center"/>
              <w:rPr>
                <w:rFonts w:asciiTheme="majorHAnsi" w:eastAsia="Times New Roman" w:hAnsiTheme="majorHAnsi" w:cs="Times New Roman"/>
                <w:color w:val="000000" w:themeColor="text1"/>
                <w:sz w:val="14"/>
                <w:szCs w:val="14"/>
                <w:lang w:eastAsia="en-AU"/>
              </w:rPr>
            </w:pPr>
            <w:r w:rsidRPr="00D51D8D">
              <w:rPr>
                <w:rFonts w:asciiTheme="majorHAnsi" w:hAnsiTheme="majorHAnsi"/>
                <w:sz w:val="14"/>
                <w:szCs w:val="14"/>
              </w:rPr>
              <w:t xml:space="preserve"> 1,305 </w:t>
            </w:r>
          </w:p>
        </w:tc>
        <w:tc>
          <w:tcPr>
            <w:tcW w:w="303" w:type="pct"/>
            <w:noWrap/>
            <w:hideMark/>
          </w:tcPr>
          <w:p w14:paraId="45DEC778" w14:textId="3EF60CBB"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1,344 </w:t>
            </w:r>
          </w:p>
        </w:tc>
        <w:tc>
          <w:tcPr>
            <w:tcW w:w="301" w:type="pct"/>
            <w:noWrap/>
            <w:hideMark/>
          </w:tcPr>
          <w:p w14:paraId="0E971E0A" w14:textId="1622D5D8"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1,384 </w:t>
            </w:r>
          </w:p>
        </w:tc>
        <w:tc>
          <w:tcPr>
            <w:tcW w:w="301" w:type="pct"/>
            <w:noWrap/>
            <w:hideMark/>
          </w:tcPr>
          <w:p w14:paraId="56681822" w14:textId="2F294886"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1,425 </w:t>
            </w:r>
          </w:p>
        </w:tc>
        <w:tc>
          <w:tcPr>
            <w:tcW w:w="302" w:type="pct"/>
            <w:noWrap/>
            <w:hideMark/>
          </w:tcPr>
          <w:p w14:paraId="7272BA86" w14:textId="10703B59"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1,468 </w:t>
            </w:r>
          </w:p>
        </w:tc>
        <w:tc>
          <w:tcPr>
            <w:tcW w:w="302" w:type="pct"/>
            <w:noWrap/>
            <w:hideMark/>
          </w:tcPr>
          <w:p w14:paraId="366A8F48" w14:textId="1BC9762C"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1,512 </w:t>
            </w:r>
          </w:p>
        </w:tc>
        <w:tc>
          <w:tcPr>
            <w:tcW w:w="302" w:type="pct"/>
            <w:noWrap/>
            <w:hideMark/>
          </w:tcPr>
          <w:p w14:paraId="31078683" w14:textId="6843265F"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1,557 </w:t>
            </w:r>
          </w:p>
        </w:tc>
        <w:tc>
          <w:tcPr>
            <w:tcW w:w="302" w:type="pct"/>
            <w:noWrap/>
            <w:hideMark/>
          </w:tcPr>
          <w:p w14:paraId="08C022C4" w14:textId="438EBBC6"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1,603 </w:t>
            </w:r>
          </w:p>
        </w:tc>
        <w:tc>
          <w:tcPr>
            <w:tcW w:w="302" w:type="pct"/>
            <w:noWrap/>
            <w:hideMark/>
          </w:tcPr>
          <w:p w14:paraId="4E025E24" w14:textId="36ABDB92"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1,651 </w:t>
            </w:r>
          </w:p>
        </w:tc>
        <w:tc>
          <w:tcPr>
            <w:tcW w:w="302" w:type="pct"/>
            <w:noWrap/>
            <w:hideMark/>
          </w:tcPr>
          <w:p w14:paraId="4BE279F9" w14:textId="502018C1"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1,701 </w:t>
            </w:r>
          </w:p>
        </w:tc>
        <w:tc>
          <w:tcPr>
            <w:tcW w:w="302" w:type="pct"/>
            <w:noWrap/>
            <w:hideMark/>
          </w:tcPr>
          <w:p w14:paraId="4A6E18B4" w14:textId="32E52484"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1,751 </w:t>
            </w:r>
          </w:p>
        </w:tc>
        <w:tc>
          <w:tcPr>
            <w:tcW w:w="302" w:type="pct"/>
            <w:noWrap/>
            <w:hideMark/>
          </w:tcPr>
          <w:p w14:paraId="7CB683A9" w14:textId="4A100DF0"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1,804 </w:t>
            </w:r>
          </w:p>
        </w:tc>
        <w:tc>
          <w:tcPr>
            <w:tcW w:w="307" w:type="pct"/>
            <w:noWrap/>
            <w:hideMark/>
          </w:tcPr>
          <w:p w14:paraId="00E5D52C" w14:textId="6D50C83B" w:rsidR="007B7EED" w:rsidRPr="00D51D8D" w:rsidRDefault="007B7EED" w:rsidP="007B7EED">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1,858 </w:t>
            </w:r>
          </w:p>
        </w:tc>
      </w:tr>
      <w:tr w:rsidR="00A0002C" w:rsidRPr="00D51D8D" w14:paraId="411233FD" w14:textId="77777777" w:rsidTr="00E63F76">
        <w:trPr>
          <w:trHeight w:val="139"/>
        </w:trPr>
        <w:tc>
          <w:tcPr>
            <w:tcW w:w="5000" w:type="pct"/>
            <w:gridSpan w:val="14"/>
            <w:shd w:val="clear" w:color="auto" w:fill="DFF0F9" w:themeFill="accent3" w:themeFillTint="33"/>
            <w:noWrap/>
            <w:hideMark/>
          </w:tcPr>
          <w:p w14:paraId="1B0C4726" w14:textId="77777777" w:rsidR="00A0002C" w:rsidRPr="00D51D8D" w:rsidRDefault="00A0002C" w:rsidP="00FE6F9B">
            <w:pPr>
              <w:spacing w:after="0" w:line="240" w:lineRule="auto"/>
              <w:jc w:val="center"/>
              <w:rPr>
                <w:rFonts w:asciiTheme="majorHAnsi" w:eastAsia="Times New Roman" w:hAnsiTheme="majorHAnsi" w:cs="Times New Roman"/>
                <w:sz w:val="14"/>
                <w:szCs w:val="14"/>
                <w:lang w:eastAsia="en-AU"/>
              </w:rPr>
            </w:pPr>
            <w:r w:rsidRPr="00D51D8D">
              <w:rPr>
                <w:rFonts w:asciiTheme="majorHAnsi" w:eastAsia="Times New Roman" w:hAnsiTheme="majorHAnsi" w:cs="Times New Roman"/>
                <w:b/>
                <w:sz w:val="14"/>
                <w:szCs w:val="14"/>
                <w:shd w:val="clear" w:color="auto" w:fill="DFF0F9" w:themeFill="accent3" w:themeFillTint="33"/>
                <w:lang w:eastAsia="en-AU"/>
              </w:rPr>
              <w:t>Existing</w:t>
            </w:r>
            <w:r w:rsidRPr="00D51D8D">
              <w:rPr>
                <w:rFonts w:asciiTheme="majorHAnsi" w:eastAsia="Times New Roman" w:hAnsiTheme="majorHAnsi" w:cs="Times New Roman"/>
                <w:sz w:val="14"/>
                <w:szCs w:val="14"/>
                <w:lang w:eastAsia="en-AU"/>
              </w:rPr>
              <w:t xml:space="preserve"> </w:t>
            </w:r>
            <w:r w:rsidRPr="00D51D8D">
              <w:rPr>
                <w:rFonts w:asciiTheme="majorHAnsi" w:eastAsia="Times New Roman" w:hAnsiTheme="majorHAnsi" w:cs="Times New Roman"/>
                <w:b/>
                <w:bCs/>
                <w:color w:val="000000"/>
                <w:sz w:val="14"/>
                <w:szCs w:val="14"/>
                <w:lang w:eastAsia="en-AU"/>
              </w:rPr>
              <w:t>prescribed accommodation</w:t>
            </w:r>
          </w:p>
        </w:tc>
      </w:tr>
      <w:tr w:rsidR="00D51D8D" w:rsidRPr="00D51D8D" w14:paraId="0F634C4B" w14:textId="77777777" w:rsidTr="001419A0">
        <w:trPr>
          <w:trHeight w:val="139"/>
        </w:trPr>
        <w:tc>
          <w:tcPr>
            <w:tcW w:w="1084" w:type="pct"/>
            <w:noWrap/>
            <w:hideMark/>
          </w:tcPr>
          <w:p w14:paraId="7261556C" w14:textId="77777777" w:rsidR="00590BAC" w:rsidRPr="00D51D8D" w:rsidRDefault="00590BAC" w:rsidP="00590BAC">
            <w:pPr>
              <w:spacing w:after="0" w:line="240" w:lineRule="auto"/>
              <w:rPr>
                <w:rFonts w:asciiTheme="majorHAnsi" w:eastAsia="Times New Roman" w:hAnsiTheme="majorHAnsi" w:cs="Times New Roman"/>
                <w:color w:val="000000"/>
                <w:sz w:val="14"/>
                <w:szCs w:val="14"/>
                <w:lang w:eastAsia="en-AU"/>
              </w:rPr>
            </w:pPr>
            <w:r w:rsidRPr="00D51D8D">
              <w:rPr>
                <w:rFonts w:asciiTheme="majorHAnsi" w:eastAsia="Times New Roman" w:hAnsiTheme="majorHAnsi" w:cs="Times New Roman"/>
                <w:color w:val="000000"/>
                <w:sz w:val="14"/>
                <w:szCs w:val="14"/>
                <w:lang w:eastAsia="en-AU"/>
              </w:rPr>
              <w:t>Total existing prescribed accommodation facilities</w:t>
            </w:r>
          </w:p>
        </w:tc>
        <w:tc>
          <w:tcPr>
            <w:tcW w:w="289" w:type="pct"/>
            <w:noWrap/>
            <w:hideMark/>
          </w:tcPr>
          <w:p w14:paraId="1B1716F5" w14:textId="3E6DF97D" w:rsidR="00590BAC" w:rsidRPr="00D51D8D" w:rsidRDefault="00590BAC" w:rsidP="00590BAC">
            <w:pPr>
              <w:spacing w:after="0" w:line="240" w:lineRule="auto"/>
              <w:jc w:val="center"/>
              <w:rPr>
                <w:rFonts w:asciiTheme="majorHAnsi" w:eastAsia="Times New Roman" w:hAnsiTheme="majorHAnsi" w:cs="Times New Roman"/>
                <w:b/>
                <w:bCs/>
                <w:color w:val="000000"/>
                <w:sz w:val="14"/>
                <w:szCs w:val="14"/>
                <w:lang w:eastAsia="en-AU"/>
              </w:rPr>
            </w:pPr>
            <w:r w:rsidRPr="00D51D8D">
              <w:rPr>
                <w:rFonts w:asciiTheme="majorHAnsi" w:hAnsiTheme="majorHAnsi"/>
                <w:b/>
                <w:sz w:val="14"/>
                <w:szCs w:val="14"/>
              </w:rPr>
              <w:t xml:space="preserve"> 4,823 </w:t>
            </w:r>
          </w:p>
        </w:tc>
        <w:tc>
          <w:tcPr>
            <w:tcW w:w="303" w:type="pct"/>
            <w:noWrap/>
            <w:hideMark/>
          </w:tcPr>
          <w:p w14:paraId="5FD87F42" w14:textId="21CF8B71" w:rsidR="00590BAC" w:rsidRPr="00D51D8D" w:rsidRDefault="00590BAC" w:rsidP="00590BAC">
            <w:pPr>
              <w:spacing w:after="0" w:line="240" w:lineRule="auto"/>
              <w:jc w:val="center"/>
              <w:rPr>
                <w:rFonts w:asciiTheme="majorHAnsi" w:eastAsia="Times New Roman" w:hAnsiTheme="majorHAnsi" w:cs="Times New Roman"/>
                <w:b/>
                <w:bCs/>
                <w:color w:val="000000"/>
                <w:sz w:val="14"/>
                <w:szCs w:val="14"/>
                <w:lang w:eastAsia="en-AU"/>
              </w:rPr>
            </w:pPr>
            <w:r w:rsidRPr="00D51D8D">
              <w:rPr>
                <w:rFonts w:asciiTheme="majorHAnsi" w:hAnsiTheme="majorHAnsi"/>
                <w:b/>
                <w:sz w:val="14"/>
                <w:szCs w:val="14"/>
              </w:rPr>
              <w:t xml:space="preserve"> 4,823 </w:t>
            </w:r>
          </w:p>
        </w:tc>
        <w:tc>
          <w:tcPr>
            <w:tcW w:w="301" w:type="pct"/>
            <w:noWrap/>
            <w:hideMark/>
          </w:tcPr>
          <w:p w14:paraId="0F96E10B" w14:textId="57EB2E0A" w:rsidR="00590BAC" w:rsidRPr="00D51D8D" w:rsidRDefault="00590BAC" w:rsidP="00590BAC">
            <w:pPr>
              <w:spacing w:after="0" w:line="240" w:lineRule="auto"/>
              <w:jc w:val="center"/>
              <w:rPr>
                <w:rFonts w:asciiTheme="majorHAnsi" w:eastAsia="Times New Roman" w:hAnsiTheme="majorHAnsi" w:cs="Times New Roman"/>
                <w:b/>
                <w:bCs/>
                <w:color w:val="000000"/>
                <w:sz w:val="14"/>
                <w:szCs w:val="14"/>
                <w:lang w:eastAsia="en-AU"/>
              </w:rPr>
            </w:pPr>
            <w:r w:rsidRPr="00D51D8D">
              <w:rPr>
                <w:rFonts w:asciiTheme="majorHAnsi" w:hAnsiTheme="majorHAnsi"/>
                <w:b/>
                <w:sz w:val="14"/>
                <w:szCs w:val="14"/>
              </w:rPr>
              <w:t xml:space="preserve"> 4,929 </w:t>
            </w:r>
          </w:p>
        </w:tc>
        <w:tc>
          <w:tcPr>
            <w:tcW w:w="301" w:type="pct"/>
            <w:noWrap/>
            <w:hideMark/>
          </w:tcPr>
          <w:p w14:paraId="2A442336" w14:textId="0B2866A2" w:rsidR="00590BAC" w:rsidRPr="00D51D8D" w:rsidRDefault="00590BAC" w:rsidP="00590BAC">
            <w:pPr>
              <w:spacing w:after="0" w:line="240" w:lineRule="auto"/>
              <w:jc w:val="center"/>
              <w:rPr>
                <w:rFonts w:asciiTheme="majorHAnsi" w:eastAsia="Times New Roman" w:hAnsiTheme="majorHAnsi" w:cs="Times New Roman"/>
                <w:b/>
                <w:bCs/>
                <w:color w:val="000000"/>
                <w:sz w:val="14"/>
                <w:szCs w:val="14"/>
                <w:lang w:eastAsia="en-AU"/>
              </w:rPr>
            </w:pPr>
            <w:r w:rsidRPr="00D51D8D">
              <w:rPr>
                <w:rFonts w:asciiTheme="majorHAnsi" w:hAnsiTheme="majorHAnsi"/>
                <w:b/>
                <w:sz w:val="14"/>
                <w:szCs w:val="14"/>
              </w:rPr>
              <w:t xml:space="preserve"> 5,037 </w:t>
            </w:r>
          </w:p>
        </w:tc>
        <w:tc>
          <w:tcPr>
            <w:tcW w:w="302" w:type="pct"/>
            <w:noWrap/>
            <w:hideMark/>
          </w:tcPr>
          <w:p w14:paraId="13079BA6" w14:textId="249ED0B5" w:rsidR="00590BAC" w:rsidRPr="00D51D8D" w:rsidRDefault="00590BAC" w:rsidP="00590BAC">
            <w:pPr>
              <w:spacing w:after="0" w:line="240" w:lineRule="auto"/>
              <w:jc w:val="center"/>
              <w:rPr>
                <w:rFonts w:asciiTheme="majorHAnsi" w:eastAsia="Times New Roman" w:hAnsiTheme="majorHAnsi" w:cs="Times New Roman"/>
                <w:b/>
                <w:bCs/>
                <w:color w:val="000000"/>
                <w:sz w:val="14"/>
                <w:szCs w:val="14"/>
                <w:lang w:eastAsia="en-AU"/>
              </w:rPr>
            </w:pPr>
            <w:r w:rsidRPr="00D51D8D">
              <w:rPr>
                <w:rFonts w:asciiTheme="majorHAnsi" w:hAnsiTheme="majorHAnsi"/>
                <w:b/>
                <w:sz w:val="14"/>
                <w:szCs w:val="14"/>
              </w:rPr>
              <w:t xml:space="preserve"> 5,148 </w:t>
            </w:r>
          </w:p>
        </w:tc>
        <w:tc>
          <w:tcPr>
            <w:tcW w:w="302" w:type="pct"/>
            <w:noWrap/>
            <w:hideMark/>
          </w:tcPr>
          <w:p w14:paraId="25EAD84B" w14:textId="1487C46F" w:rsidR="00590BAC" w:rsidRPr="00D51D8D" w:rsidRDefault="00590BAC" w:rsidP="00590BAC">
            <w:pPr>
              <w:spacing w:after="0" w:line="240" w:lineRule="auto"/>
              <w:jc w:val="center"/>
              <w:rPr>
                <w:rFonts w:asciiTheme="majorHAnsi" w:eastAsia="Times New Roman" w:hAnsiTheme="majorHAnsi" w:cs="Times New Roman"/>
                <w:b/>
                <w:bCs/>
                <w:color w:val="000000"/>
                <w:sz w:val="14"/>
                <w:szCs w:val="14"/>
                <w:lang w:eastAsia="en-AU"/>
              </w:rPr>
            </w:pPr>
            <w:r w:rsidRPr="00D51D8D">
              <w:rPr>
                <w:rFonts w:asciiTheme="majorHAnsi" w:hAnsiTheme="majorHAnsi"/>
                <w:b/>
                <w:sz w:val="14"/>
                <w:szCs w:val="14"/>
              </w:rPr>
              <w:t xml:space="preserve"> 5,262 </w:t>
            </w:r>
          </w:p>
        </w:tc>
        <w:tc>
          <w:tcPr>
            <w:tcW w:w="302" w:type="pct"/>
            <w:noWrap/>
            <w:hideMark/>
          </w:tcPr>
          <w:p w14:paraId="3D78766F" w14:textId="65BE4F24" w:rsidR="00590BAC" w:rsidRPr="00D51D8D" w:rsidRDefault="00590BAC" w:rsidP="00590BAC">
            <w:pPr>
              <w:spacing w:after="0" w:line="240" w:lineRule="auto"/>
              <w:jc w:val="center"/>
              <w:rPr>
                <w:rFonts w:asciiTheme="majorHAnsi" w:eastAsia="Times New Roman" w:hAnsiTheme="majorHAnsi" w:cs="Times New Roman"/>
                <w:b/>
                <w:bCs/>
                <w:color w:val="000000"/>
                <w:sz w:val="14"/>
                <w:szCs w:val="14"/>
                <w:lang w:eastAsia="en-AU"/>
              </w:rPr>
            </w:pPr>
            <w:r w:rsidRPr="00D51D8D">
              <w:rPr>
                <w:rFonts w:asciiTheme="majorHAnsi" w:hAnsiTheme="majorHAnsi"/>
                <w:b/>
                <w:sz w:val="14"/>
                <w:szCs w:val="14"/>
              </w:rPr>
              <w:t xml:space="preserve"> 5,379 </w:t>
            </w:r>
          </w:p>
        </w:tc>
        <w:tc>
          <w:tcPr>
            <w:tcW w:w="302" w:type="pct"/>
            <w:noWrap/>
            <w:hideMark/>
          </w:tcPr>
          <w:p w14:paraId="51645B36" w14:textId="7F72149A" w:rsidR="00590BAC" w:rsidRPr="00D51D8D" w:rsidRDefault="00590BAC" w:rsidP="00590BAC">
            <w:pPr>
              <w:spacing w:after="0" w:line="240" w:lineRule="auto"/>
              <w:jc w:val="center"/>
              <w:rPr>
                <w:rFonts w:asciiTheme="majorHAnsi" w:eastAsia="Times New Roman" w:hAnsiTheme="majorHAnsi" w:cs="Times New Roman"/>
                <w:b/>
                <w:bCs/>
                <w:color w:val="000000"/>
                <w:sz w:val="14"/>
                <w:szCs w:val="14"/>
                <w:lang w:eastAsia="en-AU"/>
              </w:rPr>
            </w:pPr>
            <w:r w:rsidRPr="00D51D8D">
              <w:rPr>
                <w:rFonts w:asciiTheme="majorHAnsi" w:hAnsiTheme="majorHAnsi"/>
                <w:b/>
                <w:sz w:val="14"/>
                <w:szCs w:val="14"/>
              </w:rPr>
              <w:t xml:space="preserve"> 5,499 </w:t>
            </w:r>
          </w:p>
        </w:tc>
        <w:tc>
          <w:tcPr>
            <w:tcW w:w="302" w:type="pct"/>
            <w:noWrap/>
            <w:hideMark/>
          </w:tcPr>
          <w:p w14:paraId="120C0D1F" w14:textId="055F13DE" w:rsidR="00590BAC" w:rsidRPr="00D51D8D" w:rsidRDefault="00590BAC" w:rsidP="00590BAC">
            <w:pPr>
              <w:spacing w:after="0" w:line="240" w:lineRule="auto"/>
              <w:jc w:val="center"/>
              <w:rPr>
                <w:rFonts w:asciiTheme="majorHAnsi" w:eastAsia="Times New Roman" w:hAnsiTheme="majorHAnsi" w:cs="Times New Roman"/>
                <w:b/>
                <w:bCs/>
                <w:color w:val="000000"/>
                <w:sz w:val="14"/>
                <w:szCs w:val="14"/>
                <w:lang w:eastAsia="en-AU"/>
              </w:rPr>
            </w:pPr>
            <w:r w:rsidRPr="00D51D8D">
              <w:rPr>
                <w:rFonts w:asciiTheme="majorHAnsi" w:hAnsiTheme="majorHAnsi"/>
                <w:b/>
                <w:sz w:val="14"/>
                <w:szCs w:val="14"/>
              </w:rPr>
              <w:t xml:space="preserve"> 5,622 </w:t>
            </w:r>
          </w:p>
        </w:tc>
        <w:tc>
          <w:tcPr>
            <w:tcW w:w="302" w:type="pct"/>
            <w:noWrap/>
            <w:hideMark/>
          </w:tcPr>
          <w:p w14:paraId="73602451" w14:textId="655B281C" w:rsidR="00590BAC" w:rsidRPr="00D51D8D" w:rsidRDefault="00590BAC" w:rsidP="00590BAC">
            <w:pPr>
              <w:spacing w:after="0" w:line="240" w:lineRule="auto"/>
              <w:jc w:val="center"/>
              <w:rPr>
                <w:rFonts w:asciiTheme="majorHAnsi" w:eastAsia="Times New Roman" w:hAnsiTheme="majorHAnsi" w:cs="Times New Roman"/>
                <w:b/>
                <w:bCs/>
                <w:color w:val="000000"/>
                <w:sz w:val="14"/>
                <w:szCs w:val="14"/>
                <w:lang w:eastAsia="en-AU"/>
              </w:rPr>
            </w:pPr>
            <w:r w:rsidRPr="00D51D8D">
              <w:rPr>
                <w:rFonts w:asciiTheme="majorHAnsi" w:hAnsiTheme="majorHAnsi"/>
                <w:b/>
                <w:sz w:val="14"/>
                <w:szCs w:val="14"/>
              </w:rPr>
              <w:t xml:space="preserve"> 5,747 </w:t>
            </w:r>
          </w:p>
        </w:tc>
        <w:tc>
          <w:tcPr>
            <w:tcW w:w="302" w:type="pct"/>
            <w:noWrap/>
            <w:hideMark/>
          </w:tcPr>
          <w:p w14:paraId="4A5E3142" w14:textId="364E2D25" w:rsidR="00590BAC" w:rsidRPr="00D51D8D" w:rsidRDefault="00590BAC" w:rsidP="00590BAC">
            <w:pPr>
              <w:spacing w:after="0" w:line="240" w:lineRule="auto"/>
              <w:jc w:val="center"/>
              <w:rPr>
                <w:rFonts w:asciiTheme="majorHAnsi" w:eastAsia="Times New Roman" w:hAnsiTheme="majorHAnsi" w:cs="Times New Roman"/>
                <w:b/>
                <w:bCs/>
                <w:color w:val="000000"/>
                <w:sz w:val="14"/>
                <w:szCs w:val="14"/>
                <w:lang w:eastAsia="en-AU"/>
              </w:rPr>
            </w:pPr>
            <w:r w:rsidRPr="00D51D8D">
              <w:rPr>
                <w:rFonts w:asciiTheme="majorHAnsi" w:hAnsiTheme="majorHAnsi"/>
                <w:b/>
                <w:sz w:val="14"/>
                <w:szCs w:val="14"/>
              </w:rPr>
              <w:t xml:space="preserve"> 5,876 </w:t>
            </w:r>
          </w:p>
        </w:tc>
        <w:tc>
          <w:tcPr>
            <w:tcW w:w="302" w:type="pct"/>
            <w:noWrap/>
            <w:hideMark/>
          </w:tcPr>
          <w:p w14:paraId="1A94984E" w14:textId="1650C502" w:rsidR="00590BAC" w:rsidRPr="00D51D8D" w:rsidRDefault="00590BAC" w:rsidP="00590BAC">
            <w:pPr>
              <w:spacing w:after="0" w:line="240" w:lineRule="auto"/>
              <w:jc w:val="center"/>
              <w:rPr>
                <w:rFonts w:asciiTheme="majorHAnsi" w:eastAsia="Times New Roman" w:hAnsiTheme="majorHAnsi" w:cs="Times New Roman"/>
                <w:b/>
                <w:bCs/>
                <w:color w:val="000000"/>
                <w:sz w:val="14"/>
                <w:szCs w:val="14"/>
                <w:lang w:eastAsia="en-AU"/>
              </w:rPr>
            </w:pPr>
            <w:r w:rsidRPr="00D51D8D">
              <w:rPr>
                <w:rFonts w:asciiTheme="majorHAnsi" w:hAnsiTheme="majorHAnsi"/>
                <w:b/>
                <w:sz w:val="14"/>
                <w:szCs w:val="14"/>
              </w:rPr>
              <w:t xml:space="preserve"> 6,008 </w:t>
            </w:r>
          </w:p>
        </w:tc>
        <w:tc>
          <w:tcPr>
            <w:tcW w:w="307" w:type="pct"/>
            <w:noWrap/>
            <w:hideMark/>
          </w:tcPr>
          <w:p w14:paraId="51A3AE51" w14:textId="7FDFBB97" w:rsidR="00590BAC" w:rsidRPr="00D51D8D" w:rsidRDefault="00590BAC" w:rsidP="00590BAC">
            <w:pPr>
              <w:spacing w:after="0" w:line="240" w:lineRule="auto"/>
              <w:jc w:val="center"/>
              <w:rPr>
                <w:rFonts w:asciiTheme="majorHAnsi" w:eastAsia="Times New Roman" w:hAnsiTheme="majorHAnsi" w:cs="Times New Roman"/>
                <w:b/>
                <w:bCs/>
                <w:color w:val="000000"/>
                <w:sz w:val="14"/>
                <w:szCs w:val="14"/>
                <w:lang w:eastAsia="en-AU"/>
              </w:rPr>
            </w:pPr>
            <w:r w:rsidRPr="00D51D8D">
              <w:rPr>
                <w:rFonts w:asciiTheme="majorHAnsi" w:hAnsiTheme="majorHAnsi"/>
                <w:b/>
                <w:sz w:val="14"/>
                <w:szCs w:val="14"/>
              </w:rPr>
              <w:t xml:space="preserve"> 6,144 </w:t>
            </w:r>
          </w:p>
        </w:tc>
      </w:tr>
      <w:tr w:rsidR="00286786" w:rsidRPr="00D51D8D" w14:paraId="0C868480" w14:textId="77777777" w:rsidTr="001419A0">
        <w:trPr>
          <w:trHeight w:val="139"/>
        </w:trPr>
        <w:tc>
          <w:tcPr>
            <w:tcW w:w="1084" w:type="pct"/>
            <w:noWrap/>
            <w:hideMark/>
          </w:tcPr>
          <w:p w14:paraId="6F729E2D" w14:textId="55208DAD" w:rsidR="00286786" w:rsidRPr="00D51D8D" w:rsidRDefault="00286786" w:rsidP="001419A0">
            <w:pPr>
              <w:spacing w:after="0" w:line="240" w:lineRule="auto"/>
              <w:ind w:left="142" w:right="640"/>
              <w:rPr>
                <w:rFonts w:asciiTheme="majorHAnsi" w:eastAsia="Times New Roman" w:hAnsiTheme="majorHAnsi" w:cs="Times New Roman"/>
                <w:color w:val="000000"/>
                <w:sz w:val="14"/>
                <w:szCs w:val="14"/>
                <w:lang w:eastAsia="en-AU"/>
              </w:rPr>
            </w:pPr>
            <w:r w:rsidRPr="00D51D8D">
              <w:rPr>
                <w:rFonts w:asciiTheme="majorHAnsi" w:eastAsia="Times New Roman" w:hAnsiTheme="majorHAnsi" w:cs="Times New Roman"/>
                <w:color w:val="000000"/>
                <w:sz w:val="14"/>
                <w:szCs w:val="14"/>
                <w:lang w:eastAsia="en-AU"/>
              </w:rPr>
              <w:t>Residential Accommodation</w:t>
            </w:r>
          </w:p>
        </w:tc>
        <w:tc>
          <w:tcPr>
            <w:tcW w:w="289" w:type="pct"/>
            <w:noWrap/>
            <w:hideMark/>
          </w:tcPr>
          <w:p w14:paraId="1B2B28C0" w14:textId="5BD88797"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1,517 </w:t>
            </w:r>
          </w:p>
        </w:tc>
        <w:tc>
          <w:tcPr>
            <w:tcW w:w="303" w:type="pct"/>
            <w:noWrap/>
            <w:hideMark/>
          </w:tcPr>
          <w:p w14:paraId="61C6FFBA" w14:textId="6C4135EE"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1,517 </w:t>
            </w:r>
          </w:p>
        </w:tc>
        <w:tc>
          <w:tcPr>
            <w:tcW w:w="301" w:type="pct"/>
            <w:noWrap/>
            <w:hideMark/>
          </w:tcPr>
          <w:p w14:paraId="2A4D6255" w14:textId="6052EDE2"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1,555 </w:t>
            </w:r>
          </w:p>
        </w:tc>
        <w:tc>
          <w:tcPr>
            <w:tcW w:w="301" w:type="pct"/>
            <w:noWrap/>
            <w:hideMark/>
          </w:tcPr>
          <w:p w14:paraId="75C20F99" w14:textId="1B4DF259"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1,594 </w:t>
            </w:r>
          </w:p>
        </w:tc>
        <w:tc>
          <w:tcPr>
            <w:tcW w:w="302" w:type="pct"/>
            <w:noWrap/>
            <w:hideMark/>
          </w:tcPr>
          <w:p w14:paraId="30DD4DAE" w14:textId="5EED4EAA"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1,634 </w:t>
            </w:r>
          </w:p>
        </w:tc>
        <w:tc>
          <w:tcPr>
            <w:tcW w:w="302" w:type="pct"/>
            <w:noWrap/>
            <w:hideMark/>
          </w:tcPr>
          <w:p w14:paraId="34F9D1AC" w14:textId="19C510A8"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1,675 </w:t>
            </w:r>
          </w:p>
        </w:tc>
        <w:tc>
          <w:tcPr>
            <w:tcW w:w="302" w:type="pct"/>
            <w:noWrap/>
            <w:hideMark/>
          </w:tcPr>
          <w:p w14:paraId="6EED7592" w14:textId="4067147E"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1,717 </w:t>
            </w:r>
          </w:p>
        </w:tc>
        <w:tc>
          <w:tcPr>
            <w:tcW w:w="302" w:type="pct"/>
            <w:noWrap/>
            <w:hideMark/>
          </w:tcPr>
          <w:p w14:paraId="26C443D3" w14:textId="42289B52"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1,760 </w:t>
            </w:r>
          </w:p>
        </w:tc>
        <w:tc>
          <w:tcPr>
            <w:tcW w:w="302" w:type="pct"/>
            <w:noWrap/>
            <w:hideMark/>
          </w:tcPr>
          <w:p w14:paraId="526AAAC7" w14:textId="3DDDD246"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1,804 </w:t>
            </w:r>
          </w:p>
        </w:tc>
        <w:tc>
          <w:tcPr>
            <w:tcW w:w="302" w:type="pct"/>
            <w:noWrap/>
            <w:hideMark/>
          </w:tcPr>
          <w:p w14:paraId="612665D0" w14:textId="70BDAE12"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1,850 </w:t>
            </w:r>
          </w:p>
        </w:tc>
        <w:tc>
          <w:tcPr>
            <w:tcW w:w="302" w:type="pct"/>
            <w:noWrap/>
            <w:hideMark/>
          </w:tcPr>
          <w:p w14:paraId="191CCE62" w14:textId="20D2B622"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1,896 </w:t>
            </w:r>
          </w:p>
        </w:tc>
        <w:tc>
          <w:tcPr>
            <w:tcW w:w="302" w:type="pct"/>
            <w:noWrap/>
            <w:hideMark/>
          </w:tcPr>
          <w:p w14:paraId="012635B6" w14:textId="390F2816"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1,944 </w:t>
            </w:r>
          </w:p>
        </w:tc>
        <w:tc>
          <w:tcPr>
            <w:tcW w:w="307" w:type="pct"/>
            <w:noWrap/>
            <w:hideMark/>
          </w:tcPr>
          <w:p w14:paraId="31E72BC2" w14:textId="2BB16DA5"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1,993 </w:t>
            </w:r>
          </w:p>
        </w:tc>
      </w:tr>
      <w:tr w:rsidR="00286786" w:rsidRPr="00D51D8D" w14:paraId="31EA71BD" w14:textId="77777777" w:rsidTr="001419A0">
        <w:trPr>
          <w:trHeight w:val="139"/>
        </w:trPr>
        <w:tc>
          <w:tcPr>
            <w:tcW w:w="1084" w:type="pct"/>
            <w:noWrap/>
            <w:hideMark/>
          </w:tcPr>
          <w:p w14:paraId="1F95EB5F" w14:textId="7AFC2C40" w:rsidR="00286786" w:rsidRPr="00D51D8D" w:rsidRDefault="00286786" w:rsidP="001419A0">
            <w:pPr>
              <w:spacing w:after="0" w:line="240" w:lineRule="auto"/>
              <w:ind w:left="142" w:right="640"/>
              <w:rPr>
                <w:rFonts w:asciiTheme="majorHAnsi" w:eastAsia="Times New Roman" w:hAnsiTheme="majorHAnsi" w:cs="Times New Roman"/>
                <w:color w:val="000000"/>
                <w:sz w:val="14"/>
                <w:szCs w:val="14"/>
                <w:lang w:eastAsia="en-AU"/>
              </w:rPr>
            </w:pPr>
            <w:r w:rsidRPr="00D51D8D">
              <w:rPr>
                <w:rFonts w:asciiTheme="majorHAnsi" w:eastAsia="Times New Roman" w:hAnsiTheme="majorHAnsi" w:cs="Times New Roman"/>
                <w:color w:val="000000"/>
                <w:sz w:val="14"/>
                <w:szCs w:val="14"/>
                <w:lang w:eastAsia="en-AU"/>
              </w:rPr>
              <w:t>Hotels &amp;</w:t>
            </w:r>
            <w:r w:rsidR="005620A8">
              <w:rPr>
                <w:rFonts w:asciiTheme="majorHAnsi" w:eastAsia="Times New Roman" w:hAnsiTheme="majorHAnsi" w:cs="Times New Roman"/>
                <w:color w:val="000000"/>
                <w:sz w:val="14"/>
                <w:szCs w:val="14"/>
                <w:lang w:eastAsia="en-AU"/>
              </w:rPr>
              <w:t xml:space="preserve"> </w:t>
            </w:r>
            <w:r w:rsidRPr="00D51D8D">
              <w:rPr>
                <w:rFonts w:asciiTheme="majorHAnsi" w:eastAsia="Times New Roman" w:hAnsiTheme="majorHAnsi" w:cs="Times New Roman"/>
                <w:color w:val="000000"/>
                <w:sz w:val="14"/>
                <w:szCs w:val="14"/>
                <w:lang w:eastAsia="en-AU"/>
              </w:rPr>
              <w:t xml:space="preserve">Motels </w:t>
            </w:r>
          </w:p>
        </w:tc>
        <w:tc>
          <w:tcPr>
            <w:tcW w:w="289" w:type="pct"/>
            <w:noWrap/>
            <w:hideMark/>
          </w:tcPr>
          <w:p w14:paraId="55735492" w14:textId="2A7365F1"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1,309 </w:t>
            </w:r>
          </w:p>
        </w:tc>
        <w:tc>
          <w:tcPr>
            <w:tcW w:w="303" w:type="pct"/>
            <w:noWrap/>
            <w:hideMark/>
          </w:tcPr>
          <w:p w14:paraId="448037F3" w14:textId="1FCF4C1E"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1,309 </w:t>
            </w:r>
          </w:p>
        </w:tc>
        <w:tc>
          <w:tcPr>
            <w:tcW w:w="301" w:type="pct"/>
            <w:noWrap/>
            <w:hideMark/>
          </w:tcPr>
          <w:p w14:paraId="05EF2B6A" w14:textId="38B312E2"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1,332 </w:t>
            </w:r>
          </w:p>
        </w:tc>
        <w:tc>
          <w:tcPr>
            <w:tcW w:w="301" w:type="pct"/>
            <w:noWrap/>
            <w:hideMark/>
          </w:tcPr>
          <w:p w14:paraId="43613595" w14:textId="0D5F7875"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1,355 </w:t>
            </w:r>
          </w:p>
        </w:tc>
        <w:tc>
          <w:tcPr>
            <w:tcW w:w="302" w:type="pct"/>
            <w:noWrap/>
            <w:hideMark/>
          </w:tcPr>
          <w:p w14:paraId="03517830" w14:textId="73EAA7F5"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1,379 </w:t>
            </w:r>
          </w:p>
        </w:tc>
        <w:tc>
          <w:tcPr>
            <w:tcW w:w="302" w:type="pct"/>
            <w:noWrap/>
            <w:hideMark/>
          </w:tcPr>
          <w:p w14:paraId="677C81DB" w14:textId="36FE9B31"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1,403 </w:t>
            </w:r>
          </w:p>
        </w:tc>
        <w:tc>
          <w:tcPr>
            <w:tcW w:w="302" w:type="pct"/>
            <w:noWrap/>
            <w:hideMark/>
          </w:tcPr>
          <w:p w14:paraId="2E8EA626" w14:textId="3A2C5B5E"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1,428 </w:t>
            </w:r>
          </w:p>
        </w:tc>
        <w:tc>
          <w:tcPr>
            <w:tcW w:w="302" w:type="pct"/>
            <w:noWrap/>
            <w:hideMark/>
          </w:tcPr>
          <w:p w14:paraId="3188C663" w14:textId="40C64C21"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1,453 </w:t>
            </w:r>
          </w:p>
        </w:tc>
        <w:tc>
          <w:tcPr>
            <w:tcW w:w="302" w:type="pct"/>
            <w:noWrap/>
            <w:hideMark/>
          </w:tcPr>
          <w:p w14:paraId="672FA1D9" w14:textId="0C78CBD6"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1,479 </w:t>
            </w:r>
          </w:p>
        </w:tc>
        <w:tc>
          <w:tcPr>
            <w:tcW w:w="302" w:type="pct"/>
            <w:noWrap/>
            <w:hideMark/>
          </w:tcPr>
          <w:p w14:paraId="2960F287" w14:textId="0C58D503"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1,504 </w:t>
            </w:r>
          </w:p>
        </w:tc>
        <w:tc>
          <w:tcPr>
            <w:tcW w:w="302" w:type="pct"/>
            <w:noWrap/>
            <w:hideMark/>
          </w:tcPr>
          <w:p w14:paraId="0744DFB7" w14:textId="153CEF76"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1,531 </w:t>
            </w:r>
          </w:p>
        </w:tc>
        <w:tc>
          <w:tcPr>
            <w:tcW w:w="302" w:type="pct"/>
            <w:noWrap/>
            <w:hideMark/>
          </w:tcPr>
          <w:p w14:paraId="78472B92" w14:textId="747B45CC"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1,558 </w:t>
            </w:r>
          </w:p>
        </w:tc>
        <w:tc>
          <w:tcPr>
            <w:tcW w:w="307" w:type="pct"/>
            <w:noWrap/>
            <w:hideMark/>
          </w:tcPr>
          <w:p w14:paraId="5D5F73CD" w14:textId="6383E389"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1,585 </w:t>
            </w:r>
          </w:p>
        </w:tc>
      </w:tr>
      <w:tr w:rsidR="00286786" w:rsidRPr="00D51D8D" w14:paraId="27E94039" w14:textId="77777777" w:rsidTr="001419A0">
        <w:trPr>
          <w:trHeight w:val="139"/>
        </w:trPr>
        <w:tc>
          <w:tcPr>
            <w:tcW w:w="1084" w:type="pct"/>
            <w:noWrap/>
            <w:hideMark/>
          </w:tcPr>
          <w:p w14:paraId="0A1A3994" w14:textId="4BA8F24F" w:rsidR="00286786" w:rsidRPr="00D51D8D" w:rsidRDefault="00286786" w:rsidP="001419A0">
            <w:pPr>
              <w:spacing w:after="0" w:line="240" w:lineRule="auto"/>
              <w:ind w:left="142" w:right="640"/>
              <w:rPr>
                <w:rFonts w:asciiTheme="majorHAnsi" w:eastAsia="Times New Roman" w:hAnsiTheme="majorHAnsi" w:cs="Times New Roman"/>
                <w:color w:val="000000"/>
                <w:sz w:val="14"/>
                <w:szCs w:val="14"/>
                <w:lang w:eastAsia="en-AU"/>
              </w:rPr>
            </w:pPr>
            <w:r w:rsidRPr="00D51D8D">
              <w:rPr>
                <w:rFonts w:asciiTheme="majorHAnsi" w:eastAsia="Times New Roman" w:hAnsiTheme="majorHAnsi" w:cs="Times New Roman"/>
                <w:color w:val="000000"/>
                <w:sz w:val="14"/>
                <w:szCs w:val="14"/>
                <w:lang w:eastAsia="en-AU"/>
              </w:rPr>
              <w:t>Hostels</w:t>
            </w:r>
          </w:p>
        </w:tc>
        <w:tc>
          <w:tcPr>
            <w:tcW w:w="289" w:type="pct"/>
            <w:noWrap/>
            <w:hideMark/>
          </w:tcPr>
          <w:p w14:paraId="2B1F950B" w14:textId="49BD3F9C"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207 </w:t>
            </w:r>
          </w:p>
        </w:tc>
        <w:tc>
          <w:tcPr>
            <w:tcW w:w="303" w:type="pct"/>
            <w:noWrap/>
            <w:hideMark/>
          </w:tcPr>
          <w:p w14:paraId="75A59C43" w14:textId="76695779"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207 </w:t>
            </w:r>
          </w:p>
        </w:tc>
        <w:tc>
          <w:tcPr>
            <w:tcW w:w="301" w:type="pct"/>
            <w:noWrap/>
            <w:hideMark/>
          </w:tcPr>
          <w:p w14:paraId="6D68AB4D" w14:textId="3B759E9B"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209 </w:t>
            </w:r>
          </w:p>
        </w:tc>
        <w:tc>
          <w:tcPr>
            <w:tcW w:w="301" w:type="pct"/>
            <w:noWrap/>
            <w:hideMark/>
          </w:tcPr>
          <w:p w14:paraId="638097A4" w14:textId="3AEDE0EA"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211 </w:t>
            </w:r>
          </w:p>
        </w:tc>
        <w:tc>
          <w:tcPr>
            <w:tcW w:w="302" w:type="pct"/>
            <w:noWrap/>
            <w:hideMark/>
          </w:tcPr>
          <w:p w14:paraId="5746535B" w14:textId="1AEF1E96"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213 </w:t>
            </w:r>
          </w:p>
        </w:tc>
        <w:tc>
          <w:tcPr>
            <w:tcW w:w="302" w:type="pct"/>
            <w:noWrap/>
            <w:hideMark/>
          </w:tcPr>
          <w:p w14:paraId="3FF8AFA9" w14:textId="40C2804F"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215 </w:t>
            </w:r>
          </w:p>
        </w:tc>
        <w:tc>
          <w:tcPr>
            <w:tcW w:w="302" w:type="pct"/>
            <w:noWrap/>
            <w:hideMark/>
          </w:tcPr>
          <w:p w14:paraId="4277CBEC" w14:textId="0E22534D"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217 </w:t>
            </w:r>
          </w:p>
        </w:tc>
        <w:tc>
          <w:tcPr>
            <w:tcW w:w="302" w:type="pct"/>
            <w:noWrap/>
            <w:hideMark/>
          </w:tcPr>
          <w:p w14:paraId="08D6FB4C" w14:textId="68909452"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220 </w:t>
            </w:r>
          </w:p>
        </w:tc>
        <w:tc>
          <w:tcPr>
            <w:tcW w:w="302" w:type="pct"/>
            <w:noWrap/>
            <w:hideMark/>
          </w:tcPr>
          <w:p w14:paraId="3A734EED" w14:textId="74181C70"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222 </w:t>
            </w:r>
          </w:p>
        </w:tc>
        <w:tc>
          <w:tcPr>
            <w:tcW w:w="302" w:type="pct"/>
            <w:noWrap/>
            <w:hideMark/>
          </w:tcPr>
          <w:p w14:paraId="74A7BC67" w14:textId="3733CD32"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224 </w:t>
            </w:r>
          </w:p>
        </w:tc>
        <w:tc>
          <w:tcPr>
            <w:tcW w:w="302" w:type="pct"/>
            <w:noWrap/>
            <w:hideMark/>
          </w:tcPr>
          <w:p w14:paraId="61F3A13E" w14:textId="7E35942A"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226 </w:t>
            </w:r>
          </w:p>
        </w:tc>
        <w:tc>
          <w:tcPr>
            <w:tcW w:w="302" w:type="pct"/>
            <w:noWrap/>
            <w:hideMark/>
          </w:tcPr>
          <w:p w14:paraId="5A7DC208" w14:textId="5E0B70E5"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228 </w:t>
            </w:r>
          </w:p>
        </w:tc>
        <w:tc>
          <w:tcPr>
            <w:tcW w:w="307" w:type="pct"/>
            <w:noWrap/>
            <w:hideMark/>
          </w:tcPr>
          <w:p w14:paraId="25898613" w14:textId="56629AE0"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231 </w:t>
            </w:r>
          </w:p>
        </w:tc>
      </w:tr>
      <w:tr w:rsidR="00286786" w:rsidRPr="00D51D8D" w14:paraId="7D735414" w14:textId="77777777" w:rsidTr="001419A0">
        <w:trPr>
          <w:trHeight w:val="139"/>
        </w:trPr>
        <w:tc>
          <w:tcPr>
            <w:tcW w:w="1084" w:type="pct"/>
            <w:noWrap/>
            <w:hideMark/>
          </w:tcPr>
          <w:p w14:paraId="3A51A2D3" w14:textId="2B6498BE" w:rsidR="00286786" w:rsidRPr="00D51D8D" w:rsidRDefault="00286786" w:rsidP="001419A0">
            <w:pPr>
              <w:spacing w:after="0" w:line="240" w:lineRule="auto"/>
              <w:ind w:left="142" w:right="640"/>
              <w:rPr>
                <w:rFonts w:asciiTheme="majorHAnsi" w:eastAsia="Times New Roman" w:hAnsiTheme="majorHAnsi" w:cs="Times New Roman"/>
                <w:color w:val="000000"/>
                <w:sz w:val="14"/>
                <w:szCs w:val="14"/>
                <w:lang w:eastAsia="en-AU"/>
              </w:rPr>
            </w:pPr>
            <w:r w:rsidRPr="00D51D8D">
              <w:rPr>
                <w:rFonts w:asciiTheme="majorHAnsi" w:eastAsia="Times New Roman" w:hAnsiTheme="majorHAnsi" w:cs="Times New Roman"/>
                <w:color w:val="000000"/>
                <w:sz w:val="14"/>
                <w:szCs w:val="14"/>
                <w:lang w:eastAsia="en-AU"/>
              </w:rPr>
              <w:t>Student Dormitories</w:t>
            </w:r>
          </w:p>
        </w:tc>
        <w:tc>
          <w:tcPr>
            <w:tcW w:w="289" w:type="pct"/>
            <w:noWrap/>
            <w:hideMark/>
          </w:tcPr>
          <w:p w14:paraId="68E04381" w14:textId="66A8795A"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170 </w:t>
            </w:r>
          </w:p>
        </w:tc>
        <w:tc>
          <w:tcPr>
            <w:tcW w:w="303" w:type="pct"/>
            <w:noWrap/>
            <w:hideMark/>
          </w:tcPr>
          <w:p w14:paraId="7E8A974F" w14:textId="24C6D6BF"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170 </w:t>
            </w:r>
          </w:p>
        </w:tc>
        <w:tc>
          <w:tcPr>
            <w:tcW w:w="301" w:type="pct"/>
            <w:noWrap/>
            <w:hideMark/>
          </w:tcPr>
          <w:p w14:paraId="25DB9DAC" w14:textId="73DFE447"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174 </w:t>
            </w:r>
          </w:p>
        </w:tc>
        <w:tc>
          <w:tcPr>
            <w:tcW w:w="301" w:type="pct"/>
            <w:noWrap/>
            <w:hideMark/>
          </w:tcPr>
          <w:p w14:paraId="753C9F94" w14:textId="57194362"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178 </w:t>
            </w:r>
          </w:p>
        </w:tc>
        <w:tc>
          <w:tcPr>
            <w:tcW w:w="302" w:type="pct"/>
            <w:noWrap/>
            <w:hideMark/>
          </w:tcPr>
          <w:p w14:paraId="31C2F7A3" w14:textId="11BE1558"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182 </w:t>
            </w:r>
          </w:p>
        </w:tc>
        <w:tc>
          <w:tcPr>
            <w:tcW w:w="302" w:type="pct"/>
            <w:noWrap/>
            <w:hideMark/>
          </w:tcPr>
          <w:p w14:paraId="1FA30042" w14:textId="3D103764"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186 </w:t>
            </w:r>
          </w:p>
        </w:tc>
        <w:tc>
          <w:tcPr>
            <w:tcW w:w="302" w:type="pct"/>
            <w:noWrap/>
            <w:hideMark/>
          </w:tcPr>
          <w:p w14:paraId="4B4DA7DC" w14:textId="0B3E59CB"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190 </w:t>
            </w:r>
          </w:p>
        </w:tc>
        <w:tc>
          <w:tcPr>
            <w:tcW w:w="302" w:type="pct"/>
            <w:noWrap/>
            <w:hideMark/>
          </w:tcPr>
          <w:p w14:paraId="7D2D927D" w14:textId="24B76CB9"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194 </w:t>
            </w:r>
          </w:p>
        </w:tc>
        <w:tc>
          <w:tcPr>
            <w:tcW w:w="302" w:type="pct"/>
            <w:noWrap/>
            <w:hideMark/>
          </w:tcPr>
          <w:p w14:paraId="5859B102" w14:textId="4F6F6746"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198 </w:t>
            </w:r>
          </w:p>
        </w:tc>
        <w:tc>
          <w:tcPr>
            <w:tcW w:w="302" w:type="pct"/>
            <w:noWrap/>
            <w:hideMark/>
          </w:tcPr>
          <w:p w14:paraId="03E86D47" w14:textId="62AAC3F5"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203 </w:t>
            </w:r>
          </w:p>
        </w:tc>
        <w:tc>
          <w:tcPr>
            <w:tcW w:w="302" w:type="pct"/>
            <w:noWrap/>
            <w:hideMark/>
          </w:tcPr>
          <w:p w14:paraId="06B4DE37" w14:textId="61057F34"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207 </w:t>
            </w:r>
          </w:p>
        </w:tc>
        <w:tc>
          <w:tcPr>
            <w:tcW w:w="302" w:type="pct"/>
            <w:noWrap/>
            <w:hideMark/>
          </w:tcPr>
          <w:p w14:paraId="63BD97E7" w14:textId="0397AE9F"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212 </w:t>
            </w:r>
          </w:p>
        </w:tc>
        <w:tc>
          <w:tcPr>
            <w:tcW w:w="307" w:type="pct"/>
            <w:noWrap/>
            <w:hideMark/>
          </w:tcPr>
          <w:p w14:paraId="7B797466" w14:textId="01D32BC5"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217 </w:t>
            </w:r>
          </w:p>
        </w:tc>
      </w:tr>
      <w:tr w:rsidR="00286786" w:rsidRPr="00D51D8D" w14:paraId="20589BAF" w14:textId="77777777" w:rsidTr="001419A0">
        <w:trPr>
          <w:trHeight w:val="13"/>
        </w:trPr>
        <w:tc>
          <w:tcPr>
            <w:tcW w:w="1084" w:type="pct"/>
            <w:noWrap/>
            <w:hideMark/>
          </w:tcPr>
          <w:p w14:paraId="4C6D7A2D" w14:textId="4D4474E8" w:rsidR="00286786" w:rsidRPr="00D51D8D" w:rsidRDefault="00286786" w:rsidP="001419A0">
            <w:pPr>
              <w:spacing w:after="0" w:line="240" w:lineRule="auto"/>
              <w:ind w:left="142" w:right="640"/>
              <w:rPr>
                <w:rFonts w:asciiTheme="majorHAnsi" w:eastAsia="Times New Roman" w:hAnsiTheme="majorHAnsi" w:cs="Times New Roman"/>
                <w:color w:val="000000"/>
                <w:sz w:val="14"/>
                <w:szCs w:val="14"/>
                <w:lang w:eastAsia="en-AU"/>
              </w:rPr>
            </w:pPr>
            <w:r w:rsidRPr="00D51D8D">
              <w:rPr>
                <w:rFonts w:asciiTheme="majorHAnsi" w:eastAsia="Times New Roman" w:hAnsiTheme="majorHAnsi" w:cs="Times New Roman"/>
                <w:color w:val="000000"/>
                <w:sz w:val="14"/>
                <w:szCs w:val="14"/>
                <w:lang w:eastAsia="en-AU"/>
              </w:rPr>
              <w:t>Holiday Camps</w:t>
            </w:r>
          </w:p>
        </w:tc>
        <w:tc>
          <w:tcPr>
            <w:tcW w:w="289" w:type="pct"/>
            <w:noWrap/>
            <w:hideMark/>
          </w:tcPr>
          <w:p w14:paraId="1EF4F461" w14:textId="26E00143"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315 </w:t>
            </w:r>
          </w:p>
        </w:tc>
        <w:tc>
          <w:tcPr>
            <w:tcW w:w="303" w:type="pct"/>
            <w:noWrap/>
            <w:hideMark/>
          </w:tcPr>
          <w:p w14:paraId="364FF386" w14:textId="793CE888"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315 </w:t>
            </w:r>
          </w:p>
        </w:tc>
        <w:tc>
          <w:tcPr>
            <w:tcW w:w="301" w:type="pct"/>
            <w:noWrap/>
            <w:hideMark/>
          </w:tcPr>
          <w:p w14:paraId="343E1DB1" w14:textId="2B938E1C"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315 </w:t>
            </w:r>
          </w:p>
        </w:tc>
        <w:tc>
          <w:tcPr>
            <w:tcW w:w="301" w:type="pct"/>
            <w:noWrap/>
            <w:hideMark/>
          </w:tcPr>
          <w:p w14:paraId="4E05EA1D" w14:textId="0D786424"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315 </w:t>
            </w:r>
          </w:p>
        </w:tc>
        <w:tc>
          <w:tcPr>
            <w:tcW w:w="302" w:type="pct"/>
            <w:noWrap/>
            <w:hideMark/>
          </w:tcPr>
          <w:p w14:paraId="53F33A11" w14:textId="31D0330F"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315 </w:t>
            </w:r>
          </w:p>
        </w:tc>
        <w:tc>
          <w:tcPr>
            <w:tcW w:w="302" w:type="pct"/>
            <w:noWrap/>
            <w:hideMark/>
          </w:tcPr>
          <w:p w14:paraId="35078EB8" w14:textId="0D579DD3"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315 </w:t>
            </w:r>
          </w:p>
        </w:tc>
        <w:tc>
          <w:tcPr>
            <w:tcW w:w="302" w:type="pct"/>
            <w:noWrap/>
            <w:hideMark/>
          </w:tcPr>
          <w:p w14:paraId="7DFAFBF0" w14:textId="5A752DE0"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315 </w:t>
            </w:r>
          </w:p>
        </w:tc>
        <w:tc>
          <w:tcPr>
            <w:tcW w:w="302" w:type="pct"/>
            <w:noWrap/>
            <w:hideMark/>
          </w:tcPr>
          <w:p w14:paraId="20A010E3" w14:textId="7A24429D"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315 </w:t>
            </w:r>
          </w:p>
        </w:tc>
        <w:tc>
          <w:tcPr>
            <w:tcW w:w="302" w:type="pct"/>
            <w:noWrap/>
            <w:hideMark/>
          </w:tcPr>
          <w:p w14:paraId="37B4A11E" w14:textId="4D548A5F"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315 </w:t>
            </w:r>
          </w:p>
        </w:tc>
        <w:tc>
          <w:tcPr>
            <w:tcW w:w="302" w:type="pct"/>
            <w:noWrap/>
            <w:hideMark/>
          </w:tcPr>
          <w:p w14:paraId="2795CEC5" w14:textId="10ED8111"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315 </w:t>
            </w:r>
          </w:p>
        </w:tc>
        <w:tc>
          <w:tcPr>
            <w:tcW w:w="302" w:type="pct"/>
            <w:noWrap/>
            <w:hideMark/>
          </w:tcPr>
          <w:p w14:paraId="392A315C" w14:textId="181C7DAD"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315 </w:t>
            </w:r>
          </w:p>
        </w:tc>
        <w:tc>
          <w:tcPr>
            <w:tcW w:w="302" w:type="pct"/>
            <w:noWrap/>
            <w:hideMark/>
          </w:tcPr>
          <w:p w14:paraId="22B46F70" w14:textId="6CC8067D"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315 </w:t>
            </w:r>
          </w:p>
        </w:tc>
        <w:tc>
          <w:tcPr>
            <w:tcW w:w="307" w:type="pct"/>
            <w:noWrap/>
            <w:hideMark/>
          </w:tcPr>
          <w:p w14:paraId="7F23ED6E" w14:textId="3A9D4125"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315 </w:t>
            </w:r>
          </w:p>
        </w:tc>
      </w:tr>
      <w:tr w:rsidR="00286786" w:rsidRPr="00D51D8D" w14:paraId="193A8F34" w14:textId="77777777" w:rsidTr="001419A0">
        <w:trPr>
          <w:trHeight w:val="139"/>
        </w:trPr>
        <w:tc>
          <w:tcPr>
            <w:tcW w:w="1084" w:type="pct"/>
            <w:noWrap/>
            <w:hideMark/>
          </w:tcPr>
          <w:p w14:paraId="025952D5" w14:textId="5645D7D9" w:rsidR="00286786" w:rsidRPr="00D51D8D" w:rsidRDefault="00286786" w:rsidP="001419A0">
            <w:pPr>
              <w:spacing w:after="0" w:line="240" w:lineRule="auto"/>
              <w:ind w:left="142" w:right="640"/>
              <w:rPr>
                <w:rFonts w:asciiTheme="majorHAnsi" w:eastAsia="Times New Roman" w:hAnsiTheme="majorHAnsi" w:cs="Times New Roman"/>
                <w:color w:val="000000"/>
                <w:sz w:val="14"/>
                <w:szCs w:val="14"/>
                <w:lang w:eastAsia="en-AU"/>
              </w:rPr>
            </w:pPr>
            <w:r w:rsidRPr="00D51D8D">
              <w:rPr>
                <w:rFonts w:asciiTheme="majorHAnsi" w:eastAsia="Times New Roman" w:hAnsiTheme="majorHAnsi" w:cs="Times New Roman"/>
                <w:color w:val="000000"/>
                <w:sz w:val="14"/>
                <w:szCs w:val="14"/>
                <w:lang w:eastAsia="en-AU"/>
              </w:rPr>
              <w:t>Rooming Houses</w:t>
            </w:r>
          </w:p>
        </w:tc>
        <w:tc>
          <w:tcPr>
            <w:tcW w:w="289" w:type="pct"/>
            <w:noWrap/>
            <w:hideMark/>
          </w:tcPr>
          <w:p w14:paraId="37CB6915" w14:textId="4902B849"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1,305 </w:t>
            </w:r>
          </w:p>
        </w:tc>
        <w:tc>
          <w:tcPr>
            <w:tcW w:w="303" w:type="pct"/>
            <w:noWrap/>
            <w:hideMark/>
          </w:tcPr>
          <w:p w14:paraId="118B0AD9" w14:textId="17E09328"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1,305 </w:t>
            </w:r>
          </w:p>
        </w:tc>
        <w:tc>
          <w:tcPr>
            <w:tcW w:w="301" w:type="pct"/>
            <w:noWrap/>
            <w:hideMark/>
          </w:tcPr>
          <w:p w14:paraId="1E2BE480" w14:textId="7248FA70"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1,344 </w:t>
            </w:r>
          </w:p>
        </w:tc>
        <w:tc>
          <w:tcPr>
            <w:tcW w:w="301" w:type="pct"/>
            <w:noWrap/>
            <w:hideMark/>
          </w:tcPr>
          <w:p w14:paraId="14E9C8C9" w14:textId="7E47BFEB"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1,384 </w:t>
            </w:r>
          </w:p>
        </w:tc>
        <w:tc>
          <w:tcPr>
            <w:tcW w:w="302" w:type="pct"/>
            <w:noWrap/>
            <w:hideMark/>
          </w:tcPr>
          <w:p w14:paraId="67C88907" w14:textId="44C6B887"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1,425 </w:t>
            </w:r>
          </w:p>
        </w:tc>
        <w:tc>
          <w:tcPr>
            <w:tcW w:w="302" w:type="pct"/>
            <w:noWrap/>
            <w:hideMark/>
          </w:tcPr>
          <w:p w14:paraId="133DD2B9" w14:textId="5B519F8F"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1,468 </w:t>
            </w:r>
          </w:p>
        </w:tc>
        <w:tc>
          <w:tcPr>
            <w:tcW w:w="302" w:type="pct"/>
            <w:noWrap/>
            <w:hideMark/>
          </w:tcPr>
          <w:p w14:paraId="45C9BC61" w14:textId="26117CFE"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1,512 </w:t>
            </w:r>
          </w:p>
        </w:tc>
        <w:tc>
          <w:tcPr>
            <w:tcW w:w="302" w:type="pct"/>
            <w:noWrap/>
            <w:hideMark/>
          </w:tcPr>
          <w:p w14:paraId="674C9F6A" w14:textId="59B83D8B"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1,557 </w:t>
            </w:r>
          </w:p>
        </w:tc>
        <w:tc>
          <w:tcPr>
            <w:tcW w:w="302" w:type="pct"/>
            <w:noWrap/>
            <w:hideMark/>
          </w:tcPr>
          <w:p w14:paraId="018C9EF9" w14:textId="73F400B5"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1,603 </w:t>
            </w:r>
          </w:p>
        </w:tc>
        <w:tc>
          <w:tcPr>
            <w:tcW w:w="302" w:type="pct"/>
            <w:noWrap/>
            <w:hideMark/>
          </w:tcPr>
          <w:p w14:paraId="0ABB546F" w14:textId="1AADFA71"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1,651 </w:t>
            </w:r>
          </w:p>
        </w:tc>
        <w:tc>
          <w:tcPr>
            <w:tcW w:w="302" w:type="pct"/>
            <w:noWrap/>
            <w:hideMark/>
          </w:tcPr>
          <w:p w14:paraId="4FA2CC9D" w14:textId="47F09020"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1,701 </w:t>
            </w:r>
          </w:p>
        </w:tc>
        <w:tc>
          <w:tcPr>
            <w:tcW w:w="302" w:type="pct"/>
            <w:noWrap/>
            <w:hideMark/>
          </w:tcPr>
          <w:p w14:paraId="33908169" w14:textId="14BDED56"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1,751 </w:t>
            </w:r>
          </w:p>
        </w:tc>
        <w:tc>
          <w:tcPr>
            <w:tcW w:w="307" w:type="pct"/>
            <w:noWrap/>
            <w:hideMark/>
          </w:tcPr>
          <w:p w14:paraId="49C1572F" w14:textId="16AFD669" w:rsidR="00286786" w:rsidRPr="00D51D8D" w:rsidRDefault="00286786" w:rsidP="00286786">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1,804 </w:t>
            </w:r>
          </w:p>
        </w:tc>
      </w:tr>
      <w:tr w:rsidR="00A0002C" w:rsidRPr="00D51D8D" w14:paraId="36E51F4C" w14:textId="77777777" w:rsidTr="00E63F76">
        <w:trPr>
          <w:trHeight w:val="139"/>
        </w:trPr>
        <w:tc>
          <w:tcPr>
            <w:tcW w:w="5000" w:type="pct"/>
            <w:gridSpan w:val="14"/>
            <w:shd w:val="clear" w:color="auto" w:fill="DFF0F9" w:themeFill="accent3" w:themeFillTint="33"/>
            <w:noWrap/>
            <w:hideMark/>
          </w:tcPr>
          <w:p w14:paraId="76946B4B" w14:textId="77777777" w:rsidR="00A0002C" w:rsidRPr="00D51D8D" w:rsidRDefault="00A0002C" w:rsidP="00FE6F9B">
            <w:pPr>
              <w:spacing w:after="0" w:line="240" w:lineRule="auto"/>
              <w:jc w:val="center"/>
              <w:rPr>
                <w:rFonts w:asciiTheme="majorHAnsi" w:eastAsia="Times New Roman" w:hAnsiTheme="majorHAnsi" w:cs="Times New Roman"/>
                <w:sz w:val="14"/>
                <w:szCs w:val="14"/>
                <w:lang w:eastAsia="en-AU"/>
              </w:rPr>
            </w:pPr>
            <w:r w:rsidRPr="00D51D8D">
              <w:rPr>
                <w:rFonts w:asciiTheme="majorHAnsi" w:eastAsia="Times New Roman" w:hAnsiTheme="majorHAnsi" w:cs="Times New Roman"/>
                <w:b/>
                <w:sz w:val="14"/>
                <w:szCs w:val="14"/>
                <w:lang w:eastAsia="en-AU"/>
              </w:rPr>
              <w:t>New</w:t>
            </w:r>
            <w:r w:rsidRPr="00D51D8D">
              <w:rPr>
                <w:rFonts w:asciiTheme="majorHAnsi" w:eastAsia="Times New Roman" w:hAnsiTheme="majorHAnsi" w:cs="Times New Roman"/>
                <w:sz w:val="14"/>
                <w:szCs w:val="14"/>
                <w:lang w:eastAsia="en-AU"/>
              </w:rPr>
              <w:t xml:space="preserve"> </w:t>
            </w:r>
            <w:r w:rsidRPr="00D51D8D">
              <w:rPr>
                <w:rFonts w:asciiTheme="majorHAnsi" w:eastAsia="Times New Roman" w:hAnsiTheme="majorHAnsi" w:cs="Times New Roman"/>
                <w:b/>
                <w:bCs/>
                <w:color w:val="000000"/>
                <w:sz w:val="14"/>
                <w:szCs w:val="14"/>
                <w:lang w:eastAsia="en-AU"/>
              </w:rPr>
              <w:t>prescribed accommodation</w:t>
            </w:r>
          </w:p>
        </w:tc>
      </w:tr>
      <w:tr w:rsidR="00D51D8D" w:rsidRPr="00D51D8D" w14:paraId="3AF39E94" w14:textId="77777777" w:rsidTr="001419A0">
        <w:trPr>
          <w:trHeight w:val="139"/>
        </w:trPr>
        <w:tc>
          <w:tcPr>
            <w:tcW w:w="1084" w:type="pct"/>
            <w:noWrap/>
            <w:hideMark/>
          </w:tcPr>
          <w:p w14:paraId="0EEE749D" w14:textId="77777777" w:rsidR="00103F1E" w:rsidRPr="00D51D8D" w:rsidRDefault="00103F1E" w:rsidP="00103F1E">
            <w:pPr>
              <w:spacing w:after="0" w:line="240" w:lineRule="auto"/>
              <w:rPr>
                <w:rFonts w:asciiTheme="majorHAnsi" w:eastAsia="Times New Roman" w:hAnsiTheme="majorHAnsi" w:cs="Times New Roman"/>
                <w:color w:val="000000"/>
                <w:sz w:val="14"/>
                <w:szCs w:val="14"/>
                <w:lang w:eastAsia="en-AU"/>
              </w:rPr>
            </w:pPr>
            <w:r w:rsidRPr="00D51D8D">
              <w:rPr>
                <w:rFonts w:asciiTheme="majorHAnsi" w:eastAsia="Times New Roman" w:hAnsiTheme="majorHAnsi" w:cs="Times New Roman"/>
                <w:color w:val="000000"/>
                <w:sz w:val="14"/>
                <w:szCs w:val="14"/>
                <w:lang w:eastAsia="en-AU"/>
              </w:rPr>
              <w:t>Total new prescribed accommodation facilities</w:t>
            </w:r>
          </w:p>
        </w:tc>
        <w:tc>
          <w:tcPr>
            <w:tcW w:w="289" w:type="pct"/>
            <w:noWrap/>
            <w:hideMark/>
          </w:tcPr>
          <w:p w14:paraId="6CFC61E1" w14:textId="036E6E7B" w:rsidR="00103F1E" w:rsidRPr="00D51D8D" w:rsidRDefault="00103F1E" w:rsidP="00103F1E">
            <w:pPr>
              <w:spacing w:after="0" w:line="240" w:lineRule="auto"/>
              <w:jc w:val="center"/>
              <w:rPr>
                <w:rFonts w:asciiTheme="majorHAnsi" w:eastAsia="Times New Roman" w:hAnsiTheme="majorHAnsi" w:cs="Times New Roman"/>
                <w:b/>
                <w:bCs/>
                <w:color w:val="000000"/>
                <w:sz w:val="14"/>
                <w:szCs w:val="14"/>
                <w:lang w:eastAsia="en-AU"/>
              </w:rPr>
            </w:pPr>
            <w:r w:rsidRPr="00D51D8D">
              <w:rPr>
                <w:rFonts w:asciiTheme="majorHAnsi" w:hAnsiTheme="majorHAnsi"/>
                <w:b/>
                <w:sz w:val="14"/>
                <w:szCs w:val="14"/>
              </w:rPr>
              <w:t>0</w:t>
            </w:r>
          </w:p>
        </w:tc>
        <w:tc>
          <w:tcPr>
            <w:tcW w:w="303" w:type="pct"/>
            <w:noWrap/>
            <w:hideMark/>
          </w:tcPr>
          <w:p w14:paraId="2943F372" w14:textId="2218A3E2" w:rsidR="00103F1E" w:rsidRPr="00D51D8D" w:rsidRDefault="00103F1E" w:rsidP="00103F1E">
            <w:pPr>
              <w:spacing w:after="0" w:line="240" w:lineRule="auto"/>
              <w:jc w:val="center"/>
              <w:rPr>
                <w:rFonts w:asciiTheme="majorHAnsi" w:eastAsia="Times New Roman" w:hAnsiTheme="majorHAnsi" w:cs="Times New Roman"/>
                <w:b/>
                <w:bCs/>
                <w:color w:val="000000"/>
                <w:sz w:val="14"/>
                <w:szCs w:val="14"/>
                <w:lang w:eastAsia="en-AU"/>
              </w:rPr>
            </w:pPr>
            <w:r w:rsidRPr="00D51D8D">
              <w:rPr>
                <w:rFonts w:asciiTheme="majorHAnsi" w:hAnsiTheme="majorHAnsi"/>
                <w:b/>
                <w:sz w:val="14"/>
                <w:szCs w:val="14"/>
              </w:rPr>
              <w:t xml:space="preserve"> 106 </w:t>
            </w:r>
          </w:p>
        </w:tc>
        <w:tc>
          <w:tcPr>
            <w:tcW w:w="301" w:type="pct"/>
            <w:noWrap/>
            <w:hideMark/>
          </w:tcPr>
          <w:p w14:paraId="2EDF15E3" w14:textId="7A75E294" w:rsidR="00103F1E" w:rsidRPr="00D51D8D" w:rsidRDefault="00103F1E" w:rsidP="00103F1E">
            <w:pPr>
              <w:spacing w:after="0" w:line="240" w:lineRule="auto"/>
              <w:jc w:val="center"/>
              <w:rPr>
                <w:rFonts w:asciiTheme="majorHAnsi" w:eastAsia="Times New Roman" w:hAnsiTheme="majorHAnsi" w:cs="Times New Roman"/>
                <w:b/>
                <w:bCs/>
                <w:color w:val="000000"/>
                <w:sz w:val="14"/>
                <w:szCs w:val="14"/>
                <w:lang w:eastAsia="en-AU"/>
              </w:rPr>
            </w:pPr>
            <w:r w:rsidRPr="00D51D8D">
              <w:rPr>
                <w:rFonts w:asciiTheme="majorHAnsi" w:hAnsiTheme="majorHAnsi"/>
                <w:b/>
                <w:sz w:val="14"/>
                <w:szCs w:val="14"/>
              </w:rPr>
              <w:t xml:space="preserve"> 108 </w:t>
            </w:r>
          </w:p>
        </w:tc>
        <w:tc>
          <w:tcPr>
            <w:tcW w:w="301" w:type="pct"/>
            <w:noWrap/>
            <w:hideMark/>
          </w:tcPr>
          <w:p w14:paraId="3F576527" w14:textId="7875106D" w:rsidR="00103F1E" w:rsidRPr="00D51D8D" w:rsidRDefault="00103F1E" w:rsidP="00103F1E">
            <w:pPr>
              <w:spacing w:after="0" w:line="240" w:lineRule="auto"/>
              <w:jc w:val="center"/>
              <w:rPr>
                <w:rFonts w:asciiTheme="majorHAnsi" w:eastAsia="Times New Roman" w:hAnsiTheme="majorHAnsi" w:cs="Times New Roman"/>
                <w:b/>
                <w:bCs/>
                <w:color w:val="000000"/>
                <w:sz w:val="14"/>
                <w:szCs w:val="14"/>
                <w:lang w:eastAsia="en-AU"/>
              </w:rPr>
            </w:pPr>
            <w:r w:rsidRPr="00D51D8D">
              <w:rPr>
                <w:rFonts w:asciiTheme="majorHAnsi" w:hAnsiTheme="majorHAnsi"/>
                <w:b/>
                <w:sz w:val="14"/>
                <w:szCs w:val="14"/>
              </w:rPr>
              <w:t xml:space="preserve"> 111 </w:t>
            </w:r>
          </w:p>
        </w:tc>
        <w:tc>
          <w:tcPr>
            <w:tcW w:w="302" w:type="pct"/>
            <w:noWrap/>
            <w:hideMark/>
          </w:tcPr>
          <w:p w14:paraId="16D07225" w14:textId="3F36A64A" w:rsidR="00103F1E" w:rsidRPr="00D51D8D" w:rsidRDefault="00103F1E" w:rsidP="00103F1E">
            <w:pPr>
              <w:spacing w:after="0" w:line="240" w:lineRule="auto"/>
              <w:jc w:val="center"/>
              <w:rPr>
                <w:rFonts w:asciiTheme="majorHAnsi" w:eastAsia="Times New Roman" w:hAnsiTheme="majorHAnsi" w:cs="Times New Roman"/>
                <w:b/>
                <w:bCs/>
                <w:color w:val="000000"/>
                <w:sz w:val="14"/>
                <w:szCs w:val="14"/>
                <w:lang w:eastAsia="en-AU"/>
              </w:rPr>
            </w:pPr>
            <w:r w:rsidRPr="00D51D8D">
              <w:rPr>
                <w:rFonts w:asciiTheme="majorHAnsi" w:hAnsiTheme="majorHAnsi"/>
                <w:b/>
                <w:sz w:val="14"/>
                <w:szCs w:val="14"/>
              </w:rPr>
              <w:t xml:space="preserve"> 114 </w:t>
            </w:r>
          </w:p>
        </w:tc>
        <w:tc>
          <w:tcPr>
            <w:tcW w:w="302" w:type="pct"/>
            <w:noWrap/>
            <w:hideMark/>
          </w:tcPr>
          <w:p w14:paraId="55B7BB46" w14:textId="51F75326" w:rsidR="00103F1E" w:rsidRPr="00D51D8D" w:rsidRDefault="00103F1E" w:rsidP="00103F1E">
            <w:pPr>
              <w:spacing w:after="0" w:line="240" w:lineRule="auto"/>
              <w:jc w:val="center"/>
              <w:rPr>
                <w:rFonts w:asciiTheme="majorHAnsi" w:eastAsia="Times New Roman" w:hAnsiTheme="majorHAnsi" w:cs="Times New Roman"/>
                <w:b/>
                <w:bCs/>
                <w:color w:val="000000"/>
                <w:sz w:val="14"/>
                <w:szCs w:val="14"/>
                <w:lang w:eastAsia="en-AU"/>
              </w:rPr>
            </w:pPr>
            <w:r w:rsidRPr="00D51D8D">
              <w:rPr>
                <w:rFonts w:asciiTheme="majorHAnsi" w:hAnsiTheme="majorHAnsi"/>
                <w:b/>
                <w:sz w:val="14"/>
                <w:szCs w:val="14"/>
              </w:rPr>
              <w:t xml:space="preserve"> 117 </w:t>
            </w:r>
          </w:p>
        </w:tc>
        <w:tc>
          <w:tcPr>
            <w:tcW w:w="302" w:type="pct"/>
            <w:noWrap/>
            <w:hideMark/>
          </w:tcPr>
          <w:p w14:paraId="0498515D" w14:textId="1498F77C" w:rsidR="00103F1E" w:rsidRPr="00D51D8D" w:rsidRDefault="00103F1E" w:rsidP="00103F1E">
            <w:pPr>
              <w:spacing w:after="0" w:line="240" w:lineRule="auto"/>
              <w:jc w:val="center"/>
              <w:rPr>
                <w:rFonts w:asciiTheme="majorHAnsi" w:eastAsia="Times New Roman" w:hAnsiTheme="majorHAnsi" w:cs="Times New Roman"/>
                <w:b/>
                <w:bCs/>
                <w:color w:val="000000"/>
                <w:sz w:val="14"/>
                <w:szCs w:val="14"/>
                <w:lang w:eastAsia="en-AU"/>
              </w:rPr>
            </w:pPr>
            <w:r w:rsidRPr="00D51D8D">
              <w:rPr>
                <w:rFonts w:asciiTheme="majorHAnsi" w:hAnsiTheme="majorHAnsi"/>
                <w:b/>
                <w:sz w:val="14"/>
                <w:szCs w:val="14"/>
              </w:rPr>
              <w:t xml:space="preserve"> 120 </w:t>
            </w:r>
          </w:p>
        </w:tc>
        <w:tc>
          <w:tcPr>
            <w:tcW w:w="302" w:type="pct"/>
            <w:noWrap/>
            <w:hideMark/>
          </w:tcPr>
          <w:p w14:paraId="62760399" w14:textId="7D66A010" w:rsidR="00103F1E" w:rsidRPr="00D51D8D" w:rsidRDefault="00103F1E" w:rsidP="00103F1E">
            <w:pPr>
              <w:spacing w:after="0" w:line="240" w:lineRule="auto"/>
              <w:jc w:val="center"/>
              <w:rPr>
                <w:rFonts w:asciiTheme="majorHAnsi" w:eastAsia="Times New Roman" w:hAnsiTheme="majorHAnsi" w:cs="Times New Roman"/>
                <w:b/>
                <w:bCs/>
                <w:color w:val="000000"/>
                <w:sz w:val="14"/>
                <w:szCs w:val="14"/>
                <w:lang w:eastAsia="en-AU"/>
              </w:rPr>
            </w:pPr>
            <w:r w:rsidRPr="00D51D8D">
              <w:rPr>
                <w:rFonts w:asciiTheme="majorHAnsi" w:hAnsiTheme="majorHAnsi"/>
                <w:b/>
                <w:sz w:val="14"/>
                <w:szCs w:val="14"/>
              </w:rPr>
              <w:t xml:space="preserve"> 123 </w:t>
            </w:r>
          </w:p>
        </w:tc>
        <w:tc>
          <w:tcPr>
            <w:tcW w:w="302" w:type="pct"/>
            <w:noWrap/>
            <w:hideMark/>
          </w:tcPr>
          <w:p w14:paraId="6474E1DE" w14:textId="53E468F5" w:rsidR="00103F1E" w:rsidRPr="00D51D8D" w:rsidRDefault="00103F1E" w:rsidP="00103F1E">
            <w:pPr>
              <w:spacing w:after="0" w:line="240" w:lineRule="auto"/>
              <w:jc w:val="center"/>
              <w:rPr>
                <w:rFonts w:asciiTheme="majorHAnsi" w:eastAsia="Times New Roman" w:hAnsiTheme="majorHAnsi" w:cs="Times New Roman"/>
                <w:b/>
                <w:bCs/>
                <w:color w:val="000000"/>
                <w:sz w:val="14"/>
                <w:szCs w:val="14"/>
                <w:lang w:eastAsia="en-AU"/>
              </w:rPr>
            </w:pPr>
            <w:r w:rsidRPr="00D51D8D">
              <w:rPr>
                <w:rFonts w:asciiTheme="majorHAnsi" w:hAnsiTheme="majorHAnsi"/>
                <w:b/>
                <w:sz w:val="14"/>
                <w:szCs w:val="14"/>
              </w:rPr>
              <w:t xml:space="preserve"> 126 </w:t>
            </w:r>
          </w:p>
        </w:tc>
        <w:tc>
          <w:tcPr>
            <w:tcW w:w="302" w:type="pct"/>
            <w:noWrap/>
            <w:hideMark/>
          </w:tcPr>
          <w:p w14:paraId="7309E0F4" w14:textId="71E52305" w:rsidR="00103F1E" w:rsidRPr="00D51D8D" w:rsidRDefault="00103F1E" w:rsidP="00103F1E">
            <w:pPr>
              <w:spacing w:after="0" w:line="240" w:lineRule="auto"/>
              <w:jc w:val="center"/>
              <w:rPr>
                <w:rFonts w:asciiTheme="majorHAnsi" w:eastAsia="Times New Roman" w:hAnsiTheme="majorHAnsi" w:cs="Times New Roman"/>
                <w:b/>
                <w:bCs/>
                <w:color w:val="000000"/>
                <w:sz w:val="14"/>
                <w:szCs w:val="14"/>
                <w:lang w:eastAsia="en-AU"/>
              </w:rPr>
            </w:pPr>
            <w:r w:rsidRPr="00D51D8D">
              <w:rPr>
                <w:rFonts w:asciiTheme="majorHAnsi" w:hAnsiTheme="majorHAnsi"/>
                <w:b/>
                <w:sz w:val="14"/>
                <w:szCs w:val="14"/>
              </w:rPr>
              <w:t xml:space="preserve"> 129 </w:t>
            </w:r>
          </w:p>
        </w:tc>
        <w:tc>
          <w:tcPr>
            <w:tcW w:w="302" w:type="pct"/>
            <w:noWrap/>
            <w:hideMark/>
          </w:tcPr>
          <w:p w14:paraId="5D07F2A4" w14:textId="2F3781F6" w:rsidR="00103F1E" w:rsidRPr="00D51D8D" w:rsidRDefault="00103F1E" w:rsidP="00103F1E">
            <w:pPr>
              <w:spacing w:after="0" w:line="240" w:lineRule="auto"/>
              <w:jc w:val="center"/>
              <w:rPr>
                <w:rFonts w:asciiTheme="majorHAnsi" w:eastAsia="Times New Roman" w:hAnsiTheme="majorHAnsi" w:cs="Times New Roman"/>
                <w:b/>
                <w:bCs/>
                <w:color w:val="000000"/>
                <w:sz w:val="14"/>
                <w:szCs w:val="14"/>
                <w:lang w:eastAsia="en-AU"/>
              </w:rPr>
            </w:pPr>
            <w:r w:rsidRPr="00D51D8D">
              <w:rPr>
                <w:rFonts w:asciiTheme="majorHAnsi" w:hAnsiTheme="majorHAnsi"/>
                <w:b/>
                <w:sz w:val="14"/>
                <w:szCs w:val="14"/>
              </w:rPr>
              <w:t xml:space="preserve"> 132 </w:t>
            </w:r>
          </w:p>
        </w:tc>
        <w:tc>
          <w:tcPr>
            <w:tcW w:w="302" w:type="pct"/>
            <w:noWrap/>
            <w:hideMark/>
          </w:tcPr>
          <w:p w14:paraId="14F45D1D" w14:textId="25767117" w:rsidR="00103F1E" w:rsidRPr="00D51D8D" w:rsidRDefault="00103F1E" w:rsidP="00103F1E">
            <w:pPr>
              <w:spacing w:after="0" w:line="240" w:lineRule="auto"/>
              <w:jc w:val="center"/>
              <w:rPr>
                <w:rFonts w:asciiTheme="majorHAnsi" w:eastAsia="Times New Roman" w:hAnsiTheme="majorHAnsi" w:cs="Times New Roman"/>
                <w:b/>
                <w:bCs/>
                <w:color w:val="000000"/>
                <w:sz w:val="14"/>
                <w:szCs w:val="14"/>
                <w:lang w:eastAsia="en-AU"/>
              </w:rPr>
            </w:pPr>
            <w:r w:rsidRPr="00D51D8D">
              <w:rPr>
                <w:rFonts w:asciiTheme="majorHAnsi" w:hAnsiTheme="majorHAnsi"/>
                <w:b/>
                <w:sz w:val="14"/>
                <w:szCs w:val="14"/>
              </w:rPr>
              <w:t xml:space="preserve"> 135 </w:t>
            </w:r>
          </w:p>
        </w:tc>
        <w:tc>
          <w:tcPr>
            <w:tcW w:w="307" w:type="pct"/>
            <w:noWrap/>
            <w:hideMark/>
          </w:tcPr>
          <w:p w14:paraId="7DA4EBB6" w14:textId="7FFF6688" w:rsidR="00103F1E" w:rsidRPr="00D51D8D" w:rsidRDefault="00103F1E" w:rsidP="00103F1E">
            <w:pPr>
              <w:spacing w:after="0" w:line="240" w:lineRule="auto"/>
              <w:jc w:val="center"/>
              <w:rPr>
                <w:rFonts w:asciiTheme="majorHAnsi" w:eastAsia="Times New Roman" w:hAnsiTheme="majorHAnsi" w:cs="Times New Roman"/>
                <w:b/>
                <w:bCs/>
                <w:color w:val="000000"/>
                <w:sz w:val="14"/>
                <w:szCs w:val="14"/>
                <w:lang w:eastAsia="en-AU"/>
              </w:rPr>
            </w:pPr>
            <w:r w:rsidRPr="00D51D8D">
              <w:rPr>
                <w:rFonts w:asciiTheme="majorHAnsi" w:hAnsiTheme="majorHAnsi"/>
                <w:b/>
                <w:sz w:val="14"/>
                <w:szCs w:val="14"/>
              </w:rPr>
              <w:t xml:space="preserve"> 139 </w:t>
            </w:r>
          </w:p>
        </w:tc>
      </w:tr>
      <w:tr w:rsidR="00D51D8D" w:rsidRPr="00D51D8D" w14:paraId="10977459" w14:textId="77777777" w:rsidTr="001419A0">
        <w:trPr>
          <w:trHeight w:val="139"/>
        </w:trPr>
        <w:tc>
          <w:tcPr>
            <w:tcW w:w="1084" w:type="pct"/>
            <w:noWrap/>
            <w:hideMark/>
          </w:tcPr>
          <w:p w14:paraId="31572747" w14:textId="77777777" w:rsidR="00D35650" w:rsidRPr="00D51D8D" w:rsidRDefault="00103F1E" w:rsidP="001419A0">
            <w:pPr>
              <w:spacing w:after="0" w:line="240" w:lineRule="auto"/>
              <w:ind w:left="142" w:right="640"/>
              <w:rPr>
                <w:rFonts w:asciiTheme="majorHAnsi" w:eastAsia="Times New Roman" w:hAnsiTheme="majorHAnsi" w:cs="Times New Roman"/>
                <w:color w:val="000000"/>
                <w:sz w:val="14"/>
                <w:szCs w:val="14"/>
                <w:lang w:eastAsia="en-AU"/>
              </w:rPr>
            </w:pPr>
            <w:r w:rsidRPr="00D51D8D">
              <w:rPr>
                <w:rFonts w:asciiTheme="majorHAnsi" w:eastAsia="Times New Roman" w:hAnsiTheme="majorHAnsi" w:cs="Times New Roman"/>
                <w:color w:val="000000"/>
                <w:sz w:val="14"/>
                <w:szCs w:val="14"/>
                <w:lang w:eastAsia="en-AU"/>
              </w:rPr>
              <w:t xml:space="preserve">Residential </w:t>
            </w:r>
          </w:p>
          <w:p w14:paraId="2F17582D" w14:textId="4CA6AD67" w:rsidR="00103F1E" w:rsidRPr="00D51D8D" w:rsidRDefault="00103F1E" w:rsidP="001419A0">
            <w:pPr>
              <w:spacing w:after="0" w:line="240" w:lineRule="auto"/>
              <w:ind w:left="142" w:right="640"/>
              <w:rPr>
                <w:rFonts w:asciiTheme="majorHAnsi" w:eastAsia="Times New Roman" w:hAnsiTheme="majorHAnsi" w:cs="Times New Roman"/>
                <w:color w:val="000000"/>
                <w:sz w:val="14"/>
                <w:szCs w:val="14"/>
                <w:lang w:eastAsia="en-AU"/>
              </w:rPr>
            </w:pPr>
            <w:r w:rsidRPr="00D51D8D">
              <w:rPr>
                <w:rFonts w:asciiTheme="majorHAnsi" w:eastAsia="Times New Roman" w:hAnsiTheme="majorHAnsi" w:cs="Times New Roman"/>
                <w:color w:val="000000"/>
                <w:sz w:val="14"/>
                <w:szCs w:val="14"/>
                <w:lang w:eastAsia="en-AU"/>
              </w:rPr>
              <w:t>Accommodation</w:t>
            </w:r>
          </w:p>
        </w:tc>
        <w:tc>
          <w:tcPr>
            <w:tcW w:w="289" w:type="pct"/>
            <w:noWrap/>
            <w:hideMark/>
          </w:tcPr>
          <w:p w14:paraId="2D9E89F8" w14:textId="026BEC62"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0   </w:t>
            </w:r>
          </w:p>
        </w:tc>
        <w:tc>
          <w:tcPr>
            <w:tcW w:w="303" w:type="pct"/>
            <w:noWrap/>
            <w:hideMark/>
          </w:tcPr>
          <w:p w14:paraId="361FBDD8" w14:textId="4C9B8F7B"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38 </w:t>
            </w:r>
          </w:p>
        </w:tc>
        <w:tc>
          <w:tcPr>
            <w:tcW w:w="301" w:type="pct"/>
            <w:noWrap/>
            <w:hideMark/>
          </w:tcPr>
          <w:p w14:paraId="7AC2DDA2" w14:textId="4C7C577A"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39 </w:t>
            </w:r>
          </w:p>
        </w:tc>
        <w:tc>
          <w:tcPr>
            <w:tcW w:w="301" w:type="pct"/>
            <w:noWrap/>
            <w:hideMark/>
          </w:tcPr>
          <w:p w14:paraId="20BD8BB6" w14:textId="5849740E"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40 </w:t>
            </w:r>
          </w:p>
        </w:tc>
        <w:tc>
          <w:tcPr>
            <w:tcW w:w="302" w:type="pct"/>
            <w:noWrap/>
            <w:hideMark/>
          </w:tcPr>
          <w:p w14:paraId="22A58256" w14:textId="424FD773"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41 </w:t>
            </w:r>
          </w:p>
        </w:tc>
        <w:tc>
          <w:tcPr>
            <w:tcW w:w="302" w:type="pct"/>
            <w:noWrap/>
            <w:hideMark/>
          </w:tcPr>
          <w:p w14:paraId="4285E014" w14:textId="548472A2"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42 </w:t>
            </w:r>
          </w:p>
        </w:tc>
        <w:tc>
          <w:tcPr>
            <w:tcW w:w="302" w:type="pct"/>
            <w:noWrap/>
            <w:hideMark/>
          </w:tcPr>
          <w:p w14:paraId="24F23A01" w14:textId="2F9676ED"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43 </w:t>
            </w:r>
          </w:p>
        </w:tc>
        <w:tc>
          <w:tcPr>
            <w:tcW w:w="302" w:type="pct"/>
            <w:noWrap/>
            <w:hideMark/>
          </w:tcPr>
          <w:p w14:paraId="7BA810ED" w14:textId="251EFFE1"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44 </w:t>
            </w:r>
          </w:p>
        </w:tc>
        <w:tc>
          <w:tcPr>
            <w:tcW w:w="302" w:type="pct"/>
            <w:noWrap/>
            <w:hideMark/>
          </w:tcPr>
          <w:p w14:paraId="799E48C2" w14:textId="2B277AB8"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45 </w:t>
            </w:r>
          </w:p>
        </w:tc>
        <w:tc>
          <w:tcPr>
            <w:tcW w:w="302" w:type="pct"/>
            <w:noWrap/>
            <w:hideMark/>
          </w:tcPr>
          <w:p w14:paraId="485A33A3" w14:textId="020C7DFF"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46 </w:t>
            </w:r>
          </w:p>
        </w:tc>
        <w:tc>
          <w:tcPr>
            <w:tcW w:w="302" w:type="pct"/>
            <w:noWrap/>
            <w:hideMark/>
          </w:tcPr>
          <w:p w14:paraId="477BC31D" w14:textId="234946DE"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48 </w:t>
            </w:r>
          </w:p>
        </w:tc>
        <w:tc>
          <w:tcPr>
            <w:tcW w:w="302" w:type="pct"/>
            <w:noWrap/>
            <w:hideMark/>
          </w:tcPr>
          <w:p w14:paraId="71F913A3" w14:textId="54C20BAF"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49 </w:t>
            </w:r>
          </w:p>
        </w:tc>
        <w:tc>
          <w:tcPr>
            <w:tcW w:w="307" w:type="pct"/>
            <w:noWrap/>
            <w:hideMark/>
          </w:tcPr>
          <w:p w14:paraId="7B7347D3" w14:textId="4A63499E"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50 </w:t>
            </w:r>
          </w:p>
        </w:tc>
      </w:tr>
      <w:tr w:rsidR="00D51D8D" w:rsidRPr="00D51D8D" w14:paraId="16FF1D98" w14:textId="77777777" w:rsidTr="001419A0">
        <w:trPr>
          <w:trHeight w:val="139"/>
        </w:trPr>
        <w:tc>
          <w:tcPr>
            <w:tcW w:w="1084" w:type="pct"/>
            <w:noWrap/>
            <w:hideMark/>
          </w:tcPr>
          <w:p w14:paraId="1D573634" w14:textId="77777777" w:rsidR="00103F1E" w:rsidRPr="00D51D8D" w:rsidRDefault="00103F1E" w:rsidP="001419A0">
            <w:pPr>
              <w:spacing w:after="0" w:line="240" w:lineRule="auto"/>
              <w:ind w:left="142" w:right="640"/>
              <w:rPr>
                <w:rFonts w:asciiTheme="majorHAnsi" w:eastAsia="Times New Roman" w:hAnsiTheme="majorHAnsi" w:cs="Times New Roman"/>
                <w:color w:val="000000"/>
                <w:sz w:val="14"/>
                <w:szCs w:val="14"/>
                <w:lang w:eastAsia="en-AU"/>
              </w:rPr>
            </w:pPr>
            <w:r w:rsidRPr="00D51D8D">
              <w:rPr>
                <w:rFonts w:asciiTheme="majorHAnsi" w:eastAsia="Times New Roman" w:hAnsiTheme="majorHAnsi" w:cs="Times New Roman"/>
                <w:color w:val="000000"/>
                <w:sz w:val="14"/>
                <w:szCs w:val="14"/>
                <w:lang w:eastAsia="en-AU"/>
              </w:rPr>
              <w:t xml:space="preserve">Hotels &amp; Motels </w:t>
            </w:r>
          </w:p>
        </w:tc>
        <w:tc>
          <w:tcPr>
            <w:tcW w:w="289" w:type="pct"/>
            <w:noWrap/>
            <w:hideMark/>
          </w:tcPr>
          <w:p w14:paraId="35C72163" w14:textId="2275B925"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0   </w:t>
            </w:r>
          </w:p>
        </w:tc>
        <w:tc>
          <w:tcPr>
            <w:tcW w:w="303" w:type="pct"/>
            <w:noWrap/>
            <w:hideMark/>
          </w:tcPr>
          <w:p w14:paraId="3358AB28" w14:textId="6D3D6742"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23 </w:t>
            </w:r>
          </w:p>
        </w:tc>
        <w:tc>
          <w:tcPr>
            <w:tcW w:w="301" w:type="pct"/>
            <w:noWrap/>
            <w:hideMark/>
          </w:tcPr>
          <w:p w14:paraId="6BAAEF5A" w14:textId="4B2FCCE0"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23 </w:t>
            </w:r>
          </w:p>
        </w:tc>
        <w:tc>
          <w:tcPr>
            <w:tcW w:w="301" w:type="pct"/>
            <w:noWrap/>
            <w:hideMark/>
          </w:tcPr>
          <w:p w14:paraId="17AD3706" w14:textId="64534206"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24 </w:t>
            </w:r>
          </w:p>
        </w:tc>
        <w:tc>
          <w:tcPr>
            <w:tcW w:w="302" w:type="pct"/>
            <w:noWrap/>
            <w:hideMark/>
          </w:tcPr>
          <w:p w14:paraId="6B24A73C" w14:textId="7548FC1D"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24 </w:t>
            </w:r>
          </w:p>
        </w:tc>
        <w:tc>
          <w:tcPr>
            <w:tcW w:w="302" w:type="pct"/>
            <w:noWrap/>
            <w:hideMark/>
          </w:tcPr>
          <w:p w14:paraId="7830A2A1" w14:textId="7F19A167"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25 </w:t>
            </w:r>
          </w:p>
        </w:tc>
        <w:tc>
          <w:tcPr>
            <w:tcW w:w="302" w:type="pct"/>
            <w:noWrap/>
            <w:hideMark/>
          </w:tcPr>
          <w:p w14:paraId="7CDBE1D0" w14:textId="0193913C"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25 </w:t>
            </w:r>
          </w:p>
        </w:tc>
        <w:tc>
          <w:tcPr>
            <w:tcW w:w="302" w:type="pct"/>
            <w:noWrap/>
            <w:hideMark/>
          </w:tcPr>
          <w:p w14:paraId="1A72D4FD" w14:textId="0A2AFDF5"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25 </w:t>
            </w:r>
          </w:p>
        </w:tc>
        <w:tc>
          <w:tcPr>
            <w:tcW w:w="302" w:type="pct"/>
            <w:noWrap/>
            <w:hideMark/>
          </w:tcPr>
          <w:p w14:paraId="42619B18" w14:textId="4DB01369"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26 </w:t>
            </w:r>
          </w:p>
        </w:tc>
        <w:tc>
          <w:tcPr>
            <w:tcW w:w="302" w:type="pct"/>
            <w:noWrap/>
            <w:hideMark/>
          </w:tcPr>
          <w:p w14:paraId="3587AF80" w14:textId="5E308326"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26 </w:t>
            </w:r>
          </w:p>
        </w:tc>
        <w:tc>
          <w:tcPr>
            <w:tcW w:w="302" w:type="pct"/>
            <w:noWrap/>
            <w:hideMark/>
          </w:tcPr>
          <w:p w14:paraId="31649BCA" w14:textId="34B65594"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27 </w:t>
            </w:r>
          </w:p>
        </w:tc>
        <w:tc>
          <w:tcPr>
            <w:tcW w:w="302" w:type="pct"/>
            <w:noWrap/>
            <w:hideMark/>
          </w:tcPr>
          <w:p w14:paraId="7BB9697F" w14:textId="12E8A9F8"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27 </w:t>
            </w:r>
          </w:p>
        </w:tc>
        <w:tc>
          <w:tcPr>
            <w:tcW w:w="307" w:type="pct"/>
            <w:noWrap/>
            <w:hideMark/>
          </w:tcPr>
          <w:p w14:paraId="13113A88" w14:textId="18EF9C29"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28 </w:t>
            </w:r>
          </w:p>
        </w:tc>
      </w:tr>
      <w:tr w:rsidR="00D51D8D" w:rsidRPr="00D51D8D" w14:paraId="0E0F1324" w14:textId="77777777" w:rsidTr="001419A0">
        <w:trPr>
          <w:trHeight w:val="139"/>
        </w:trPr>
        <w:tc>
          <w:tcPr>
            <w:tcW w:w="1084" w:type="pct"/>
            <w:noWrap/>
            <w:hideMark/>
          </w:tcPr>
          <w:p w14:paraId="541F0DCF" w14:textId="77777777" w:rsidR="00103F1E" w:rsidRPr="00D51D8D" w:rsidRDefault="00103F1E" w:rsidP="001419A0">
            <w:pPr>
              <w:spacing w:after="0" w:line="240" w:lineRule="auto"/>
              <w:ind w:left="142" w:right="640"/>
              <w:rPr>
                <w:rFonts w:asciiTheme="majorHAnsi" w:eastAsia="Times New Roman" w:hAnsiTheme="majorHAnsi" w:cs="Times New Roman"/>
                <w:color w:val="000000"/>
                <w:sz w:val="14"/>
                <w:szCs w:val="14"/>
                <w:lang w:eastAsia="en-AU"/>
              </w:rPr>
            </w:pPr>
            <w:r w:rsidRPr="00D51D8D">
              <w:rPr>
                <w:rFonts w:asciiTheme="majorHAnsi" w:eastAsia="Times New Roman" w:hAnsiTheme="majorHAnsi" w:cs="Times New Roman"/>
                <w:color w:val="000000"/>
                <w:sz w:val="14"/>
                <w:szCs w:val="14"/>
                <w:lang w:eastAsia="en-AU"/>
              </w:rPr>
              <w:t>Hostels</w:t>
            </w:r>
          </w:p>
        </w:tc>
        <w:tc>
          <w:tcPr>
            <w:tcW w:w="289" w:type="pct"/>
            <w:noWrap/>
            <w:hideMark/>
          </w:tcPr>
          <w:p w14:paraId="4661A3E0" w14:textId="70C0F183"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0   </w:t>
            </w:r>
          </w:p>
        </w:tc>
        <w:tc>
          <w:tcPr>
            <w:tcW w:w="303" w:type="pct"/>
            <w:noWrap/>
            <w:hideMark/>
          </w:tcPr>
          <w:p w14:paraId="2AD8B4DF" w14:textId="75143EA0"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2 </w:t>
            </w:r>
          </w:p>
        </w:tc>
        <w:tc>
          <w:tcPr>
            <w:tcW w:w="301" w:type="pct"/>
            <w:noWrap/>
            <w:hideMark/>
          </w:tcPr>
          <w:p w14:paraId="569FA973" w14:textId="120A6DD3"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2 </w:t>
            </w:r>
          </w:p>
        </w:tc>
        <w:tc>
          <w:tcPr>
            <w:tcW w:w="301" w:type="pct"/>
            <w:noWrap/>
            <w:hideMark/>
          </w:tcPr>
          <w:p w14:paraId="463483D5" w14:textId="3F6D323C"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2 </w:t>
            </w:r>
          </w:p>
        </w:tc>
        <w:tc>
          <w:tcPr>
            <w:tcW w:w="302" w:type="pct"/>
            <w:noWrap/>
            <w:hideMark/>
          </w:tcPr>
          <w:p w14:paraId="67B26129" w14:textId="6AA164FE"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2 </w:t>
            </w:r>
          </w:p>
        </w:tc>
        <w:tc>
          <w:tcPr>
            <w:tcW w:w="302" w:type="pct"/>
            <w:noWrap/>
            <w:hideMark/>
          </w:tcPr>
          <w:p w14:paraId="4146597B" w14:textId="0C720FAD"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2 </w:t>
            </w:r>
          </w:p>
        </w:tc>
        <w:tc>
          <w:tcPr>
            <w:tcW w:w="302" w:type="pct"/>
            <w:noWrap/>
            <w:hideMark/>
          </w:tcPr>
          <w:p w14:paraId="42E399A0" w14:textId="61B86F58"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2 </w:t>
            </w:r>
          </w:p>
        </w:tc>
        <w:tc>
          <w:tcPr>
            <w:tcW w:w="302" w:type="pct"/>
            <w:noWrap/>
            <w:hideMark/>
          </w:tcPr>
          <w:p w14:paraId="30897614" w14:textId="0A792C2B"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2 </w:t>
            </w:r>
          </w:p>
        </w:tc>
        <w:tc>
          <w:tcPr>
            <w:tcW w:w="302" w:type="pct"/>
            <w:noWrap/>
            <w:hideMark/>
          </w:tcPr>
          <w:p w14:paraId="2483A6C6" w14:textId="4E4D2949"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2 </w:t>
            </w:r>
          </w:p>
        </w:tc>
        <w:tc>
          <w:tcPr>
            <w:tcW w:w="302" w:type="pct"/>
            <w:noWrap/>
            <w:hideMark/>
          </w:tcPr>
          <w:p w14:paraId="69A1B4AC" w14:textId="01D4C246"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2 </w:t>
            </w:r>
          </w:p>
        </w:tc>
        <w:tc>
          <w:tcPr>
            <w:tcW w:w="302" w:type="pct"/>
            <w:noWrap/>
            <w:hideMark/>
          </w:tcPr>
          <w:p w14:paraId="7B9D13E8" w14:textId="238CB444"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2 </w:t>
            </w:r>
          </w:p>
        </w:tc>
        <w:tc>
          <w:tcPr>
            <w:tcW w:w="302" w:type="pct"/>
            <w:noWrap/>
            <w:hideMark/>
          </w:tcPr>
          <w:p w14:paraId="54119AEC" w14:textId="72D58DA0"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2 </w:t>
            </w:r>
          </w:p>
        </w:tc>
        <w:tc>
          <w:tcPr>
            <w:tcW w:w="307" w:type="pct"/>
            <w:noWrap/>
            <w:hideMark/>
          </w:tcPr>
          <w:p w14:paraId="42714273" w14:textId="777AB117"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2 </w:t>
            </w:r>
          </w:p>
        </w:tc>
      </w:tr>
      <w:tr w:rsidR="00D51D8D" w:rsidRPr="00D51D8D" w14:paraId="2F622844" w14:textId="77777777" w:rsidTr="001419A0">
        <w:trPr>
          <w:trHeight w:val="139"/>
        </w:trPr>
        <w:tc>
          <w:tcPr>
            <w:tcW w:w="1084" w:type="pct"/>
            <w:noWrap/>
            <w:hideMark/>
          </w:tcPr>
          <w:p w14:paraId="735E0BFD" w14:textId="77777777" w:rsidR="00103F1E" w:rsidRPr="00D51D8D" w:rsidRDefault="00103F1E" w:rsidP="001419A0">
            <w:pPr>
              <w:spacing w:after="0" w:line="240" w:lineRule="auto"/>
              <w:ind w:left="142" w:right="640"/>
              <w:rPr>
                <w:rFonts w:asciiTheme="majorHAnsi" w:eastAsia="Times New Roman" w:hAnsiTheme="majorHAnsi" w:cs="Times New Roman"/>
                <w:color w:val="000000"/>
                <w:sz w:val="14"/>
                <w:szCs w:val="14"/>
                <w:lang w:eastAsia="en-AU"/>
              </w:rPr>
            </w:pPr>
            <w:r w:rsidRPr="00D51D8D">
              <w:rPr>
                <w:rFonts w:asciiTheme="majorHAnsi" w:eastAsia="Times New Roman" w:hAnsiTheme="majorHAnsi" w:cs="Times New Roman"/>
                <w:color w:val="000000"/>
                <w:sz w:val="14"/>
                <w:szCs w:val="14"/>
                <w:lang w:eastAsia="en-AU"/>
              </w:rPr>
              <w:t xml:space="preserve"> Student Dormitories</w:t>
            </w:r>
          </w:p>
        </w:tc>
        <w:tc>
          <w:tcPr>
            <w:tcW w:w="289" w:type="pct"/>
            <w:noWrap/>
            <w:hideMark/>
          </w:tcPr>
          <w:p w14:paraId="79FEE6C9" w14:textId="07B596A5"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0   </w:t>
            </w:r>
          </w:p>
        </w:tc>
        <w:tc>
          <w:tcPr>
            <w:tcW w:w="303" w:type="pct"/>
            <w:noWrap/>
            <w:hideMark/>
          </w:tcPr>
          <w:p w14:paraId="42E8B337" w14:textId="337C75B6"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4 </w:t>
            </w:r>
          </w:p>
        </w:tc>
        <w:tc>
          <w:tcPr>
            <w:tcW w:w="301" w:type="pct"/>
            <w:noWrap/>
            <w:hideMark/>
          </w:tcPr>
          <w:p w14:paraId="74302B1B" w14:textId="03EE316B"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4 </w:t>
            </w:r>
          </w:p>
        </w:tc>
        <w:tc>
          <w:tcPr>
            <w:tcW w:w="301" w:type="pct"/>
            <w:noWrap/>
            <w:hideMark/>
          </w:tcPr>
          <w:p w14:paraId="76F29AC0" w14:textId="36A41884"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4 </w:t>
            </w:r>
          </w:p>
        </w:tc>
        <w:tc>
          <w:tcPr>
            <w:tcW w:w="302" w:type="pct"/>
            <w:noWrap/>
            <w:hideMark/>
          </w:tcPr>
          <w:p w14:paraId="54279FF9" w14:textId="3FE2904B"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4 </w:t>
            </w:r>
          </w:p>
        </w:tc>
        <w:tc>
          <w:tcPr>
            <w:tcW w:w="302" w:type="pct"/>
            <w:noWrap/>
            <w:hideMark/>
          </w:tcPr>
          <w:p w14:paraId="0F3106C6" w14:textId="624B35B9"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4 </w:t>
            </w:r>
          </w:p>
        </w:tc>
        <w:tc>
          <w:tcPr>
            <w:tcW w:w="302" w:type="pct"/>
            <w:noWrap/>
            <w:hideMark/>
          </w:tcPr>
          <w:p w14:paraId="66DDA24F" w14:textId="419FAA6C"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4 </w:t>
            </w:r>
          </w:p>
        </w:tc>
        <w:tc>
          <w:tcPr>
            <w:tcW w:w="302" w:type="pct"/>
            <w:noWrap/>
            <w:hideMark/>
          </w:tcPr>
          <w:p w14:paraId="5FA89C5F" w14:textId="7FA57705"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4 </w:t>
            </w:r>
          </w:p>
        </w:tc>
        <w:tc>
          <w:tcPr>
            <w:tcW w:w="302" w:type="pct"/>
            <w:noWrap/>
            <w:hideMark/>
          </w:tcPr>
          <w:p w14:paraId="6283C306" w14:textId="253D75F6"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4 </w:t>
            </w:r>
          </w:p>
        </w:tc>
        <w:tc>
          <w:tcPr>
            <w:tcW w:w="302" w:type="pct"/>
            <w:noWrap/>
            <w:hideMark/>
          </w:tcPr>
          <w:p w14:paraId="73DDA733" w14:textId="41442537"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5 </w:t>
            </w:r>
          </w:p>
        </w:tc>
        <w:tc>
          <w:tcPr>
            <w:tcW w:w="302" w:type="pct"/>
            <w:noWrap/>
            <w:hideMark/>
          </w:tcPr>
          <w:p w14:paraId="1964508E" w14:textId="3CBB4A55"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5 </w:t>
            </w:r>
          </w:p>
        </w:tc>
        <w:tc>
          <w:tcPr>
            <w:tcW w:w="302" w:type="pct"/>
            <w:noWrap/>
            <w:hideMark/>
          </w:tcPr>
          <w:p w14:paraId="38732955" w14:textId="68675389"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5 </w:t>
            </w:r>
          </w:p>
        </w:tc>
        <w:tc>
          <w:tcPr>
            <w:tcW w:w="307" w:type="pct"/>
            <w:noWrap/>
            <w:hideMark/>
          </w:tcPr>
          <w:p w14:paraId="3505823D" w14:textId="19B2931B"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5 </w:t>
            </w:r>
          </w:p>
        </w:tc>
      </w:tr>
      <w:tr w:rsidR="00D51D8D" w:rsidRPr="00D51D8D" w14:paraId="01BEB60C" w14:textId="77777777" w:rsidTr="001419A0">
        <w:trPr>
          <w:trHeight w:val="139"/>
        </w:trPr>
        <w:tc>
          <w:tcPr>
            <w:tcW w:w="1084" w:type="pct"/>
            <w:noWrap/>
            <w:hideMark/>
          </w:tcPr>
          <w:p w14:paraId="63AF84D4" w14:textId="77777777" w:rsidR="00103F1E" w:rsidRPr="00D51D8D" w:rsidRDefault="00103F1E" w:rsidP="001419A0">
            <w:pPr>
              <w:spacing w:after="0" w:line="240" w:lineRule="auto"/>
              <w:ind w:left="142" w:right="640"/>
              <w:rPr>
                <w:rFonts w:asciiTheme="majorHAnsi" w:eastAsia="Times New Roman" w:hAnsiTheme="majorHAnsi" w:cs="Times New Roman"/>
                <w:color w:val="000000"/>
                <w:sz w:val="14"/>
                <w:szCs w:val="14"/>
                <w:lang w:eastAsia="en-AU"/>
              </w:rPr>
            </w:pPr>
            <w:r w:rsidRPr="00D51D8D">
              <w:rPr>
                <w:rFonts w:asciiTheme="majorHAnsi" w:eastAsia="Times New Roman" w:hAnsiTheme="majorHAnsi" w:cs="Times New Roman"/>
                <w:color w:val="000000"/>
                <w:sz w:val="14"/>
                <w:szCs w:val="14"/>
                <w:lang w:eastAsia="en-AU"/>
              </w:rPr>
              <w:t>Holiday Camps</w:t>
            </w:r>
          </w:p>
        </w:tc>
        <w:tc>
          <w:tcPr>
            <w:tcW w:w="289" w:type="pct"/>
            <w:noWrap/>
            <w:hideMark/>
          </w:tcPr>
          <w:p w14:paraId="5F87A7D5" w14:textId="39AF7E0F"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0   </w:t>
            </w:r>
          </w:p>
        </w:tc>
        <w:tc>
          <w:tcPr>
            <w:tcW w:w="303" w:type="pct"/>
            <w:noWrap/>
            <w:hideMark/>
          </w:tcPr>
          <w:p w14:paraId="723E8904" w14:textId="5EBA660A"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0   </w:t>
            </w:r>
          </w:p>
        </w:tc>
        <w:tc>
          <w:tcPr>
            <w:tcW w:w="301" w:type="pct"/>
            <w:noWrap/>
            <w:hideMark/>
          </w:tcPr>
          <w:p w14:paraId="641B5B35" w14:textId="2122B3A8"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0   </w:t>
            </w:r>
          </w:p>
        </w:tc>
        <w:tc>
          <w:tcPr>
            <w:tcW w:w="301" w:type="pct"/>
            <w:noWrap/>
            <w:hideMark/>
          </w:tcPr>
          <w:p w14:paraId="0886EABB" w14:textId="4AE3F7F2"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0   </w:t>
            </w:r>
          </w:p>
        </w:tc>
        <w:tc>
          <w:tcPr>
            <w:tcW w:w="302" w:type="pct"/>
            <w:noWrap/>
            <w:hideMark/>
          </w:tcPr>
          <w:p w14:paraId="3AE7BFAE" w14:textId="5F25B353"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0</w:t>
            </w:r>
          </w:p>
        </w:tc>
        <w:tc>
          <w:tcPr>
            <w:tcW w:w="302" w:type="pct"/>
            <w:noWrap/>
            <w:hideMark/>
          </w:tcPr>
          <w:p w14:paraId="67B15571" w14:textId="169D62D3"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0   </w:t>
            </w:r>
          </w:p>
        </w:tc>
        <w:tc>
          <w:tcPr>
            <w:tcW w:w="302" w:type="pct"/>
            <w:noWrap/>
            <w:hideMark/>
          </w:tcPr>
          <w:p w14:paraId="1927CB16" w14:textId="7058E446"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0   </w:t>
            </w:r>
          </w:p>
        </w:tc>
        <w:tc>
          <w:tcPr>
            <w:tcW w:w="302" w:type="pct"/>
            <w:noWrap/>
            <w:hideMark/>
          </w:tcPr>
          <w:p w14:paraId="26A6C836" w14:textId="7195118A"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0</w:t>
            </w:r>
          </w:p>
        </w:tc>
        <w:tc>
          <w:tcPr>
            <w:tcW w:w="302" w:type="pct"/>
            <w:noWrap/>
            <w:hideMark/>
          </w:tcPr>
          <w:p w14:paraId="675B8273" w14:textId="7AAC7D2A"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0   </w:t>
            </w:r>
          </w:p>
        </w:tc>
        <w:tc>
          <w:tcPr>
            <w:tcW w:w="302" w:type="pct"/>
            <w:noWrap/>
            <w:hideMark/>
          </w:tcPr>
          <w:p w14:paraId="3CA876E1" w14:textId="0D52A64C"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0   </w:t>
            </w:r>
          </w:p>
        </w:tc>
        <w:tc>
          <w:tcPr>
            <w:tcW w:w="302" w:type="pct"/>
            <w:noWrap/>
            <w:hideMark/>
          </w:tcPr>
          <w:p w14:paraId="25E56E4E" w14:textId="6EEC3F39"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0   </w:t>
            </w:r>
          </w:p>
        </w:tc>
        <w:tc>
          <w:tcPr>
            <w:tcW w:w="302" w:type="pct"/>
            <w:noWrap/>
            <w:hideMark/>
          </w:tcPr>
          <w:p w14:paraId="6DC574A2" w14:textId="1BF84E71"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0   </w:t>
            </w:r>
          </w:p>
        </w:tc>
        <w:tc>
          <w:tcPr>
            <w:tcW w:w="307" w:type="pct"/>
            <w:noWrap/>
            <w:hideMark/>
          </w:tcPr>
          <w:p w14:paraId="4B1863EF" w14:textId="57C60E9C"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0   </w:t>
            </w:r>
          </w:p>
        </w:tc>
      </w:tr>
      <w:tr w:rsidR="00D51D8D" w:rsidRPr="00D51D8D" w14:paraId="088E2D82" w14:textId="77777777" w:rsidTr="001419A0">
        <w:trPr>
          <w:trHeight w:val="139"/>
        </w:trPr>
        <w:tc>
          <w:tcPr>
            <w:tcW w:w="1084" w:type="pct"/>
            <w:noWrap/>
            <w:hideMark/>
          </w:tcPr>
          <w:p w14:paraId="0C5AA542" w14:textId="77777777" w:rsidR="00103F1E" w:rsidRPr="00D51D8D" w:rsidRDefault="00103F1E" w:rsidP="001419A0">
            <w:pPr>
              <w:spacing w:after="0" w:line="240" w:lineRule="auto"/>
              <w:ind w:left="142" w:right="640"/>
              <w:rPr>
                <w:rFonts w:asciiTheme="majorHAnsi" w:eastAsia="Times New Roman" w:hAnsiTheme="majorHAnsi" w:cs="Times New Roman"/>
                <w:color w:val="000000"/>
                <w:sz w:val="14"/>
                <w:szCs w:val="14"/>
                <w:lang w:eastAsia="en-AU"/>
              </w:rPr>
            </w:pPr>
            <w:r w:rsidRPr="00D51D8D">
              <w:rPr>
                <w:rFonts w:asciiTheme="majorHAnsi" w:eastAsia="Times New Roman" w:hAnsiTheme="majorHAnsi" w:cs="Times New Roman"/>
                <w:color w:val="000000"/>
                <w:sz w:val="14"/>
                <w:szCs w:val="14"/>
                <w:lang w:eastAsia="en-AU"/>
              </w:rPr>
              <w:t>Rooming Houses</w:t>
            </w:r>
          </w:p>
        </w:tc>
        <w:tc>
          <w:tcPr>
            <w:tcW w:w="289" w:type="pct"/>
            <w:noWrap/>
            <w:hideMark/>
          </w:tcPr>
          <w:p w14:paraId="0C827F9E" w14:textId="16A660B4"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0   </w:t>
            </w:r>
          </w:p>
        </w:tc>
        <w:tc>
          <w:tcPr>
            <w:tcW w:w="303" w:type="pct"/>
            <w:noWrap/>
            <w:hideMark/>
          </w:tcPr>
          <w:p w14:paraId="05668212" w14:textId="25536C15"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39 </w:t>
            </w:r>
          </w:p>
        </w:tc>
        <w:tc>
          <w:tcPr>
            <w:tcW w:w="301" w:type="pct"/>
            <w:noWrap/>
            <w:hideMark/>
          </w:tcPr>
          <w:p w14:paraId="4898A12B" w14:textId="43727C69"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40 </w:t>
            </w:r>
          </w:p>
        </w:tc>
        <w:tc>
          <w:tcPr>
            <w:tcW w:w="301" w:type="pct"/>
            <w:noWrap/>
            <w:hideMark/>
          </w:tcPr>
          <w:p w14:paraId="226BBD24" w14:textId="32AEC05F"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41 </w:t>
            </w:r>
          </w:p>
        </w:tc>
        <w:tc>
          <w:tcPr>
            <w:tcW w:w="302" w:type="pct"/>
            <w:noWrap/>
            <w:hideMark/>
          </w:tcPr>
          <w:p w14:paraId="1A43C00F" w14:textId="091B8182"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43 </w:t>
            </w:r>
          </w:p>
        </w:tc>
        <w:tc>
          <w:tcPr>
            <w:tcW w:w="302" w:type="pct"/>
            <w:noWrap/>
            <w:hideMark/>
          </w:tcPr>
          <w:p w14:paraId="342BB8D8" w14:textId="7053CC21"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44 </w:t>
            </w:r>
          </w:p>
        </w:tc>
        <w:tc>
          <w:tcPr>
            <w:tcW w:w="302" w:type="pct"/>
            <w:noWrap/>
            <w:hideMark/>
          </w:tcPr>
          <w:p w14:paraId="0C5F158E" w14:textId="5C42D2B0"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45 </w:t>
            </w:r>
          </w:p>
        </w:tc>
        <w:tc>
          <w:tcPr>
            <w:tcW w:w="302" w:type="pct"/>
            <w:noWrap/>
            <w:hideMark/>
          </w:tcPr>
          <w:p w14:paraId="36CAAF52" w14:textId="3EC5D670"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46 </w:t>
            </w:r>
          </w:p>
        </w:tc>
        <w:tc>
          <w:tcPr>
            <w:tcW w:w="302" w:type="pct"/>
            <w:noWrap/>
            <w:hideMark/>
          </w:tcPr>
          <w:p w14:paraId="18B4A240" w14:textId="5E943D95"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48 </w:t>
            </w:r>
          </w:p>
        </w:tc>
        <w:tc>
          <w:tcPr>
            <w:tcW w:w="302" w:type="pct"/>
            <w:noWrap/>
            <w:hideMark/>
          </w:tcPr>
          <w:p w14:paraId="64C13356" w14:textId="687E3DF5"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49 </w:t>
            </w:r>
          </w:p>
        </w:tc>
        <w:tc>
          <w:tcPr>
            <w:tcW w:w="302" w:type="pct"/>
            <w:noWrap/>
            <w:hideMark/>
          </w:tcPr>
          <w:p w14:paraId="62DB4C06" w14:textId="1DD9E9E9"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51 </w:t>
            </w:r>
          </w:p>
        </w:tc>
        <w:tc>
          <w:tcPr>
            <w:tcW w:w="302" w:type="pct"/>
            <w:noWrap/>
            <w:hideMark/>
          </w:tcPr>
          <w:p w14:paraId="12005D98" w14:textId="397819B0"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52 </w:t>
            </w:r>
          </w:p>
        </w:tc>
        <w:tc>
          <w:tcPr>
            <w:tcW w:w="307" w:type="pct"/>
            <w:noWrap/>
            <w:hideMark/>
          </w:tcPr>
          <w:p w14:paraId="33135AC6" w14:textId="39455520" w:rsidR="00103F1E" w:rsidRPr="00D51D8D" w:rsidRDefault="00103F1E" w:rsidP="00103F1E">
            <w:pPr>
              <w:spacing w:after="0" w:line="240" w:lineRule="auto"/>
              <w:jc w:val="center"/>
              <w:rPr>
                <w:rFonts w:asciiTheme="majorHAnsi" w:eastAsia="Times New Roman" w:hAnsiTheme="majorHAnsi" w:cs="Times New Roman"/>
                <w:color w:val="000000"/>
                <w:sz w:val="14"/>
                <w:szCs w:val="14"/>
                <w:lang w:eastAsia="en-AU"/>
              </w:rPr>
            </w:pPr>
            <w:r w:rsidRPr="00D51D8D">
              <w:rPr>
                <w:rFonts w:asciiTheme="majorHAnsi" w:hAnsiTheme="majorHAnsi"/>
                <w:sz w:val="14"/>
                <w:szCs w:val="14"/>
              </w:rPr>
              <w:t xml:space="preserve"> 54 </w:t>
            </w:r>
          </w:p>
        </w:tc>
      </w:tr>
    </w:tbl>
    <w:p w14:paraId="776C4FB3" w14:textId="77777777" w:rsidR="00523C24" w:rsidRDefault="00523C24" w:rsidP="000463D8">
      <w:pPr>
        <w:spacing w:before="170"/>
        <w:rPr>
          <w:b/>
        </w:rPr>
      </w:pPr>
    </w:p>
    <w:p w14:paraId="0E394BCE" w14:textId="4CEF16A5" w:rsidR="00523C24" w:rsidRDefault="00523C24">
      <w:pPr>
        <w:spacing w:after="0"/>
        <w:rPr>
          <w:b/>
        </w:rPr>
      </w:pPr>
      <w:r>
        <w:rPr>
          <w:b/>
        </w:rPr>
        <w:br w:type="page"/>
      </w:r>
    </w:p>
    <w:p w14:paraId="641AB131" w14:textId="0D0CDDA9" w:rsidR="00A0002C" w:rsidRPr="00E63F76" w:rsidRDefault="008F330A" w:rsidP="000463D8">
      <w:pPr>
        <w:spacing w:before="170"/>
        <w:rPr>
          <w:b/>
        </w:rPr>
      </w:pPr>
      <w:r w:rsidRPr="00E63F76">
        <w:rPr>
          <w:b/>
        </w:rPr>
        <w:t>Estimated n</w:t>
      </w:r>
      <w:r w:rsidR="00A0002C" w:rsidRPr="00E63F76">
        <w:rPr>
          <w:b/>
        </w:rPr>
        <w:t>umber of unique guests p.a., by type of prescribed accommodation</w:t>
      </w:r>
    </w:p>
    <w:tbl>
      <w:tblPr>
        <w:tblStyle w:val="Deloittetable"/>
        <w:tblpPr w:leftFromText="180" w:rightFromText="180" w:vertAnchor="text" w:horzAnchor="margin" w:tblpY="-47"/>
        <w:tblW w:w="5157" w:type="pct"/>
        <w:tblLayout w:type="fixed"/>
        <w:tblLook w:val="04A0" w:firstRow="1" w:lastRow="0" w:firstColumn="1" w:lastColumn="0" w:noHBand="0" w:noVBand="1"/>
      </w:tblPr>
      <w:tblGrid>
        <w:gridCol w:w="850"/>
        <w:gridCol w:w="705"/>
        <w:gridCol w:w="706"/>
        <w:gridCol w:w="706"/>
        <w:gridCol w:w="706"/>
        <w:gridCol w:w="706"/>
        <w:gridCol w:w="706"/>
        <w:gridCol w:w="706"/>
        <w:gridCol w:w="706"/>
        <w:gridCol w:w="706"/>
        <w:gridCol w:w="706"/>
        <w:gridCol w:w="706"/>
        <w:gridCol w:w="694"/>
      </w:tblGrid>
      <w:tr w:rsidR="00A0002C" w:rsidRPr="00960B1A" w14:paraId="117E6438" w14:textId="77777777" w:rsidTr="001419A0">
        <w:trPr>
          <w:cnfStyle w:val="100000000000" w:firstRow="1" w:lastRow="0" w:firstColumn="0" w:lastColumn="0" w:oddVBand="0" w:evenVBand="0" w:oddHBand="0" w:evenHBand="0" w:firstRowFirstColumn="0" w:firstRowLastColumn="0" w:lastRowFirstColumn="0" w:lastRowLastColumn="0"/>
          <w:trHeight w:val="244"/>
        </w:trPr>
        <w:tc>
          <w:tcPr>
            <w:tcW w:w="457" w:type="pct"/>
          </w:tcPr>
          <w:p w14:paraId="5AEEF673" w14:textId="77777777" w:rsidR="00A0002C" w:rsidRPr="00290350" w:rsidRDefault="00A0002C" w:rsidP="00FE6F9B">
            <w:pPr>
              <w:spacing w:after="0" w:line="240" w:lineRule="auto"/>
              <w:rPr>
                <w:rFonts w:asciiTheme="majorHAnsi" w:hAnsiTheme="majorHAnsi"/>
                <w:sz w:val="14"/>
                <w:szCs w:val="14"/>
              </w:rPr>
            </w:pPr>
          </w:p>
        </w:tc>
        <w:tc>
          <w:tcPr>
            <w:tcW w:w="379" w:type="pct"/>
          </w:tcPr>
          <w:p w14:paraId="1C718CDF" w14:textId="42C20D0D" w:rsidR="00A0002C" w:rsidRPr="00290350" w:rsidRDefault="00A0002C" w:rsidP="00FE6F9B">
            <w:pPr>
              <w:spacing w:after="0" w:line="240" w:lineRule="auto"/>
              <w:rPr>
                <w:rFonts w:asciiTheme="majorHAnsi" w:hAnsiTheme="majorHAnsi"/>
                <w:sz w:val="14"/>
                <w:szCs w:val="14"/>
              </w:rPr>
            </w:pPr>
            <w:r w:rsidRPr="00290350">
              <w:rPr>
                <w:rFonts w:asciiTheme="majorHAnsi" w:hAnsiTheme="majorHAnsi"/>
                <w:b/>
                <w:color w:val="000000"/>
                <w:sz w:val="14"/>
                <w:szCs w:val="14"/>
              </w:rPr>
              <w:t xml:space="preserve">2019 </w:t>
            </w:r>
            <w:r w:rsidR="00E63F76" w:rsidRPr="00290350">
              <w:rPr>
                <w:rFonts w:asciiTheme="majorHAnsi" w:hAnsiTheme="majorHAnsi"/>
                <w:b/>
                <w:bCs/>
                <w:color w:val="000000"/>
                <w:sz w:val="14"/>
                <w:szCs w:val="14"/>
              </w:rPr>
              <w:t xml:space="preserve"> </w:t>
            </w:r>
            <w:r w:rsidRPr="00290350">
              <w:rPr>
                <w:rFonts w:asciiTheme="majorHAnsi" w:hAnsiTheme="majorHAnsi"/>
                <w:b/>
                <w:color w:val="000000"/>
                <w:sz w:val="14"/>
                <w:szCs w:val="14"/>
              </w:rPr>
              <w:t>(f)</w:t>
            </w:r>
          </w:p>
        </w:tc>
        <w:tc>
          <w:tcPr>
            <w:tcW w:w="379" w:type="pct"/>
          </w:tcPr>
          <w:p w14:paraId="4B35FA7D" w14:textId="557DC40D" w:rsidR="00A0002C" w:rsidRPr="00290350" w:rsidRDefault="00A0002C" w:rsidP="00FE6F9B">
            <w:pPr>
              <w:spacing w:after="0" w:line="240" w:lineRule="auto"/>
              <w:rPr>
                <w:rFonts w:asciiTheme="majorHAnsi" w:hAnsiTheme="majorHAnsi"/>
                <w:sz w:val="14"/>
                <w:szCs w:val="14"/>
              </w:rPr>
            </w:pPr>
            <w:r w:rsidRPr="00290350">
              <w:rPr>
                <w:rFonts w:asciiTheme="majorHAnsi" w:hAnsiTheme="majorHAnsi"/>
                <w:b/>
                <w:color w:val="000000"/>
                <w:sz w:val="14"/>
                <w:szCs w:val="14"/>
              </w:rPr>
              <w:t xml:space="preserve">2020 </w:t>
            </w:r>
            <w:r w:rsidR="00E63F76" w:rsidRPr="00290350">
              <w:rPr>
                <w:rFonts w:asciiTheme="majorHAnsi" w:hAnsiTheme="majorHAnsi"/>
                <w:b/>
                <w:bCs/>
                <w:color w:val="000000"/>
                <w:sz w:val="14"/>
                <w:szCs w:val="14"/>
              </w:rPr>
              <w:t xml:space="preserve"> </w:t>
            </w:r>
            <w:r w:rsidR="006B3D9A">
              <w:rPr>
                <w:rFonts w:asciiTheme="majorHAnsi" w:hAnsiTheme="majorHAnsi"/>
                <w:b/>
                <w:bCs/>
                <w:color w:val="000000"/>
                <w:sz w:val="14"/>
                <w:szCs w:val="14"/>
              </w:rPr>
              <w:t xml:space="preserve"> </w:t>
            </w:r>
            <w:r w:rsidRPr="00290350">
              <w:rPr>
                <w:rFonts w:asciiTheme="majorHAnsi" w:hAnsiTheme="majorHAnsi"/>
                <w:b/>
                <w:color w:val="000000"/>
                <w:sz w:val="14"/>
                <w:szCs w:val="14"/>
              </w:rPr>
              <w:t>(f)</w:t>
            </w:r>
          </w:p>
        </w:tc>
        <w:tc>
          <w:tcPr>
            <w:tcW w:w="379" w:type="pct"/>
          </w:tcPr>
          <w:p w14:paraId="70D75F14" w14:textId="6942BBEA" w:rsidR="00A0002C" w:rsidRPr="00290350" w:rsidRDefault="00A0002C" w:rsidP="00FE6F9B">
            <w:pPr>
              <w:spacing w:after="0" w:line="240" w:lineRule="auto"/>
              <w:rPr>
                <w:rFonts w:asciiTheme="majorHAnsi" w:hAnsiTheme="majorHAnsi"/>
                <w:sz w:val="14"/>
                <w:szCs w:val="14"/>
              </w:rPr>
            </w:pPr>
            <w:r w:rsidRPr="00290350">
              <w:rPr>
                <w:rFonts w:asciiTheme="majorHAnsi" w:hAnsiTheme="majorHAnsi"/>
                <w:b/>
                <w:color w:val="000000"/>
                <w:sz w:val="14"/>
                <w:szCs w:val="14"/>
              </w:rPr>
              <w:t xml:space="preserve">2021 </w:t>
            </w:r>
            <w:r w:rsidR="00E63F76" w:rsidRPr="00290350">
              <w:rPr>
                <w:rFonts w:asciiTheme="majorHAnsi" w:hAnsiTheme="majorHAnsi"/>
                <w:b/>
                <w:bCs/>
                <w:color w:val="000000"/>
                <w:sz w:val="14"/>
                <w:szCs w:val="14"/>
              </w:rPr>
              <w:t xml:space="preserve">  </w:t>
            </w:r>
            <w:r w:rsidRPr="00290350">
              <w:rPr>
                <w:rFonts w:asciiTheme="majorHAnsi" w:hAnsiTheme="majorHAnsi"/>
                <w:b/>
                <w:color w:val="000000"/>
                <w:sz w:val="14"/>
                <w:szCs w:val="14"/>
              </w:rPr>
              <w:t>(f)</w:t>
            </w:r>
          </w:p>
        </w:tc>
        <w:tc>
          <w:tcPr>
            <w:tcW w:w="379" w:type="pct"/>
          </w:tcPr>
          <w:p w14:paraId="11678206" w14:textId="26A5DE74" w:rsidR="00A0002C" w:rsidRPr="00290350" w:rsidRDefault="00A0002C" w:rsidP="00FE6F9B">
            <w:pPr>
              <w:spacing w:after="0" w:line="240" w:lineRule="auto"/>
              <w:rPr>
                <w:rFonts w:asciiTheme="majorHAnsi" w:hAnsiTheme="majorHAnsi"/>
                <w:sz w:val="14"/>
                <w:szCs w:val="14"/>
              </w:rPr>
            </w:pPr>
            <w:r w:rsidRPr="00290350">
              <w:rPr>
                <w:rFonts w:asciiTheme="majorHAnsi" w:hAnsiTheme="majorHAnsi"/>
                <w:b/>
                <w:color w:val="000000"/>
                <w:sz w:val="14"/>
                <w:szCs w:val="14"/>
              </w:rPr>
              <w:t xml:space="preserve">2022 </w:t>
            </w:r>
            <w:r w:rsidR="00E63F76" w:rsidRPr="00290350">
              <w:rPr>
                <w:rFonts w:asciiTheme="majorHAnsi" w:hAnsiTheme="majorHAnsi"/>
                <w:b/>
                <w:bCs/>
                <w:color w:val="000000"/>
                <w:sz w:val="14"/>
                <w:szCs w:val="14"/>
              </w:rPr>
              <w:t xml:space="preserve"> </w:t>
            </w:r>
            <w:r w:rsidRPr="00290350">
              <w:rPr>
                <w:rFonts w:asciiTheme="majorHAnsi" w:hAnsiTheme="majorHAnsi"/>
                <w:b/>
                <w:bCs/>
                <w:color w:val="000000"/>
                <w:sz w:val="14"/>
                <w:szCs w:val="14"/>
              </w:rPr>
              <w:t xml:space="preserve"> </w:t>
            </w:r>
            <w:r w:rsidRPr="00290350">
              <w:rPr>
                <w:rFonts w:asciiTheme="majorHAnsi" w:hAnsiTheme="majorHAnsi"/>
                <w:b/>
                <w:color w:val="000000"/>
                <w:sz w:val="14"/>
                <w:szCs w:val="14"/>
              </w:rPr>
              <w:t>(f)</w:t>
            </w:r>
          </w:p>
        </w:tc>
        <w:tc>
          <w:tcPr>
            <w:tcW w:w="379" w:type="pct"/>
          </w:tcPr>
          <w:p w14:paraId="4AF3C81E" w14:textId="1EC5FCCA" w:rsidR="00A0002C" w:rsidRPr="00290350" w:rsidRDefault="00A0002C" w:rsidP="00FE6F9B">
            <w:pPr>
              <w:spacing w:after="0" w:line="240" w:lineRule="auto"/>
              <w:rPr>
                <w:rFonts w:asciiTheme="majorHAnsi" w:hAnsiTheme="majorHAnsi"/>
                <w:sz w:val="14"/>
                <w:szCs w:val="14"/>
              </w:rPr>
            </w:pPr>
            <w:r w:rsidRPr="00290350">
              <w:rPr>
                <w:rFonts w:asciiTheme="majorHAnsi" w:hAnsiTheme="majorHAnsi"/>
                <w:b/>
                <w:color w:val="000000"/>
                <w:sz w:val="14"/>
                <w:szCs w:val="14"/>
              </w:rPr>
              <w:t xml:space="preserve">2023 </w:t>
            </w:r>
            <w:r w:rsidR="00E63F76" w:rsidRPr="00290350">
              <w:rPr>
                <w:rFonts w:asciiTheme="majorHAnsi" w:hAnsiTheme="majorHAnsi"/>
                <w:b/>
                <w:bCs/>
                <w:color w:val="000000"/>
                <w:sz w:val="14"/>
                <w:szCs w:val="14"/>
              </w:rPr>
              <w:t xml:space="preserve">  </w:t>
            </w:r>
            <w:r w:rsidRPr="00290350">
              <w:rPr>
                <w:rFonts w:asciiTheme="majorHAnsi" w:hAnsiTheme="majorHAnsi"/>
                <w:b/>
                <w:color w:val="000000"/>
                <w:sz w:val="14"/>
                <w:szCs w:val="14"/>
              </w:rPr>
              <w:t>(f)</w:t>
            </w:r>
          </w:p>
        </w:tc>
        <w:tc>
          <w:tcPr>
            <w:tcW w:w="379" w:type="pct"/>
          </w:tcPr>
          <w:p w14:paraId="0550F9A0" w14:textId="4F4D6F9D" w:rsidR="00A0002C" w:rsidRPr="00290350" w:rsidRDefault="00A0002C" w:rsidP="00FE6F9B">
            <w:pPr>
              <w:spacing w:after="0" w:line="240" w:lineRule="auto"/>
              <w:rPr>
                <w:rFonts w:asciiTheme="majorHAnsi" w:hAnsiTheme="majorHAnsi"/>
                <w:b/>
                <w:color w:val="000000"/>
                <w:sz w:val="14"/>
                <w:szCs w:val="14"/>
              </w:rPr>
            </w:pPr>
            <w:r w:rsidRPr="00290350">
              <w:rPr>
                <w:rFonts w:asciiTheme="majorHAnsi" w:hAnsiTheme="majorHAnsi"/>
                <w:b/>
                <w:color w:val="000000"/>
                <w:sz w:val="14"/>
                <w:szCs w:val="14"/>
              </w:rPr>
              <w:t xml:space="preserve">2024 </w:t>
            </w:r>
            <w:r w:rsidR="00E63F76" w:rsidRPr="00290350">
              <w:rPr>
                <w:rFonts w:asciiTheme="majorHAnsi" w:hAnsiTheme="majorHAnsi"/>
                <w:b/>
                <w:bCs/>
                <w:color w:val="000000"/>
                <w:sz w:val="14"/>
                <w:szCs w:val="14"/>
              </w:rPr>
              <w:t xml:space="preserve">  </w:t>
            </w:r>
            <w:r w:rsidRPr="00290350">
              <w:rPr>
                <w:rFonts w:asciiTheme="majorHAnsi" w:hAnsiTheme="majorHAnsi"/>
                <w:b/>
                <w:color w:val="000000"/>
                <w:sz w:val="14"/>
                <w:szCs w:val="14"/>
              </w:rPr>
              <w:t>(f)</w:t>
            </w:r>
          </w:p>
        </w:tc>
        <w:tc>
          <w:tcPr>
            <w:tcW w:w="379" w:type="pct"/>
          </w:tcPr>
          <w:p w14:paraId="0E85109F" w14:textId="3485BD77" w:rsidR="00A0002C" w:rsidRPr="00290350" w:rsidRDefault="00A0002C" w:rsidP="00FE6F9B">
            <w:pPr>
              <w:spacing w:after="0" w:line="240" w:lineRule="auto"/>
              <w:rPr>
                <w:rFonts w:asciiTheme="majorHAnsi" w:hAnsiTheme="majorHAnsi"/>
                <w:b/>
                <w:color w:val="000000"/>
                <w:sz w:val="14"/>
                <w:szCs w:val="14"/>
              </w:rPr>
            </w:pPr>
            <w:r w:rsidRPr="00290350">
              <w:rPr>
                <w:rFonts w:asciiTheme="majorHAnsi" w:hAnsiTheme="majorHAnsi"/>
                <w:b/>
                <w:color w:val="000000"/>
                <w:sz w:val="14"/>
                <w:szCs w:val="14"/>
              </w:rPr>
              <w:t xml:space="preserve">2025 </w:t>
            </w:r>
            <w:r w:rsidR="00E63F76" w:rsidRPr="00290350">
              <w:rPr>
                <w:rFonts w:asciiTheme="majorHAnsi" w:hAnsiTheme="majorHAnsi"/>
                <w:b/>
                <w:bCs/>
                <w:color w:val="000000"/>
                <w:sz w:val="14"/>
                <w:szCs w:val="14"/>
              </w:rPr>
              <w:t xml:space="preserve">  </w:t>
            </w:r>
            <w:r w:rsidRPr="00290350">
              <w:rPr>
                <w:rFonts w:asciiTheme="majorHAnsi" w:hAnsiTheme="majorHAnsi"/>
                <w:b/>
                <w:color w:val="000000"/>
                <w:sz w:val="14"/>
                <w:szCs w:val="14"/>
              </w:rPr>
              <w:t>(f)</w:t>
            </w:r>
          </w:p>
        </w:tc>
        <w:tc>
          <w:tcPr>
            <w:tcW w:w="379" w:type="pct"/>
          </w:tcPr>
          <w:p w14:paraId="21DB5EA8" w14:textId="3A6DA715" w:rsidR="00A0002C" w:rsidRPr="00290350" w:rsidRDefault="00A0002C" w:rsidP="00FE6F9B">
            <w:pPr>
              <w:spacing w:after="0" w:line="240" w:lineRule="auto"/>
              <w:rPr>
                <w:rFonts w:asciiTheme="majorHAnsi" w:hAnsiTheme="majorHAnsi"/>
                <w:b/>
                <w:color w:val="000000"/>
                <w:sz w:val="14"/>
                <w:szCs w:val="14"/>
              </w:rPr>
            </w:pPr>
            <w:r w:rsidRPr="00290350">
              <w:rPr>
                <w:rFonts w:asciiTheme="majorHAnsi" w:hAnsiTheme="majorHAnsi"/>
                <w:b/>
                <w:color w:val="000000"/>
                <w:sz w:val="14"/>
                <w:szCs w:val="14"/>
              </w:rPr>
              <w:t xml:space="preserve">2026 </w:t>
            </w:r>
            <w:r w:rsidR="00E63F76" w:rsidRPr="00290350">
              <w:rPr>
                <w:rFonts w:asciiTheme="majorHAnsi" w:hAnsiTheme="majorHAnsi"/>
                <w:b/>
                <w:bCs/>
                <w:color w:val="000000"/>
                <w:sz w:val="14"/>
                <w:szCs w:val="14"/>
              </w:rPr>
              <w:t xml:space="preserve">  </w:t>
            </w:r>
            <w:r w:rsidRPr="00290350">
              <w:rPr>
                <w:rFonts w:asciiTheme="majorHAnsi" w:hAnsiTheme="majorHAnsi"/>
                <w:b/>
                <w:color w:val="000000"/>
                <w:sz w:val="14"/>
                <w:szCs w:val="14"/>
              </w:rPr>
              <w:t>(f)</w:t>
            </w:r>
          </w:p>
        </w:tc>
        <w:tc>
          <w:tcPr>
            <w:tcW w:w="379" w:type="pct"/>
          </w:tcPr>
          <w:p w14:paraId="77CB2407" w14:textId="6CE24547" w:rsidR="00A0002C" w:rsidRPr="00290350" w:rsidRDefault="00A0002C" w:rsidP="00FE6F9B">
            <w:pPr>
              <w:spacing w:after="0" w:line="240" w:lineRule="auto"/>
              <w:rPr>
                <w:rFonts w:asciiTheme="majorHAnsi" w:hAnsiTheme="majorHAnsi"/>
                <w:b/>
                <w:color w:val="000000"/>
                <w:sz w:val="14"/>
                <w:szCs w:val="14"/>
              </w:rPr>
            </w:pPr>
            <w:r w:rsidRPr="00290350">
              <w:rPr>
                <w:rFonts w:asciiTheme="majorHAnsi" w:hAnsiTheme="majorHAnsi"/>
                <w:b/>
                <w:color w:val="000000"/>
                <w:sz w:val="14"/>
                <w:szCs w:val="14"/>
              </w:rPr>
              <w:t xml:space="preserve">2027 </w:t>
            </w:r>
            <w:r w:rsidR="00E63F76" w:rsidRPr="00290350">
              <w:rPr>
                <w:rFonts w:asciiTheme="majorHAnsi" w:hAnsiTheme="majorHAnsi"/>
                <w:b/>
                <w:bCs/>
                <w:color w:val="000000"/>
                <w:sz w:val="14"/>
                <w:szCs w:val="14"/>
              </w:rPr>
              <w:t xml:space="preserve">  </w:t>
            </w:r>
            <w:r w:rsidRPr="00290350">
              <w:rPr>
                <w:rFonts w:asciiTheme="majorHAnsi" w:hAnsiTheme="majorHAnsi"/>
                <w:b/>
                <w:color w:val="000000"/>
                <w:sz w:val="14"/>
                <w:szCs w:val="14"/>
              </w:rPr>
              <w:t>(f)</w:t>
            </w:r>
          </w:p>
        </w:tc>
        <w:tc>
          <w:tcPr>
            <w:tcW w:w="379" w:type="pct"/>
          </w:tcPr>
          <w:p w14:paraId="473207F2" w14:textId="2F475C97" w:rsidR="00A0002C" w:rsidRPr="00290350" w:rsidRDefault="00A0002C" w:rsidP="00FE6F9B">
            <w:pPr>
              <w:spacing w:after="0" w:line="240" w:lineRule="auto"/>
              <w:rPr>
                <w:rFonts w:asciiTheme="majorHAnsi" w:hAnsiTheme="majorHAnsi"/>
                <w:b/>
                <w:color w:val="000000"/>
                <w:sz w:val="14"/>
                <w:szCs w:val="14"/>
              </w:rPr>
            </w:pPr>
            <w:r w:rsidRPr="00290350">
              <w:rPr>
                <w:rFonts w:asciiTheme="majorHAnsi" w:hAnsiTheme="majorHAnsi"/>
                <w:b/>
                <w:color w:val="000000"/>
                <w:sz w:val="14"/>
                <w:szCs w:val="14"/>
              </w:rPr>
              <w:t xml:space="preserve">2028 </w:t>
            </w:r>
            <w:r w:rsidR="00E63F76" w:rsidRPr="00290350">
              <w:rPr>
                <w:rFonts w:asciiTheme="majorHAnsi" w:hAnsiTheme="majorHAnsi"/>
                <w:b/>
                <w:bCs/>
                <w:color w:val="000000"/>
                <w:sz w:val="14"/>
                <w:szCs w:val="14"/>
              </w:rPr>
              <w:t xml:space="preserve">  </w:t>
            </w:r>
            <w:r w:rsidRPr="00290350">
              <w:rPr>
                <w:rFonts w:asciiTheme="majorHAnsi" w:hAnsiTheme="majorHAnsi"/>
                <w:b/>
                <w:color w:val="000000"/>
                <w:sz w:val="14"/>
                <w:szCs w:val="14"/>
              </w:rPr>
              <w:t>(f)</w:t>
            </w:r>
          </w:p>
        </w:tc>
        <w:tc>
          <w:tcPr>
            <w:tcW w:w="379" w:type="pct"/>
          </w:tcPr>
          <w:p w14:paraId="65679BDD" w14:textId="063CAC50" w:rsidR="00A0002C" w:rsidRPr="00290350" w:rsidRDefault="00A0002C" w:rsidP="00FE6F9B">
            <w:pPr>
              <w:spacing w:after="0" w:line="240" w:lineRule="auto"/>
              <w:rPr>
                <w:rFonts w:asciiTheme="majorHAnsi" w:hAnsiTheme="majorHAnsi"/>
                <w:b/>
                <w:color w:val="000000"/>
                <w:sz w:val="14"/>
                <w:szCs w:val="14"/>
              </w:rPr>
            </w:pPr>
            <w:r w:rsidRPr="00290350">
              <w:rPr>
                <w:rFonts w:asciiTheme="majorHAnsi" w:hAnsiTheme="majorHAnsi"/>
                <w:b/>
                <w:color w:val="000000"/>
                <w:sz w:val="14"/>
                <w:szCs w:val="14"/>
              </w:rPr>
              <w:t xml:space="preserve">2029 </w:t>
            </w:r>
            <w:r w:rsidRPr="00290350">
              <w:rPr>
                <w:rFonts w:asciiTheme="majorHAnsi" w:hAnsiTheme="majorHAnsi"/>
                <w:b/>
                <w:bCs/>
                <w:color w:val="000000"/>
                <w:sz w:val="14"/>
                <w:szCs w:val="14"/>
              </w:rPr>
              <w:t xml:space="preserve"> </w:t>
            </w:r>
            <w:r w:rsidR="00E63F76" w:rsidRPr="00290350">
              <w:rPr>
                <w:rFonts w:asciiTheme="majorHAnsi" w:hAnsiTheme="majorHAnsi"/>
                <w:b/>
                <w:bCs/>
                <w:color w:val="000000"/>
                <w:sz w:val="14"/>
                <w:szCs w:val="14"/>
              </w:rPr>
              <w:t xml:space="preserve"> </w:t>
            </w:r>
            <w:r w:rsidRPr="00290350">
              <w:rPr>
                <w:rFonts w:asciiTheme="majorHAnsi" w:hAnsiTheme="majorHAnsi"/>
                <w:b/>
                <w:color w:val="000000"/>
                <w:sz w:val="14"/>
                <w:szCs w:val="14"/>
              </w:rPr>
              <w:t>(f)</w:t>
            </w:r>
          </w:p>
        </w:tc>
        <w:tc>
          <w:tcPr>
            <w:tcW w:w="373" w:type="pct"/>
          </w:tcPr>
          <w:p w14:paraId="52D35C07" w14:textId="5659192C" w:rsidR="00A0002C" w:rsidRPr="00290350" w:rsidRDefault="00A0002C" w:rsidP="00FE6F9B">
            <w:pPr>
              <w:spacing w:after="0" w:line="240" w:lineRule="auto"/>
              <w:rPr>
                <w:rFonts w:asciiTheme="majorHAnsi" w:hAnsiTheme="majorHAnsi"/>
                <w:b/>
                <w:color w:val="000000"/>
                <w:sz w:val="14"/>
                <w:szCs w:val="14"/>
              </w:rPr>
            </w:pPr>
            <w:r w:rsidRPr="00290350">
              <w:rPr>
                <w:rFonts w:asciiTheme="majorHAnsi" w:hAnsiTheme="majorHAnsi"/>
                <w:b/>
                <w:color w:val="000000"/>
                <w:sz w:val="14"/>
                <w:szCs w:val="14"/>
              </w:rPr>
              <w:t xml:space="preserve">2030 </w:t>
            </w:r>
            <w:r w:rsidRPr="00290350">
              <w:rPr>
                <w:rFonts w:asciiTheme="majorHAnsi" w:hAnsiTheme="majorHAnsi"/>
                <w:b/>
                <w:bCs/>
                <w:color w:val="000000"/>
                <w:sz w:val="14"/>
                <w:szCs w:val="14"/>
              </w:rPr>
              <w:t xml:space="preserve"> </w:t>
            </w:r>
            <w:r w:rsidRPr="00290350">
              <w:rPr>
                <w:rFonts w:asciiTheme="majorHAnsi" w:hAnsiTheme="majorHAnsi"/>
                <w:b/>
                <w:color w:val="000000"/>
                <w:sz w:val="14"/>
                <w:szCs w:val="14"/>
              </w:rPr>
              <w:t>(f)</w:t>
            </w:r>
          </w:p>
        </w:tc>
      </w:tr>
      <w:tr w:rsidR="0079281E" w:rsidRPr="00960B1A" w14:paraId="31976883" w14:textId="77777777" w:rsidTr="001419A0">
        <w:trPr>
          <w:trHeight w:val="238"/>
        </w:trPr>
        <w:tc>
          <w:tcPr>
            <w:tcW w:w="457" w:type="pct"/>
          </w:tcPr>
          <w:p w14:paraId="38D76C7F" w14:textId="77777777" w:rsidR="0079281E" w:rsidRPr="001419A0" w:rsidRDefault="0079281E" w:rsidP="0079281E">
            <w:pPr>
              <w:spacing w:after="0" w:line="240" w:lineRule="auto"/>
              <w:rPr>
                <w:rFonts w:asciiTheme="majorHAnsi" w:hAnsiTheme="majorHAnsi"/>
                <w:sz w:val="14"/>
                <w:szCs w:val="14"/>
              </w:rPr>
            </w:pPr>
            <w:r w:rsidRPr="001419A0">
              <w:rPr>
                <w:rFonts w:asciiTheme="majorHAnsi" w:eastAsia="Times New Roman" w:hAnsiTheme="majorHAnsi" w:cs="Times New Roman"/>
                <w:color w:val="000000"/>
                <w:sz w:val="14"/>
                <w:szCs w:val="14"/>
                <w:lang w:eastAsia="en-AU"/>
              </w:rPr>
              <w:t>Residential Accommodation</w:t>
            </w:r>
          </w:p>
        </w:tc>
        <w:tc>
          <w:tcPr>
            <w:tcW w:w="379" w:type="pct"/>
          </w:tcPr>
          <w:p w14:paraId="3B6A07CC" w14:textId="4FFCBEB5"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308,730 </w:t>
            </w:r>
          </w:p>
        </w:tc>
        <w:tc>
          <w:tcPr>
            <w:tcW w:w="379" w:type="pct"/>
          </w:tcPr>
          <w:p w14:paraId="6DB9F7C5" w14:textId="0D7ED11A"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324,422 </w:t>
            </w:r>
          </w:p>
        </w:tc>
        <w:tc>
          <w:tcPr>
            <w:tcW w:w="379" w:type="pct"/>
          </w:tcPr>
          <w:p w14:paraId="12633888" w14:textId="12219851"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332,565 </w:t>
            </w:r>
          </w:p>
        </w:tc>
        <w:tc>
          <w:tcPr>
            <w:tcW w:w="379" w:type="pct"/>
          </w:tcPr>
          <w:p w14:paraId="037C658B" w14:textId="18855812"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340,912 </w:t>
            </w:r>
          </w:p>
        </w:tc>
        <w:tc>
          <w:tcPr>
            <w:tcW w:w="379" w:type="pct"/>
          </w:tcPr>
          <w:p w14:paraId="56503872" w14:textId="1476457D"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349,468 </w:t>
            </w:r>
          </w:p>
        </w:tc>
        <w:tc>
          <w:tcPr>
            <w:tcW w:w="379" w:type="pct"/>
          </w:tcPr>
          <w:p w14:paraId="5E925B08" w14:textId="7E9263EC"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358,239 </w:t>
            </w:r>
          </w:p>
        </w:tc>
        <w:tc>
          <w:tcPr>
            <w:tcW w:w="379" w:type="pct"/>
          </w:tcPr>
          <w:p w14:paraId="2FBB3825" w14:textId="7CB9745C"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367,231 </w:t>
            </w:r>
          </w:p>
        </w:tc>
        <w:tc>
          <w:tcPr>
            <w:tcW w:w="379" w:type="pct"/>
          </w:tcPr>
          <w:p w14:paraId="3C65AF0B" w14:textId="509454B4"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376,448 </w:t>
            </w:r>
          </w:p>
        </w:tc>
        <w:tc>
          <w:tcPr>
            <w:tcW w:w="379" w:type="pct"/>
          </w:tcPr>
          <w:p w14:paraId="23F91D67" w14:textId="558436A8"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385,896 </w:t>
            </w:r>
          </w:p>
        </w:tc>
        <w:tc>
          <w:tcPr>
            <w:tcW w:w="379" w:type="pct"/>
          </w:tcPr>
          <w:p w14:paraId="26E9BB2E" w14:textId="26809CD8"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395,582 </w:t>
            </w:r>
          </w:p>
        </w:tc>
        <w:tc>
          <w:tcPr>
            <w:tcW w:w="379" w:type="pct"/>
          </w:tcPr>
          <w:p w14:paraId="6FBEA77A" w14:textId="3DBB38E5"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405,510 </w:t>
            </w:r>
          </w:p>
        </w:tc>
        <w:tc>
          <w:tcPr>
            <w:tcW w:w="373" w:type="pct"/>
          </w:tcPr>
          <w:p w14:paraId="002BF660" w14:textId="756ACA3F"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415,688 </w:t>
            </w:r>
          </w:p>
        </w:tc>
      </w:tr>
      <w:tr w:rsidR="0079281E" w:rsidRPr="00960B1A" w14:paraId="3206457A" w14:textId="77777777" w:rsidTr="008319A1">
        <w:trPr>
          <w:trHeight w:val="187"/>
        </w:trPr>
        <w:tc>
          <w:tcPr>
            <w:tcW w:w="457" w:type="pct"/>
          </w:tcPr>
          <w:p w14:paraId="189146CE" w14:textId="3867C0F3" w:rsidR="0079281E" w:rsidRPr="001419A0" w:rsidRDefault="0079281E" w:rsidP="0079281E">
            <w:pPr>
              <w:spacing w:after="0" w:line="240" w:lineRule="auto"/>
              <w:rPr>
                <w:rFonts w:asciiTheme="majorHAnsi" w:hAnsiTheme="majorHAnsi"/>
                <w:sz w:val="14"/>
                <w:szCs w:val="14"/>
              </w:rPr>
            </w:pPr>
            <w:r w:rsidRPr="001419A0">
              <w:rPr>
                <w:rFonts w:asciiTheme="majorHAnsi" w:eastAsia="Times New Roman" w:hAnsiTheme="majorHAnsi" w:cs="Times New Roman"/>
                <w:color w:val="000000"/>
                <w:sz w:val="14"/>
                <w:szCs w:val="14"/>
                <w:lang w:eastAsia="en-AU"/>
              </w:rPr>
              <w:t xml:space="preserve">Hotels &amp; Motels </w:t>
            </w:r>
            <w:r w:rsidR="006B3D9A" w:rsidRPr="001419A0">
              <w:rPr>
                <w:rFonts w:asciiTheme="majorHAnsi" w:eastAsia="Times New Roman" w:hAnsiTheme="majorHAnsi" w:cs="Times New Roman"/>
                <w:color w:val="000000"/>
                <w:sz w:val="14"/>
                <w:szCs w:val="14"/>
                <w:lang w:eastAsia="en-AU"/>
              </w:rPr>
              <w:t>(‘000)</w:t>
            </w:r>
          </w:p>
        </w:tc>
        <w:tc>
          <w:tcPr>
            <w:tcW w:w="379" w:type="pct"/>
          </w:tcPr>
          <w:p w14:paraId="18560D34" w14:textId="700488D2" w:rsidR="0079281E" w:rsidRPr="001419A0" w:rsidRDefault="0079281E" w:rsidP="00D84D19">
            <w:pPr>
              <w:spacing w:after="0" w:line="240" w:lineRule="auto"/>
              <w:rPr>
                <w:rFonts w:asciiTheme="majorHAnsi" w:hAnsiTheme="majorHAnsi"/>
                <w:sz w:val="14"/>
                <w:szCs w:val="14"/>
              </w:rPr>
            </w:pPr>
            <w:r w:rsidRPr="001419A0">
              <w:rPr>
                <w:rFonts w:asciiTheme="majorHAnsi" w:hAnsiTheme="majorHAnsi"/>
                <w:sz w:val="14"/>
                <w:szCs w:val="14"/>
              </w:rPr>
              <w:t>12,</w:t>
            </w:r>
            <w:r w:rsidR="006B3D9A" w:rsidRPr="001419A0">
              <w:rPr>
                <w:rFonts w:asciiTheme="majorHAnsi" w:hAnsiTheme="majorHAnsi"/>
                <w:sz w:val="14"/>
                <w:szCs w:val="14"/>
              </w:rPr>
              <w:t>045</w:t>
            </w:r>
            <w:r w:rsidRPr="001419A0">
              <w:rPr>
                <w:rFonts w:asciiTheme="majorHAnsi" w:hAnsiTheme="majorHAnsi"/>
                <w:sz w:val="14"/>
                <w:szCs w:val="14"/>
              </w:rPr>
              <w:t xml:space="preserve"> </w:t>
            </w:r>
          </w:p>
        </w:tc>
        <w:tc>
          <w:tcPr>
            <w:tcW w:w="379" w:type="pct"/>
          </w:tcPr>
          <w:p w14:paraId="3845387E" w14:textId="5813D343"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12,256 </w:t>
            </w:r>
          </w:p>
        </w:tc>
        <w:tc>
          <w:tcPr>
            <w:tcW w:w="379" w:type="pct"/>
          </w:tcPr>
          <w:p w14:paraId="529500E1" w14:textId="0B9C8989"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12,471 </w:t>
            </w:r>
          </w:p>
        </w:tc>
        <w:tc>
          <w:tcPr>
            <w:tcW w:w="379" w:type="pct"/>
          </w:tcPr>
          <w:p w14:paraId="394FA00A" w14:textId="0F54F83B"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12,690 </w:t>
            </w:r>
          </w:p>
        </w:tc>
        <w:tc>
          <w:tcPr>
            <w:tcW w:w="379" w:type="pct"/>
          </w:tcPr>
          <w:p w14:paraId="3EBB737A" w14:textId="7352FF09"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12,</w:t>
            </w:r>
            <w:r w:rsidR="006B3D9A" w:rsidRPr="001419A0">
              <w:rPr>
                <w:rFonts w:asciiTheme="majorHAnsi" w:hAnsiTheme="majorHAnsi"/>
                <w:sz w:val="14"/>
                <w:szCs w:val="14"/>
              </w:rPr>
              <w:t>913</w:t>
            </w:r>
            <w:r w:rsidRPr="001419A0">
              <w:rPr>
                <w:rFonts w:asciiTheme="majorHAnsi" w:hAnsiTheme="majorHAnsi"/>
                <w:sz w:val="14"/>
                <w:szCs w:val="14"/>
              </w:rPr>
              <w:t xml:space="preserve"> </w:t>
            </w:r>
          </w:p>
        </w:tc>
        <w:tc>
          <w:tcPr>
            <w:tcW w:w="379" w:type="pct"/>
          </w:tcPr>
          <w:p w14:paraId="3849F2FA" w14:textId="520EEF22"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13,139 </w:t>
            </w:r>
          </w:p>
        </w:tc>
        <w:tc>
          <w:tcPr>
            <w:tcW w:w="379" w:type="pct"/>
          </w:tcPr>
          <w:p w14:paraId="07FB2AA1" w14:textId="21F8D6BA"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13,3</w:t>
            </w:r>
            <w:r w:rsidR="006B3D9A" w:rsidRPr="001419A0">
              <w:rPr>
                <w:rFonts w:asciiTheme="majorHAnsi" w:hAnsiTheme="majorHAnsi"/>
                <w:sz w:val="14"/>
                <w:szCs w:val="14"/>
              </w:rPr>
              <w:t>70</w:t>
            </w:r>
            <w:r w:rsidRPr="001419A0">
              <w:rPr>
                <w:rFonts w:asciiTheme="majorHAnsi" w:hAnsiTheme="majorHAnsi"/>
                <w:sz w:val="14"/>
                <w:szCs w:val="14"/>
              </w:rPr>
              <w:t xml:space="preserve"> </w:t>
            </w:r>
          </w:p>
        </w:tc>
        <w:tc>
          <w:tcPr>
            <w:tcW w:w="379" w:type="pct"/>
          </w:tcPr>
          <w:p w14:paraId="499F12BE" w14:textId="62525C35"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13,604 </w:t>
            </w:r>
          </w:p>
        </w:tc>
        <w:tc>
          <w:tcPr>
            <w:tcW w:w="379" w:type="pct"/>
          </w:tcPr>
          <w:p w14:paraId="769EDBF6" w14:textId="0CA857C4"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13,843 </w:t>
            </w:r>
          </w:p>
        </w:tc>
        <w:tc>
          <w:tcPr>
            <w:tcW w:w="379" w:type="pct"/>
          </w:tcPr>
          <w:p w14:paraId="47695D82" w14:textId="313BAD01"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14,086 </w:t>
            </w:r>
          </w:p>
        </w:tc>
        <w:tc>
          <w:tcPr>
            <w:tcW w:w="379" w:type="pct"/>
          </w:tcPr>
          <w:p w14:paraId="303528DB" w14:textId="5968DF0C"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14,333 </w:t>
            </w:r>
          </w:p>
        </w:tc>
        <w:tc>
          <w:tcPr>
            <w:tcW w:w="373" w:type="pct"/>
          </w:tcPr>
          <w:p w14:paraId="026D313B" w14:textId="2741A77A"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14,58</w:t>
            </w:r>
            <w:r w:rsidR="006B3D9A" w:rsidRPr="001419A0">
              <w:rPr>
                <w:rFonts w:asciiTheme="majorHAnsi" w:hAnsiTheme="majorHAnsi"/>
                <w:sz w:val="14"/>
                <w:szCs w:val="14"/>
              </w:rPr>
              <w:t>5</w:t>
            </w:r>
          </w:p>
        </w:tc>
      </w:tr>
      <w:tr w:rsidR="0079281E" w:rsidRPr="00960B1A" w14:paraId="33062718" w14:textId="77777777" w:rsidTr="001419A0">
        <w:trPr>
          <w:trHeight w:val="195"/>
        </w:trPr>
        <w:tc>
          <w:tcPr>
            <w:tcW w:w="457" w:type="pct"/>
          </w:tcPr>
          <w:p w14:paraId="35A43722" w14:textId="77777777" w:rsidR="0079281E" w:rsidRPr="001419A0" w:rsidRDefault="0079281E" w:rsidP="0079281E">
            <w:pPr>
              <w:spacing w:after="0" w:line="240" w:lineRule="auto"/>
              <w:rPr>
                <w:rFonts w:asciiTheme="majorHAnsi" w:hAnsiTheme="majorHAnsi"/>
                <w:sz w:val="14"/>
                <w:szCs w:val="14"/>
              </w:rPr>
            </w:pPr>
            <w:r w:rsidRPr="001419A0">
              <w:rPr>
                <w:rFonts w:asciiTheme="majorHAnsi" w:eastAsia="Times New Roman" w:hAnsiTheme="majorHAnsi" w:cs="Times New Roman"/>
                <w:color w:val="000000"/>
                <w:sz w:val="14"/>
                <w:szCs w:val="14"/>
                <w:lang w:eastAsia="en-AU"/>
              </w:rPr>
              <w:t>Hostels</w:t>
            </w:r>
          </w:p>
        </w:tc>
        <w:tc>
          <w:tcPr>
            <w:tcW w:w="379" w:type="pct"/>
          </w:tcPr>
          <w:p w14:paraId="77E3EDB6" w14:textId="2688D56C"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46,630 </w:t>
            </w:r>
          </w:p>
        </w:tc>
        <w:tc>
          <w:tcPr>
            <w:tcW w:w="379" w:type="pct"/>
          </w:tcPr>
          <w:p w14:paraId="7E236190" w14:textId="749F7836"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47,092 </w:t>
            </w:r>
          </w:p>
        </w:tc>
        <w:tc>
          <w:tcPr>
            <w:tcW w:w="379" w:type="pct"/>
          </w:tcPr>
          <w:p w14:paraId="2E62DAA8" w14:textId="6612F3CC"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47,559 </w:t>
            </w:r>
          </w:p>
        </w:tc>
        <w:tc>
          <w:tcPr>
            <w:tcW w:w="379" w:type="pct"/>
          </w:tcPr>
          <w:p w14:paraId="216B36ED" w14:textId="5B9100E7"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48,030 </w:t>
            </w:r>
          </w:p>
        </w:tc>
        <w:tc>
          <w:tcPr>
            <w:tcW w:w="379" w:type="pct"/>
          </w:tcPr>
          <w:p w14:paraId="2926D80C" w14:textId="7D82D8A3"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48,506 </w:t>
            </w:r>
          </w:p>
        </w:tc>
        <w:tc>
          <w:tcPr>
            <w:tcW w:w="379" w:type="pct"/>
          </w:tcPr>
          <w:p w14:paraId="523B15CE" w14:textId="52ACB07A"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48,987 </w:t>
            </w:r>
          </w:p>
        </w:tc>
        <w:tc>
          <w:tcPr>
            <w:tcW w:w="379" w:type="pct"/>
          </w:tcPr>
          <w:p w14:paraId="3FC06AAF" w14:textId="4DD48AF8"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49,472 </w:t>
            </w:r>
          </w:p>
        </w:tc>
        <w:tc>
          <w:tcPr>
            <w:tcW w:w="379" w:type="pct"/>
          </w:tcPr>
          <w:p w14:paraId="53C99629" w14:textId="64D7F043"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49,963 </w:t>
            </w:r>
          </w:p>
        </w:tc>
        <w:tc>
          <w:tcPr>
            <w:tcW w:w="379" w:type="pct"/>
          </w:tcPr>
          <w:p w14:paraId="779293E2" w14:textId="03B86636"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50,458 </w:t>
            </w:r>
          </w:p>
        </w:tc>
        <w:tc>
          <w:tcPr>
            <w:tcW w:w="379" w:type="pct"/>
          </w:tcPr>
          <w:p w14:paraId="4D404202" w14:textId="32297022"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50,958 </w:t>
            </w:r>
          </w:p>
        </w:tc>
        <w:tc>
          <w:tcPr>
            <w:tcW w:w="379" w:type="pct"/>
          </w:tcPr>
          <w:p w14:paraId="353118C6" w14:textId="20CA30FF"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51,463 </w:t>
            </w:r>
          </w:p>
        </w:tc>
        <w:tc>
          <w:tcPr>
            <w:tcW w:w="373" w:type="pct"/>
          </w:tcPr>
          <w:p w14:paraId="379039CC" w14:textId="641C26EC"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51,973 </w:t>
            </w:r>
          </w:p>
        </w:tc>
      </w:tr>
      <w:tr w:rsidR="0079281E" w:rsidRPr="00960B1A" w14:paraId="4082304E" w14:textId="77777777" w:rsidTr="001419A0">
        <w:trPr>
          <w:trHeight w:val="196"/>
        </w:trPr>
        <w:tc>
          <w:tcPr>
            <w:tcW w:w="457" w:type="pct"/>
          </w:tcPr>
          <w:p w14:paraId="0E169159" w14:textId="77777777" w:rsidR="0079281E" w:rsidRPr="001419A0" w:rsidRDefault="0079281E" w:rsidP="0079281E">
            <w:pPr>
              <w:spacing w:after="0" w:line="240" w:lineRule="auto"/>
              <w:rPr>
                <w:rFonts w:asciiTheme="majorHAnsi" w:hAnsiTheme="majorHAnsi"/>
                <w:sz w:val="14"/>
                <w:szCs w:val="14"/>
              </w:rPr>
            </w:pPr>
            <w:r w:rsidRPr="001419A0">
              <w:rPr>
                <w:rFonts w:asciiTheme="majorHAnsi" w:eastAsia="Times New Roman" w:hAnsiTheme="majorHAnsi" w:cs="Times New Roman"/>
                <w:color w:val="000000"/>
                <w:sz w:val="14"/>
                <w:szCs w:val="14"/>
                <w:lang w:eastAsia="en-AU"/>
              </w:rPr>
              <w:t>Student Dormitories</w:t>
            </w:r>
          </w:p>
        </w:tc>
        <w:tc>
          <w:tcPr>
            <w:tcW w:w="379" w:type="pct"/>
          </w:tcPr>
          <w:p w14:paraId="12D2BDB4" w14:textId="77777777"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3,476 </w:t>
            </w:r>
          </w:p>
        </w:tc>
        <w:tc>
          <w:tcPr>
            <w:tcW w:w="379" w:type="pct"/>
          </w:tcPr>
          <w:p w14:paraId="39C468F9" w14:textId="77777777"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3,553 </w:t>
            </w:r>
          </w:p>
        </w:tc>
        <w:tc>
          <w:tcPr>
            <w:tcW w:w="379" w:type="pct"/>
          </w:tcPr>
          <w:p w14:paraId="3EFBF658" w14:textId="77777777"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3,632 </w:t>
            </w:r>
          </w:p>
        </w:tc>
        <w:tc>
          <w:tcPr>
            <w:tcW w:w="379" w:type="pct"/>
          </w:tcPr>
          <w:p w14:paraId="6326584C" w14:textId="77777777"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3,713 </w:t>
            </w:r>
          </w:p>
        </w:tc>
        <w:tc>
          <w:tcPr>
            <w:tcW w:w="379" w:type="pct"/>
          </w:tcPr>
          <w:p w14:paraId="51163CA4" w14:textId="77777777"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3,796 </w:t>
            </w:r>
          </w:p>
        </w:tc>
        <w:tc>
          <w:tcPr>
            <w:tcW w:w="379" w:type="pct"/>
          </w:tcPr>
          <w:p w14:paraId="5D214208" w14:textId="77777777"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3,880 </w:t>
            </w:r>
          </w:p>
        </w:tc>
        <w:tc>
          <w:tcPr>
            <w:tcW w:w="379" w:type="pct"/>
          </w:tcPr>
          <w:p w14:paraId="5FEF20AB" w14:textId="77777777"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3,967 </w:t>
            </w:r>
          </w:p>
        </w:tc>
        <w:tc>
          <w:tcPr>
            <w:tcW w:w="379" w:type="pct"/>
          </w:tcPr>
          <w:p w14:paraId="73C5324F" w14:textId="77777777"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4,055 </w:t>
            </w:r>
          </w:p>
        </w:tc>
        <w:tc>
          <w:tcPr>
            <w:tcW w:w="379" w:type="pct"/>
          </w:tcPr>
          <w:p w14:paraId="6F27FA01" w14:textId="77777777"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4,146 </w:t>
            </w:r>
          </w:p>
        </w:tc>
        <w:tc>
          <w:tcPr>
            <w:tcW w:w="379" w:type="pct"/>
          </w:tcPr>
          <w:p w14:paraId="6BAEFB8F" w14:textId="77777777"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4,238 </w:t>
            </w:r>
          </w:p>
        </w:tc>
        <w:tc>
          <w:tcPr>
            <w:tcW w:w="379" w:type="pct"/>
          </w:tcPr>
          <w:p w14:paraId="32F59F40" w14:textId="77777777"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4,332 </w:t>
            </w:r>
          </w:p>
        </w:tc>
        <w:tc>
          <w:tcPr>
            <w:tcW w:w="373" w:type="pct"/>
          </w:tcPr>
          <w:p w14:paraId="13EB2F4C" w14:textId="77777777"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4,429 </w:t>
            </w:r>
          </w:p>
        </w:tc>
      </w:tr>
      <w:tr w:rsidR="0079281E" w:rsidRPr="00960B1A" w14:paraId="5BFF919A" w14:textId="77777777" w:rsidTr="001419A0">
        <w:trPr>
          <w:trHeight w:val="154"/>
        </w:trPr>
        <w:tc>
          <w:tcPr>
            <w:tcW w:w="457" w:type="pct"/>
          </w:tcPr>
          <w:p w14:paraId="5D83F4EE" w14:textId="77777777" w:rsidR="0079281E" w:rsidRPr="001419A0" w:rsidRDefault="0079281E" w:rsidP="0079281E">
            <w:pPr>
              <w:spacing w:after="0" w:line="240" w:lineRule="auto"/>
              <w:rPr>
                <w:rFonts w:asciiTheme="majorHAnsi" w:hAnsiTheme="majorHAnsi"/>
                <w:sz w:val="14"/>
                <w:szCs w:val="14"/>
              </w:rPr>
            </w:pPr>
            <w:r w:rsidRPr="001419A0">
              <w:rPr>
                <w:rFonts w:asciiTheme="majorHAnsi" w:eastAsia="Times New Roman" w:hAnsiTheme="majorHAnsi" w:cs="Times New Roman"/>
                <w:color w:val="000000"/>
                <w:sz w:val="14"/>
                <w:szCs w:val="14"/>
                <w:lang w:eastAsia="en-AU"/>
              </w:rPr>
              <w:t>Holiday Camps</w:t>
            </w:r>
          </w:p>
        </w:tc>
        <w:tc>
          <w:tcPr>
            <w:tcW w:w="379" w:type="pct"/>
          </w:tcPr>
          <w:p w14:paraId="2A582B13" w14:textId="05A5D10E"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227,423 </w:t>
            </w:r>
          </w:p>
        </w:tc>
        <w:tc>
          <w:tcPr>
            <w:tcW w:w="379" w:type="pct"/>
          </w:tcPr>
          <w:p w14:paraId="13793EDD" w14:textId="6E117AE9"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227,423 </w:t>
            </w:r>
          </w:p>
        </w:tc>
        <w:tc>
          <w:tcPr>
            <w:tcW w:w="379" w:type="pct"/>
          </w:tcPr>
          <w:p w14:paraId="2D6D5849" w14:textId="6D5C0DC5"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227,423 </w:t>
            </w:r>
          </w:p>
        </w:tc>
        <w:tc>
          <w:tcPr>
            <w:tcW w:w="379" w:type="pct"/>
          </w:tcPr>
          <w:p w14:paraId="56E0C49B" w14:textId="4F81BA01"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227,423 </w:t>
            </w:r>
          </w:p>
        </w:tc>
        <w:tc>
          <w:tcPr>
            <w:tcW w:w="379" w:type="pct"/>
          </w:tcPr>
          <w:p w14:paraId="07E35138" w14:textId="57BB1263"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227,423 </w:t>
            </w:r>
          </w:p>
        </w:tc>
        <w:tc>
          <w:tcPr>
            <w:tcW w:w="379" w:type="pct"/>
          </w:tcPr>
          <w:p w14:paraId="36AF7BD4" w14:textId="7DB2963E"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227,423 </w:t>
            </w:r>
          </w:p>
        </w:tc>
        <w:tc>
          <w:tcPr>
            <w:tcW w:w="379" w:type="pct"/>
          </w:tcPr>
          <w:p w14:paraId="052E4D7C" w14:textId="36FF44A0"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227,423 </w:t>
            </w:r>
          </w:p>
        </w:tc>
        <w:tc>
          <w:tcPr>
            <w:tcW w:w="379" w:type="pct"/>
          </w:tcPr>
          <w:p w14:paraId="5C5F3CE0" w14:textId="4E6B0191"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227,423 </w:t>
            </w:r>
          </w:p>
        </w:tc>
        <w:tc>
          <w:tcPr>
            <w:tcW w:w="379" w:type="pct"/>
          </w:tcPr>
          <w:p w14:paraId="4CAF4B5F" w14:textId="6929E978"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227,423 </w:t>
            </w:r>
          </w:p>
        </w:tc>
        <w:tc>
          <w:tcPr>
            <w:tcW w:w="379" w:type="pct"/>
          </w:tcPr>
          <w:p w14:paraId="7BEB47DC" w14:textId="64E12EB7"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227,423 </w:t>
            </w:r>
          </w:p>
        </w:tc>
        <w:tc>
          <w:tcPr>
            <w:tcW w:w="379" w:type="pct"/>
          </w:tcPr>
          <w:p w14:paraId="0C30C6A6" w14:textId="3CA1BC44"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227,423 </w:t>
            </w:r>
          </w:p>
        </w:tc>
        <w:tc>
          <w:tcPr>
            <w:tcW w:w="373" w:type="pct"/>
          </w:tcPr>
          <w:p w14:paraId="46418E5E" w14:textId="2565DCED"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227,423 </w:t>
            </w:r>
          </w:p>
        </w:tc>
      </w:tr>
      <w:tr w:rsidR="0079281E" w:rsidRPr="00960B1A" w14:paraId="0488496B" w14:textId="77777777" w:rsidTr="001419A0">
        <w:trPr>
          <w:trHeight w:val="138"/>
        </w:trPr>
        <w:tc>
          <w:tcPr>
            <w:tcW w:w="457" w:type="pct"/>
          </w:tcPr>
          <w:p w14:paraId="76819889" w14:textId="77777777" w:rsidR="0079281E" w:rsidRPr="001419A0" w:rsidRDefault="0079281E" w:rsidP="0079281E">
            <w:pPr>
              <w:spacing w:after="0" w:line="240" w:lineRule="auto"/>
              <w:rPr>
                <w:rFonts w:asciiTheme="majorHAnsi" w:hAnsiTheme="majorHAnsi"/>
                <w:sz w:val="14"/>
                <w:szCs w:val="14"/>
              </w:rPr>
            </w:pPr>
            <w:r w:rsidRPr="001419A0">
              <w:rPr>
                <w:rFonts w:asciiTheme="majorHAnsi" w:eastAsia="Times New Roman" w:hAnsiTheme="majorHAnsi" w:cs="Times New Roman"/>
                <w:color w:val="000000"/>
                <w:sz w:val="14"/>
                <w:szCs w:val="14"/>
                <w:lang w:eastAsia="en-AU"/>
              </w:rPr>
              <w:t>Rooming Houses</w:t>
            </w:r>
          </w:p>
        </w:tc>
        <w:tc>
          <w:tcPr>
            <w:tcW w:w="379" w:type="pct"/>
          </w:tcPr>
          <w:p w14:paraId="64C5A692" w14:textId="078A1166"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11,641 </w:t>
            </w:r>
          </w:p>
        </w:tc>
        <w:tc>
          <w:tcPr>
            <w:tcW w:w="379" w:type="pct"/>
          </w:tcPr>
          <w:p w14:paraId="0D9410F9" w14:textId="261DC745"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11,989 </w:t>
            </w:r>
          </w:p>
        </w:tc>
        <w:tc>
          <w:tcPr>
            <w:tcW w:w="379" w:type="pct"/>
          </w:tcPr>
          <w:p w14:paraId="045BE372" w14:textId="406B059E"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12,346 </w:t>
            </w:r>
          </w:p>
        </w:tc>
        <w:tc>
          <w:tcPr>
            <w:tcW w:w="379" w:type="pct"/>
          </w:tcPr>
          <w:p w14:paraId="54314EBA" w14:textId="336241C0"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12,715 </w:t>
            </w:r>
          </w:p>
        </w:tc>
        <w:tc>
          <w:tcPr>
            <w:tcW w:w="379" w:type="pct"/>
          </w:tcPr>
          <w:p w14:paraId="02A605E6" w14:textId="054C5D92"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13,095 </w:t>
            </w:r>
          </w:p>
        </w:tc>
        <w:tc>
          <w:tcPr>
            <w:tcW w:w="379" w:type="pct"/>
          </w:tcPr>
          <w:p w14:paraId="363CF13E" w14:textId="03F331E4"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13,486 </w:t>
            </w:r>
          </w:p>
        </w:tc>
        <w:tc>
          <w:tcPr>
            <w:tcW w:w="379" w:type="pct"/>
          </w:tcPr>
          <w:p w14:paraId="5AFFA334" w14:textId="22433741"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13,889 </w:t>
            </w:r>
          </w:p>
        </w:tc>
        <w:tc>
          <w:tcPr>
            <w:tcW w:w="379" w:type="pct"/>
          </w:tcPr>
          <w:p w14:paraId="1C24DDE8" w14:textId="590AA13F"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14,303 </w:t>
            </w:r>
          </w:p>
        </w:tc>
        <w:tc>
          <w:tcPr>
            <w:tcW w:w="379" w:type="pct"/>
          </w:tcPr>
          <w:p w14:paraId="4D61C2DB" w14:textId="24DFE04F"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14,730 </w:t>
            </w:r>
          </w:p>
        </w:tc>
        <w:tc>
          <w:tcPr>
            <w:tcW w:w="379" w:type="pct"/>
          </w:tcPr>
          <w:p w14:paraId="3A7D2087" w14:textId="78241E07"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15,170 </w:t>
            </w:r>
          </w:p>
        </w:tc>
        <w:tc>
          <w:tcPr>
            <w:tcW w:w="379" w:type="pct"/>
          </w:tcPr>
          <w:p w14:paraId="6D55B421" w14:textId="646DE810"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15,623 </w:t>
            </w:r>
          </w:p>
        </w:tc>
        <w:tc>
          <w:tcPr>
            <w:tcW w:w="373" w:type="pct"/>
          </w:tcPr>
          <w:p w14:paraId="0BEC5512" w14:textId="4EDB46F2" w:rsidR="0079281E" w:rsidRPr="001419A0" w:rsidRDefault="0079281E" w:rsidP="0079281E">
            <w:pPr>
              <w:spacing w:after="0" w:line="240" w:lineRule="auto"/>
              <w:rPr>
                <w:rFonts w:asciiTheme="majorHAnsi" w:hAnsiTheme="majorHAnsi"/>
                <w:sz w:val="14"/>
                <w:szCs w:val="14"/>
              </w:rPr>
            </w:pPr>
            <w:r w:rsidRPr="001419A0">
              <w:rPr>
                <w:rFonts w:asciiTheme="majorHAnsi" w:hAnsiTheme="majorHAnsi"/>
                <w:sz w:val="14"/>
                <w:szCs w:val="14"/>
              </w:rPr>
              <w:t xml:space="preserve"> 16,090 </w:t>
            </w:r>
          </w:p>
        </w:tc>
      </w:tr>
    </w:tbl>
    <w:p w14:paraId="3E06F6ED" w14:textId="41A05B56" w:rsidR="00A0002C" w:rsidRPr="00290350" w:rsidRDefault="008F330A" w:rsidP="000463D8">
      <w:pPr>
        <w:spacing w:before="170"/>
        <w:rPr>
          <w:b/>
        </w:rPr>
      </w:pPr>
      <w:r w:rsidRPr="00290350">
        <w:rPr>
          <w:b/>
        </w:rPr>
        <w:t>Forecast e</w:t>
      </w:r>
      <w:r w:rsidR="00A0002C" w:rsidRPr="00290350">
        <w:rPr>
          <w:b/>
        </w:rPr>
        <w:t xml:space="preserve">nforcement activity </w:t>
      </w:r>
    </w:p>
    <w:tbl>
      <w:tblPr>
        <w:tblStyle w:val="Deloittetable"/>
        <w:tblW w:w="5000" w:type="pct"/>
        <w:tblLook w:val="04A0" w:firstRow="1" w:lastRow="0" w:firstColumn="1" w:lastColumn="0" w:noHBand="0" w:noVBand="1"/>
      </w:tblPr>
      <w:tblGrid>
        <w:gridCol w:w="1177"/>
        <w:gridCol w:w="634"/>
        <w:gridCol w:w="602"/>
        <w:gridCol w:w="602"/>
        <w:gridCol w:w="602"/>
        <w:gridCol w:w="601"/>
        <w:gridCol w:w="601"/>
        <w:gridCol w:w="601"/>
        <w:gridCol w:w="601"/>
        <w:gridCol w:w="601"/>
        <w:gridCol w:w="601"/>
        <w:gridCol w:w="601"/>
        <w:gridCol w:w="601"/>
        <w:gridCol w:w="601"/>
      </w:tblGrid>
      <w:tr w:rsidR="00A0002C" w:rsidRPr="000463D8" w14:paraId="686DFC13" w14:textId="77777777" w:rsidTr="001419A0">
        <w:trPr>
          <w:cnfStyle w:val="100000000000" w:firstRow="1" w:lastRow="0" w:firstColumn="0" w:lastColumn="0" w:oddVBand="0" w:evenVBand="0" w:oddHBand="0" w:evenHBand="0" w:firstRowFirstColumn="0" w:firstRowLastColumn="0" w:lastRowFirstColumn="0" w:lastRowLastColumn="0"/>
          <w:trHeight w:val="153"/>
        </w:trPr>
        <w:tc>
          <w:tcPr>
            <w:tcW w:w="652" w:type="pct"/>
            <w:noWrap/>
            <w:hideMark/>
          </w:tcPr>
          <w:p w14:paraId="343D6372" w14:textId="77777777" w:rsidR="00A0002C" w:rsidRPr="00290350" w:rsidRDefault="00A0002C" w:rsidP="00FE6F9B">
            <w:pPr>
              <w:spacing w:after="0" w:line="240" w:lineRule="auto"/>
              <w:rPr>
                <w:rFonts w:asciiTheme="majorHAnsi" w:eastAsia="Times New Roman" w:hAnsiTheme="majorHAnsi" w:cs="Times New Roman"/>
                <w:b/>
                <w:color w:val="000000"/>
                <w:sz w:val="14"/>
                <w:szCs w:val="14"/>
                <w:lang w:eastAsia="en-AU"/>
              </w:rPr>
            </w:pPr>
            <w:r w:rsidRPr="00290350">
              <w:rPr>
                <w:rFonts w:asciiTheme="majorHAnsi" w:eastAsia="Times New Roman" w:hAnsiTheme="majorHAnsi" w:cs="Times New Roman"/>
                <w:b/>
                <w:color w:val="000000"/>
                <w:sz w:val="14"/>
                <w:szCs w:val="14"/>
                <w:lang w:eastAsia="en-AU"/>
              </w:rPr>
              <w:t>Option 1</w:t>
            </w:r>
          </w:p>
        </w:tc>
        <w:tc>
          <w:tcPr>
            <w:tcW w:w="351" w:type="pct"/>
            <w:noWrap/>
            <w:hideMark/>
          </w:tcPr>
          <w:p w14:paraId="321CD22C" w14:textId="77777777" w:rsidR="00A0002C" w:rsidRPr="00290350" w:rsidRDefault="00A0002C" w:rsidP="00FE6F9B">
            <w:pPr>
              <w:spacing w:after="0" w:line="240" w:lineRule="auto"/>
              <w:rPr>
                <w:rFonts w:asciiTheme="majorHAnsi" w:eastAsia="Times New Roman" w:hAnsiTheme="majorHAnsi" w:cs="Times New Roman"/>
                <w:b/>
                <w:color w:val="000000"/>
                <w:sz w:val="14"/>
                <w:szCs w:val="14"/>
                <w:lang w:eastAsia="en-AU"/>
              </w:rPr>
            </w:pPr>
            <w:r w:rsidRPr="00290350">
              <w:rPr>
                <w:rFonts w:asciiTheme="majorHAnsi" w:eastAsia="Times New Roman" w:hAnsiTheme="majorHAnsi" w:cs="Times New Roman"/>
                <w:b/>
                <w:color w:val="000000"/>
                <w:sz w:val="14"/>
                <w:szCs w:val="14"/>
                <w:lang w:eastAsia="en-AU"/>
              </w:rPr>
              <w:t>2018 (e)</w:t>
            </w:r>
          </w:p>
        </w:tc>
        <w:tc>
          <w:tcPr>
            <w:tcW w:w="333" w:type="pct"/>
            <w:noWrap/>
            <w:hideMark/>
          </w:tcPr>
          <w:p w14:paraId="16B7BFF3" w14:textId="77777777" w:rsidR="00A0002C" w:rsidRPr="00290350" w:rsidRDefault="00A0002C" w:rsidP="00FE6F9B">
            <w:pPr>
              <w:spacing w:after="0" w:line="240" w:lineRule="auto"/>
              <w:rPr>
                <w:rFonts w:asciiTheme="majorHAnsi" w:eastAsia="Times New Roman" w:hAnsiTheme="majorHAnsi" w:cs="Times New Roman"/>
                <w:b/>
                <w:color w:val="000000"/>
                <w:sz w:val="14"/>
                <w:szCs w:val="14"/>
                <w:lang w:eastAsia="en-AU"/>
              </w:rPr>
            </w:pPr>
            <w:r w:rsidRPr="00290350">
              <w:rPr>
                <w:rFonts w:asciiTheme="majorHAnsi" w:eastAsia="Times New Roman" w:hAnsiTheme="majorHAnsi" w:cs="Times New Roman"/>
                <w:b/>
                <w:color w:val="000000"/>
                <w:sz w:val="14"/>
                <w:szCs w:val="14"/>
                <w:lang w:eastAsia="en-AU"/>
              </w:rPr>
              <w:t>2019 (f)</w:t>
            </w:r>
          </w:p>
        </w:tc>
        <w:tc>
          <w:tcPr>
            <w:tcW w:w="333" w:type="pct"/>
            <w:noWrap/>
            <w:hideMark/>
          </w:tcPr>
          <w:p w14:paraId="224B7837" w14:textId="77777777" w:rsidR="00A0002C" w:rsidRPr="00290350" w:rsidRDefault="00A0002C" w:rsidP="00FE6F9B">
            <w:pPr>
              <w:spacing w:after="0" w:line="240" w:lineRule="auto"/>
              <w:rPr>
                <w:rFonts w:asciiTheme="majorHAnsi" w:eastAsia="Times New Roman" w:hAnsiTheme="majorHAnsi" w:cs="Times New Roman"/>
                <w:b/>
                <w:color w:val="000000"/>
                <w:sz w:val="14"/>
                <w:szCs w:val="14"/>
                <w:lang w:eastAsia="en-AU"/>
              </w:rPr>
            </w:pPr>
            <w:r w:rsidRPr="00290350">
              <w:rPr>
                <w:rFonts w:asciiTheme="majorHAnsi" w:eastAsia="Times New Roman" w:hAnsiTheme="majorHAnsi" w:cs="Times New Roman"/>
                <w:b/>
                <w:color w:val="000000"/>
                <w:sz w:val="14"/>
                <w:szCs w:val="14"/>
                <w:lang w:eastAsia="en-AU"/>
              </w:rPr>
              <w:t>2020 (f)</w:t>
            </w:r>
          </w:p>
        </w:tc>
        <w:tc>
          <w:tcPr>
            <w:tcW w:w="333" w:type="pct"/>
            <w:noWrap/>
            <w:hideMark/>
          </w:tcPr>
          <w:p w14:paraId="444F8C87" w14:textId="77777777" w:rsidR="00A0002C" w:rsidRPr="00290350" w:rsidRDefault="00A0002C" w:rsidP="00FE6F9B">
            <w:pPr>
              <w:spacing w:after="0" w:line="240" w:lineRule="auto"/>
              <w:rPr>
                <w:rFonts w:asciiTheme="majorHAnsi" w:eastAsia="Times New Roman" w:hAnsiTheme="majorHAnsi" w:cs="Times New Roman"/>
                <w:b/>
                <w:color w:val="000000"/>
                <w:sz w:val="14"/>
                <w:szCs w:val="14"/>
                <w:lang w:eastAsia="en-AU"/>
              </w:rPr>
            </w:pPr>
            <w:r w:rsidRPr="00290350">
              <w:rPr>
                <w:rFonts w:asciiTheme="majorHAnsi" w:eastAsia="Times New Roman" w:hAnsiTheme="majorHAnsi" w:cs="Times New Roman"/>
                <w:b/>
                <w:color w:val="000000"/>
                <w:sz w:val="14"/>
                <w:szCs w:val="14"/>
                <w:lang w:eastAsia="en-AU"/>
              </w:rPr>
              <w:t>2021 (f)</w:t>
            </w:r>
          </w:p>
        </w:tc>
        <w:tc>
          <w:tcPr>
            <w:tcW w:w="333" w:type="pct"/>
            <w:noWrap/>
            <w:hideMark/>
          </w:tcPr>
          <w:p w14:paraId="3ACEF9E0" w14:textId="77777777" w:rsidR="00A0002C" w:rsidRPr="00290350" w:rsidRDefault="00A0002C" w:rsidP="00FE6F9B">
            <w:pPr>
              <w:spacing w:after="0" w:line="240" w:lineRule="auto"/>
              <w:rPr>
                <w:rFonts w:asciiTheme="majorHAnsi" w:eastAsia="Times New Roman" w:hAnsiTheme="majorHAnsi" w:cs="Times New Roman"/>
                <w:b/>
                <w:color w:val="000000"/>
                <w:sz w:val="14"/>
                <w:szCs w:val="14"/>
                <w:lang w:eastAsia="en-AU"/>
              </w:rPr>
            </w:pPr>
            <w:r w:rsidRPr="00290350">
              <w:rPr>
                <w:rFonts w:asciiTheme="majorHAnsi" w:eastAsia="Times New Roman" w:hAnsiTheme="majorHAnsi" w:cs="Times New Roman"/>
                <w:b/>
                <w:color w:val="000000"/>
                <w:sz w:val="14"/>
                <w:szCs w:val="14"/>
                <w:lang w:eastAsia="en-AU"/>
              </w:rPr>
              <w:t>2022 (f)</w:t>
            </w:r>
          </w:p>
        </w:tc>
        <w:tc>
          <w:tcPr>
            <w:tcW w:w="333" w:type="pct"/>
            <w:noWrap/>
            <w:hideMark/>
          </w:tcPr>
          <w:p w14:paraId="3154D041" w14:textId="77777777" w:rsidR="00A0002C" w:rsidRPr="00290350" w:rsidRDefault="00A0002C" w:rsidP="00FE6F9B">
            <w:pPr>
              <w:spacing w:after="0" w:line="240" w:lineRule="auto"/>
              <w:rPr>
                <w:rFonts w:asciiTheme="majorHAnsi" w:eastAsia="Times New Roman" w:hAnsiTheme="majorHAnsi" w:cs="Times New Roman"/>
                <w:b/>
                <w:color w:val="000000"/>
                <w:sz w:val="14"/>
                <w:szCs w:val="14"/>
                <w:lang w:eastAsia="en-AU"/>
              </w:rPr>
            </w:pPr>
            <w:r w:rsidRPr="00290350">
              <w:rPr>
                <w:rFonts w:asciiTheme="majorHAnsi" w:eastAsia="Times New Roman" w:hAnsiTheme="majorHAnsi" w:cs="Times New Roman"/>
                <w:b/>
                <w:color w:val="000000"/>
                <w:sz w:val="14"/>
                <w:szCs w:val="14"/>
                <w:lang w:eastAsia="en-AU"/>
              </w:rPr>
              <w:t>2023 (f)</w:t>
            </w:r>
          </w:p>
        </w:tc>
        <w:tc>
          <w:tcPr>
            <w:tcW w:w="333" w:type="pct"/>
            <w:noWrap/>
            <w:hideMark/>
          </w:tcPr>
          <w:p w14:paraId="1DC62B33" w14:textId="77777777" w:rsidR="00A0002C" w:rsidRPr="00290350" w:rsidRDefault="00A0002C" w:rsidP="00FE6F9B">
            <w:pPr>
              <w:spacing w:after="0" w:line="240" w:lineRule="auto"/>
              <w:rPr>
                <w:rFonts w:asciiTheme="majorHAnsi" w:eastAsia="Times New Roman" w:hAnsiTheme="majorHAnsi" w:cs="Times New Roman"/>
                <w:b/>
                <w:color w:val="000000"/>
                <w:sz w:val="14"/>
                <w:szCs w:val="14"/>
                <w:lang w:eastAsia="en-AU"/>
              </w:rPr>
            </w:pPr>
            <w:r w:rsidRPr="00290350">
              <w:rPr>
                <w:rFonts w:asciiTheme="majorHAnsi" w:eastAsia="Times New Roman" w:hAnsiTheme="majorHAnsi" w:cs="Times New Roman"/>
                <w:b/>
                <w:color w:val="000000"/>
                <w:sz w:val="14"/>
                <w:szCs w:val="14"/>
                <w:lang w:eastAsia="en-AU"/>
              </w:rPr>
              <w:t>2024 (f)</w:t>
            </w:r>
          </w:p>
        </w:tc>
        <w:tc>
          <w:tcPr>
            <w:tcW w:w="333" w:type="pct"/>
            <w:noWrap/>
            <w:hideMark/>
          </w:tcPr>
          <w:p w14:paraId="56741858" w14:textId="77777777" w:rsidR="00A0002C" w:rsidRPr="00290350" w:rsidRDefault="00A0002C" w:rsidP="00FE6F9B">
            <w:pPr>
              <w:spacing w:after="0" w:line="240" w:lineRule="auto"/>
              <w:rPr>
                <w:rFonts w:asciiTheme="majorHAnsi" w:eastAsia="Times New Roman" w:hAnsiTheme="majorHAnsi" w:cs="Times New Roman"/>
                <w:b/>
                <w:color w:val="000000"/>
                <w:sz w:val="14"/>
                <w:szCs w:val="14"/>
                <w:lang w:eastAsia="en-AU"/>
              </w:rPr>
            </w:pPr>
            <w:r w:rsidRPr="00290350">
              <w:rPr>
                <w:rFonts w:asciiTheme="majorHAnsi" w:eastAsia="Times New Roman" w:hAnsiTheme="majorHAnsi" w:cs="Times New Roman"/>
                <w:b/>
                <w:color w:val="000000"/>
                <w:sz w:val="14"/>
                <w:szCs w:val="14"/>
                <w:lang w:eastAsia="en-AU"/>
              </w:rPr>
              <w:t>2025 (f)</w:t>
            </w:r>
          </w:p>
        </w:tc>
        <w:tc>
          <w:tcPr>
            <w:tcW w:w="333" w:type="pct"/>
            <w:noWrap/>
            <w:hideMark/>
          </w:tcPr>
          <w:p w14:paraId="3ED6D97C" w14:textId="77777777" w:rsidR="00A0002C" w:rsidRPr="00290350" w:rsidRDefault="00A0002C" w:rsidP="00FE6F9B">
            <w:pPr>
              <w:spacing w:after="0" w:line="240" w:lineRule="auto"/>
              <w:rPr>
                <w:rFonts w:asciiTheme="majorHAnsi" w:eastAsia="Times New Roman" w:hAnsiTheme="majorHAnsi" w:cs="Times New Roman"/>
                <w:b/>
                <w:color w:val="000000"/>
                <w:sz w:val="14"/>
                <w:szCs w:val="14"/>
                <w:lang w:eastAsia="en-AU"/>
              </w:rPr>
            </w:pPr>
            <w:r w:rsidRPr="00290350">
              <w:rPr>
                <w:rFonts w:asciiTheme="majorHAnsi" w:eastAsia="Times New Roman" w:hAnsiTheme="majorHAnsi" w:cs="Times New Roman"/>
                <w:b/>
                <w:color w:val="000000"/>
                <w:sz w:val="14"/>
                <w:szCs w:val="14"/>
                <w:lang w:eastAsia="en-AU"/>
              </w:rPr>
              <w:t>2026 (f)</w:t>
            </w:r>
          </w:p>
        </w:tc>
        <w:tc>
          <w:tcPr>
            <w:tcW w:w="333" w:type="pct"/>
            <w:noWrap/>
            <w:hideMark/>
          </w:tcPr>
          <w:p w14:paraId="53624B01" w14:textId="77777777" w:rsidR="00A0002C" w:rsidRPr="00290350" w:rsidRDefault="00A0002C" w:rsidP="00FE6F9B">
            <w:pPr>
              <w:spacing w:after="0" w:line="240" w:lineRule="auto"/>
              <w:rPr>
                <w:rFonts w:asciiTheme="majorHAnsi" w:eastAsia="Times New Roman" w:hAnsiTheme="majorHAnsi" w:cs="Times New Roman"/>
                <w:b/>
                <w:color w:val="000000"/>
                <w:sz w:val="14"/>
                <w:szCs w:val="14"/>
                <w:lang w:eastAsia="en-AU"/>
              </w:rPr>
            </w:pPr>
            <w:r w:rsidRPr="00290350">
              <w:rPr>
                <w:rFonts w:asciiTheme="majorHAnsi" w:eastAsia="Times New Roman" w:hAnsiTheme="majorHAnsi" w:cs="Times New Roman"/>
                <w:b/>
                <w:color w:val="000000"/>
                <w:sz w:val="14"/>
                <w:szCs w:val="14"/>
                <w:lang w:eastAsia="en-AU"/>
              </w:rPr>
              <w:t>2027 (f)</w:t>
            </w:r>
          </w:p>
        </w:tc>
        <w:tc>
          <w:tcPr>
            <w:tcW w:w="333" w:type="pct"/>
            <w:noWrap/>
            <w:hideMark/>
          </w:tcPr>
          <w:p w14:paraId="7CE440D9" w14:textId="77777777" w:rsidR="00A0002C" w:rsidRPr="00290350" w:rsidRDefault="00A0002C" w:rsidP="00FE6F9B">
            <w:pPr>
              <w:spacing w:after="0" w:line="240" w:lineRule="auto"/>
              <w:rPr>
                <w:rFonts w:asciiTheme="majorHAnsi" w:eastAsia="Times New Roman" w:hAnsiTheme="majorHAnsi" w:cs="Times New Roman"/>
                <w:b/>
                <w:color w:val="000000"/>
                <w:sz w:val="14"/>
                <w:szCs w:val="14"/>
                <w:lang w:eastAsia="en-AU"/>
              </w:rPr>
            </w:pPr>
            <w:r w:rsidRPr="00290350">
              <w:rPr>
                <w:rFonts w:asciiTheme="majorHAnsi" w:eastAsia="Times New Roman" w:hAnsiTheme="majorHAnsi" w:cs="Times New Roman"/>
                <w:b/>
                <w:color w:val="000000"/>
                <w:sz w:val="14"/>
                <w:szCs w:val="14"/>
                <w:lang w:eastAsia="en-AU"/>
              </w:rPr>
              <w:t>2028 (f)</w:t>
            </w:r>
          </w:p>
        </w:tc>
        <w:tc>
          <w:tcPr>
            <w:tcW w:w="333" w:type="pct"/>
            <w:noWrap/>
            <w:hideMark/>
          </w:tcPr>
          <w:p w14:paraId="5B98BCB7" w14:textId="77777777" w:rsidR="00A0002C" w:rsidRPr="00290350" w:rsidRDefault="00A0002C" w:rsidP="00FE6F9B">
            <w:pPr>
              <w:spacing w:after="0" w:line="240" w:lineRule="auto"/>
              <w:rPr>
                <w:rFonts w:asciiTheme="majorHAnsi" w:eastAsia="Times New Roman" w:hAnsiTheme="majorHAnsi" w:cs="Times New Roman"/>
                <w:b/>
                <w:color w:val="000000"/>
                <w:sz w:val="14"/>
                <w:szCs w:val="14"/>
                <w:lang w:eastAsia="en-AU"/>
              </w:rPr>
            </w:pPr>
            <w:r w:rsidRPr="00290350">
              <w:rPr>
                <w:rFonts w:asciiTheme="majorHAnsi" w:eastAsia="Times New Roman" w:hAnsiTheme="majorHAnsi" w:cs="Times New Roman"/>
                <w:b/>
                <w:color w:val="000000"/>
                <w:sz w:val="14"/>
                <w:szCs w:val="14"/>
                <w:lang w:eastAsia="en-AU"/>
              </w:rPr>
              <w:t>2029 (f)</w:t>
            </w:r>
          </w:p>
        </w:tc>
        <w:tc>
          <w:tcPr>
            <w:tcW w:w="333" w:type="pct"/>
            <w:noWrap/>
            <w:hideMark/>
          </w:tcPr>
          <w:p w14:paraId="0D8CAA4D" w14:textId="77777777" w:rsidR="00A0002C" w:rsidRPr="00290350" w:rsidRDefault="00A0002C" w:rsidP="00FE6F9B">
            <w:pPr>
              <w:spacing w:after="0" w:line="240" w:lineRule="auto"/>
              <w:rPr>
                <w:rFonts w:asciiTheme="majorHAnsi" w:eastAsia="Times New Roman" w:hAnsiTheme="majorHAnsi" w:cs="Times New Roman"/>
                <w:b/>
                <w:color w:val="000000"/>
                <w:sz w:val="14"/>
                <w:szCs w:val="14"/>
                <w:lang w:eastAsia="en-AU"/>
              </w:rPr>
            </w:pPr>
            <w:r w:rsidRPr="00290350">
              <w:rPr>
                <w:rFonts w:asciiTheme="majorHAnsi" w:eastAsia="Times New Roman" w:hAnsiTheme="majorHAnsi" w:cs="Times New Roman"/>
                <w:b/>
                <w:color w:val="000000"/>
                <w:sz w:val="14"/>
                <w:szCs w:val="14"/>
                <w:lang w:eastAsia="en-AU"/>
              </w:rPr>
              <w:t>2030 (f)</w:t>
            </w:r>
          </w:p>
        </w:tc>
      </w:tr>
      <w:tr w:rsidR="0079281E" w:rsidRPr="000463D8" w14:paraId="663806CF" w14:textId="77777777" w:rsidTr="001419A0">
        <w:trPr>
          <w:trHeight w:val="96"/>
        </w:trPr>
        <w:tc>
          <w:tcPr>
            <w:tcW w:w="652" w:type="pct"/>
            <w:noWrap/>
            <w:hideMark/>
          </w:tcPr>
          <w:p w14:paraId="5E6C5644" w14:textId="77777777" w:rsidR="0079281E" w:rsidRPr="00290350" w:rsidRDefault="0079281E" w:rsidP="0079281E">
            <w:pPr>
              <w:spacing w:after="0" w:line="240" w:lineRule="auto"/>
              <w:rPr>
                <w:rFonts w:asciiTheme="majorHAnsi" w:eastAsia="Times New Roman" w:hAnsiTheme="majorHAnsi" w:cs="Times New Roman"/>
                <w:color w:val="000000"/>
                <w:sz w:val="14"/>
                <w:szCs w:val="14"/>
                <w:lang w:eastAsia="en-AU"/>
              </w:rPr>
            </w:pPr>
            <w:r w:rsidRPr="00290350">
              <w:rPr>
                <w:rFonts w:asciiTheme="majorHAnsi" w:eastAsia="Times New Roman" w:hAnsiTheme="majorHAnsi" w:cs="Times New Roman"/>
                <w:color w:val="000000"/>
                <w:sz w:val="14"/>
                <w:szCs w:val="14"/>
                <w:lang w:eastAsia="en-AU"/>
              </w:rPr>
              <w:t>Complaints</w:t>
            </w:r>
          </w:p>
        </w:tc>
        <w:tc>
          <w:tcPr>
            <w:tcW w:w="351" w:type="pct"/>
            <w:noWrap/>
            <w:hideMark/>
          </w:tcPr>
          <w:p w14:paraId="7D366815" w14:textId="3FDCBBE6" w:rsidR="0079281E" w:rsidRPr="00290350" w:rsidRDefault="00496778" w:rsidP="0079281E">
            <w:pPr>
              <w:spacing w:after="0" w:line="240" w:lineRule="auto"/>
              <w:rPr>
                <w:rFonts w:asciiTheme="majorHAnsi" w:eastAsia="Times New Roman" w:hAnsiTheme="majorHAnsi" w:cs="Times New Roman"/>
                <w:color w:val="000000"/>
                <w:sz w:val="14"/>
                <w:szCs w:val="14"/>
                <w:lang w:eastAsia="en-AU"/>
              </w:rPr>
            </w:pPr>
            <w:r w:rsidRPr="00290350">
              <w:rPr>
                <w:rFonts w:asciiTheme="majorHAnsi" w:hAnsiTheme="majorHAnsi"/>
                <w:sz w:val="14"/>
                <w:szCs w:val="14"/>
              </w:rPr>
              <w:t xml:space="preserve"> 1,346 </w:t>
            </w:r>
          </w:p>
        </w:tc>
        <w:tc>
          <w:tcPr>
            <w:tcW w:w="333" w:type="pct"/>
            <w:noWrap/>
            <w:hideMark/>
          </w:tcPr>
          <w:p w14:paraId="2B43F7B9" w14:textId="12212F3D" w:rsidR="0079281E" w:rsidRPr="00290350" w:rsidRDefault="00496778" w:rsidP="0079281E">
            <w:pPr>
              <w:spacing w:after="0" w:line="240" w:lineRule="auto"/>
              <w:rPr>
                <w:rFonts w:asciiTheme="majorHAnsi" w:eastAsia="Times New Roman" w:hAnsiTheme="majorHAnsi" w:cs="Times New Roman"/>
                <w:color w:val="000000"/>
                <w:sz w:val="14"/>
                <w:szCs w:val="14"/>
                <w:lang w:eastAsia="en-AU"/>
              </w:rPr>
            </w:pPr>
            <w:r w:rsidRPr="00290350">
              <w:rPr>
                <w:rFonts w:asciiTheme="majorHAnsi" w:hAnsiTheme="majorHAnsi"/>
                <w:sz w:val="14"/>
                <w:szCs w:val="14"/>
              </w:rPr>
              <w:t xml:space="preserve"> 1,376 </w:t>
            </w:r>
          </w:p>
        </w:tc>
        <w:tc>
          <w:tcPr>
            <w:tcW w:w="333" w:type="pct"/>
            <w:noWrap/>
            <w:hideMark/>
          </w:tcPr>
          <w:p w14:paraId="6983450D" w14:textId="1E1DF1FB" w:rsidR="0079281E" w:rsidRPr="00290350" w:rsidRDefault="00496778" w:rsidP="0079281E">
            <w:pPr>
              <w:spacing w:after="0" w:line="240" w:lineRule="auto"/>
              <w:rPr>
                <w:rFonts w:asciiTheme="majorHAnsi" w:eastAsia="Times New Roman" w:hAnsiTheme="majorHAnsi" w:cs="Times New Roman"/>
                <w:color w:val="000000"/>
                <w:sz w:val="14"/>
                <w:szCs w:val="14"/>
                <w:lang w:eastAsia="en-AU"/>
              </w:rPr>
            </w:pPr>
            <w:r w:rsidRPr="00290350">
              <w:rPr>
                <w:rFonts w:asciiTheme="majorHAnsi" w:hAnsiTheme="majorHAnsi"/>
                <w:sz w:val="14"/>
                <w:szCs w:val="14"/>
              </w:rPr>
              <w:t xml:space="preserve"> 1,406 </w:t>
            </w:r>
          </w:p>
        </w:tc>
        <w:tc>
          <w:tcPr>
            <w:tcW w:w="333" w:type="pct"/>
            <w:noWrap/>
            <w:hideMark/>
          </w:tcPr>
          <w:p w14:paraId="6BFD038C" w14:textId="7DD8F436" w:rsidR="0079281E" w:rsidRPr="00290350" w:rsidRDefault="00496778" w:rsidP="0079281E">
            <w:pPr>
              <w:spacing w:after="0" w:line="240" w:lineRule="auto"/>
              <w:rPr>
                <w:rFonts w:asciiTheme="majorHAnsi" w:eastAsia="Times New Roman" w:hAnsiTheme="majorHAnsi" w:cs="Times New Roman"/>
                <w:color w:val="000000"/>
                <w:sz w:val="14"/>
                <w:szCs w:val="14"/>
                <w:lang w:eastAsia="en-AU"/>
              </w:rPr>
            </w:pPr>
            <w:r w:rsidRPr="00290350">
              <w:rPr>
                <w:rFonts w:asciiTheme="majorHAnsi" w:hAnsiTheme="majorHAnsi"/>
                <w:sz w:val="14"/>
                <w:szCs w:val="14"/>
              </w:rPr>
              <w:t xml:space="preserve"> 1,437 </w:t>
            </w:r>
          </w:p>
        </w:tc>
        <w:tc>
          <w:tcPr>
            <w:tcW w:w="333" w:type="pct"/>
            <w:noWrap/>
            <w:hideMark/>
          </w:tcPr>
          <w:p w14:paraId="647E0D6A" w14:textId="071DA725" w:rsidR="0079281E" w:rsidRPr="00290350" w:rsidRDefault="00496778" w:rsidP="0079281E">
            <w:pPr>
              <w:spacing w:after="0" w:line="240" w:lineRule="auto"/>
              <w:rPr>
                <w:rFonts w:asciiTheme="majorHAnsi" w:eastAsia="Times New Roman" w:hAnsiTheme="majorHAnsi" w:cs="Times New Roman"/>
                <w:color w:val="000000"/>
                <w:sz w:val="14"/>
                <w:szCs w:val="14"/>
                <w:lang w:eastAsia="en-AU"/>
              </w:rPr>
            </w:pPr>
            <w:r w:rsidRPr="00290350">
              <w:rPr>
                <w:rFonts w:asciiTheme="majorHAnsi" w:hAnsiTheme="majorHAnsi"/>
                <w:sz w:val="14"/>
                <w:szCs w:val="14"/>
              </w:rPr>
              <w:t xml:space="preserve"> 1,469 </w:t>
            </w:r>
          </w:p>
        </w:tc>
        <w:tc>
          <w:tcPr>
            <w:tcW w:w="333" w:type="pct"/>
            <w:noWrap/>
            <w:hideMark/>
          </w:tcPr>
          <w:p w14:paraId="52D58994" w14:textId="17A1DCBC" w:rsidR="0079281E" w:rsidRPr="00290350" w:rsidRDefault="00496778" w:rsidP="0079281E">
            <w:pPr>
              <w:spacing w:after="0" w:line="240" w:lineRule="auto"/>
              <w:rPr>
                <w:rFonts w:asciiTheme="majorHAnsi" w:eastAsia="Times New Roman" w:hAnsiTheme="majorHAnsi" w:cs="Times New Roman"/>
                <w:color w:val="000000"/>
                <w:sz w:val="14"/>
                <w:szCs w:val="14"/>
                <w:lang w:eastAsia="en-AU"/>
              </w:rPr>
            </w:pPr>
            <w:r w:rsidRPr="00290350">
              <w:rPr>
                <w:rFonts w:asciiTheme="majorHAnsi" w:hAnsiTheme="majorHAnsi"/>
                <w:sz w:val="14"/>
                <w:szCs w:val="14"/>
              </w:rPr>
              <w:t xml:space="preserve"> 1,501 </w:t>
            </w:r>
          </w:p>
        </w:tc>
        <w:tc>
          <w:tcPr>
            <w:tcW w:w="333" w:type="pct"/>
            <w:noWrap/>
            <w:hideMark/>
          </w:tcPr>
          <w:p w14:paraId="650BC615" w14:textId="379DC4CE" w:rsidR="0079281E" w:rsidRPr="00290350" w:rsidRDefault="00496778" w:rsidP="0079281E">
            <w:pPr>
              <w:spacing w:after="0" w:line="240" w:lineRule="auto"/>
              <w:rPr>
                <w:rFonts w:asciiTheme="majorHAnsi" w:eastAsia="Times New Roman" w:hAnsiTheme="majorHAnsi" w:cs="Times New Roman"/>
                <w:color w:val="000000"/>
                <w:sz w:val="14"/>
                <w:szCs w:val="14"/>
                <w:lang w:eastAsia="en-AU"/>
              </w:rPr>
            </w:pPr>
            <w:r w:rsidRPr="00290350">
              <w:rPr>
                <w:rFonts w:asciiTheme="majorHAnsi" w:hAnsiTheme="majorHAnsi"/>
                <w:sz w:val="14"/>
                <w:szCs w:val="14"/>
              </w:rPr>
              <w:t xml:space="preserve"> 1,535 </w:t>
            </w:r>
          </w:p>
        </w:tc>
        <w:tc>
          <w:tcPr>
            <w:tcW w:w="333" w:type="pct"/>
            <w:noWrap/>
            <w:hideMark/>
          </w:tcPr>
          <w:p w14:paraId="0FBB133C" w14:textId="3A93E8A1" w:rsidR="0079281E" w:rsidRPr="00290350" w:rsidRDefault="00496778" w:rsidP="0079281E">
            <w:pPr>
              <w:spacing w:after="0" w:line="240" w:lineRule="auto"/>
              <w:rPr>
                <w:rFonts w:asciiTheme="majorHAnsi" w:eastAsia="Times New Roman" w:hAnsiTheme="majorHAnsi" w:cs="Times New Roman"/>
                <w:color w:val="000000"/>
                <w:sz w:val="14"/>
                <w:szCs w:val="14"/>
                <w:lang w:eastAsia="en-AU"/>
              </w:rPr>
            </w:pPr>
            <w:r w:rsidRPr="00290350">
              <w:rPr>
                <w:rFonts w:asciiTheme="majorHAnsi" w:hAnsiTheme="majorHAnsi"/>
                <w:sz w:val="14"/>
                <w:szCs w:val="14"/>
              </w:rPr>
              <w:t xml:space="preserve"> 1,569 </w:t>
            </w:r>
          </w:p>
        </w:tc>
        <w:tc>
          <w:tcPr>
            <w:tcW w:w="333" w:type="pct"/>
            <w:noWrap/>
            <w:hideMark/>
          </w:tcPr>
          <w:p w14:paraId="16DDA517" w14:textId="3CEDC39C" w:rsidR="0079281E" w:rsidRPr="00290350" w:rsidRDefault="00496778" w:rsidP="0079281E">
            <w:pPr>
              <w:spacing w:after="0" w:line="240" w:lineRule="auto"/>
              <w:rPr>
                <w:rFonts w:asciiTheme="majorHAnsi" w:eastAsia="Times New Roman" w:hAnsiTheme="majorHAnsi" w:cs="Times New Roman"/>
                <w:color w:val="000000"/>
                <w:sz w:val="14"/>
                <w:szCs w:val="14"/>
                <w:lang w:eastAsia="en-AU"/>
              </w:rPr>
            </w:pPr>
            <w:r w:rsidRPr="00290350">
              <w:rPr>
                <w:rFonts w:asciiTheme="majorHAnsi" w:hAnsiTheme="majorHAnsi"/>
                <w:sz w:val="14"/>
                <w:szCs w:val="14"/>
              </w:rPr>
              <w:t xml:space="preserve"> 1,604 </w:t>
            </w:r>
          </w:p>
        </w:tc>
        <w:tc>
          <w:tcPr>
            <w:tcW w:w="333" w:type="pct"/>
            <w:noWrap/>
            <w:hideMark/>
          </w:tcPr>
          <w:p w14:paraId="501310FC" w14:textId="08761809" w:rsidR="0079281E" w:rsidRPr="00290350" w:rsidRDefault="00496778" w:rsidP="0079281E">
            <w:pPr>
              <w:spacing w:after="0" w:line="240" w:lineRule="auto"/>
              <w:rPr>
                <w:rFonts w:asciiTheme="majorHAnsi" w:eastAsia="Times New Roman" w:hAnsiTheme="majorHAnsi" w:cs="Times New Roman"/>
                <w:color w:val="000000"/>
                <w:sz w:val="14"/>
                <w:szCs w:val="14"/>
                <w:lang w:eastAsia="en-AU"/>
              </w:rPr>
            </w:pPr>
            <w:r w:rsidRPr="00290350">
              <w:rPr>
                <w:rFonts w:asciiTheme="majorHAnsi" w:hAnsiTheme="majorHAnsi"/>
                <w:sz w:val="14"/>
                <w:szCs w:val="14"/>
              </w:rPr>
              <w:t xml:space="preserve"> 1,640 </w:t>
            </w:r>
          </w:p>
        </w:tc>
        <w:tc>
          <w:tcPr>
            <w:tcW w:w="333" w:type="pct"/>
            <w:noWrap/>
            <w:hideMark/>
          </w:tcPr>
          <w:p w14:paraId="067F8524" w14:textId="3584B503" w:rsidR="0079281E" w:rsidRPr="00290350" w:rsidRDefault="00496778" w:rsidP="0079281E">
            <w:pPr>
              <w:spacing w:after="0" w:line="240" w:lineRule="auto"/>
              <w:rPr>
                <w:rFonts w:asciiTheme="majorHAnsi" w:eastAsia="Times New Roman" w:hAnsiTheme="majorHAnsi" w:cs="Times New Roman"/>
                <w:color w:val="000000"/>
                <w:sz w:val="14"/>
                <w:szCs w:val="14"/>
                <w:lang w:eastAsia="en-AU"/>
              </w:rPr>
            </w:pPr>
            <w:r w:rsidRPr="00290350">
              <w:rPr>
                <w:rFonts w:asciiTheme="majorHAnsi" w:hAnsiTheme="majorHAnsi"/>
                <w:sz w:val="14"/>
                <w:szCs w:val="14"/>
              </w:rPr>
              <w:t xml:space="preserve"> 1,677 </w:t>
            </w:r>
          </w:p>
        </w:tc>
        <w:tc>
          <w:tcPr>
            <w:tcW w:w="333" w:type="pct"/>
            <w:noWrap/>
            <w:hideMark/>
          </w:tcPr>
          <w:p w14:paraId="652377A3" w14:textId="3F210038" w:rsidR="0079281E" w:rsidRPr="00290350" w:rsidRDefault="00496778" w:rsidP="0079281E">
            <w:pPr>
              <w:spacing w:after="0" w:line="240" w:lineRule="auto"/>
              <w:rPr>
                <w:rFonts w:asciiTheme="majorHAnsi" w:eastAsia="Times New Roman" w:hAnsiTheme="majorHAnsi" w:cs="Times New Roman"/>
                <w:color w:val="000000"/>
                <w:sz w:val="14"/>
                <w:szCs w:val="14"/>
                <w:lang w:eastAsia="en-AU"/>
              </w:rPr>
            </w:pPr>
            <w:r w:rsidRPr="00290350">
              <w:rPr>
                <w:rFonts w:asciiTheme="majorHAnsi" w:hAnsiTheme="majorHAnsi"/>
                <w:sz w:val="14"/>
                <w:szCs w:val="14"/>
              </w:rPr>
              <w:t xml:space="preserve"> 1,715 </w:t>
            </w:r>
          </w:p>
        </w:tc>
        <w:tc>
          <w:tcPr>
            <w:tcW w:w="333" w:type="pct"/>
            <w:noWrap/>
            <w:hideMark/>
          </w:tcPr>
          <w:p w14:paraId="1CB1A5F2" w14:textId="70122CCC" w:rsidR="0079281E" w:rsidRPr="00290350" w:rsidRDefault="00496778" w:rsidP="0079281E">
            <w:pPr>
              <w:spacing w:after="0" w:line="240" w:lineRule="auto"/>
              <w:rPr>
                <w:rFonts w:asciiTheme="majorHAnsi" w:eastAsia="Times New Roman" w:hAnsiTheme="majorHAnsi" w:cs="Times New Roman"/>
                <w:color w:val="000000"/>
                <w:sz w:val="14"/>
                <w:szCs w:val="14"/>
                <w:lang w:eastAsia="en-AU"/>
              </w:rPr>
            </w:pPr>
            <w:r w:rsidRPr="00290350">
              <w:rPr>
                <w:rFonts w:asciiTheme="majorHAnsi" w:hAnsiTheme="majorHAnsi"/>
                <w:sz w:val="14"/>
                <w:szCs w:val="14"/>
              </w:rPr>
              <w:t xml:space="preserve"> 1,754 </w:t>
            </w:r>
          </w:p>
        </w:tc>
      </w:tr>
      <w:tr w:rsidR="0079281E" w:rsidRPr="000463D8" w14:paraId="56C34F4C" w14:textId="77777777" w:rsidTr="001419A0">
        <w:trPr>
          <w:trHeight w:val="65"/>
        </w:trPr>
        <w:tc>
          <w:tcPr>
            <w:tcW w:w="652" w:type="pct"/>
            <w:noWrap/>
            <w:hideMark/>
          </w:tcPr>
          <w:p w14:paraId="0E6A217F" w14:textId="77777777" w:rsidR="0079281E" w:rsidRPr="00290350" w:rsidRDefault="0079281E" w:rsidP="0079281E">
            <w:pPr>
              <w:spacing w:after="0" w:line="240" w:lineRule="auto"/>
              <w:rPr>
                <w:rFonts w:asciiTheme="majorHAnsi" w:eastAsia="Times New Roman" w:hAnsiTheme="majorHAnsi" w:cs="Times New Roman"/>
                <w:color w:val="000000"/>
                <w:sz w:val="14"/>
                <w:szCs w:val="14"/>
                <w:lang w:eastAsia="en-AU"/>
              </w:rPr>
            </w:pPr>
            <w:r w:rsidRPr="00290350">
              <w:rPr>
                <w:rFonts w:asciiTheme="majorHAnsi" w:eastAsia="Times New Roman" w:hAnsiTheme="majorHAnsi" w:cs="Times New Roman"/>
                <w:color w:val="000000"/>
                <w:sz w:val="14"/>
                <w:szCs w:val="14"/>
                <w:lang w:eastAsia="en-AU"/>
              </w:rPr>
              <w:t>Informal advice</w:t>
            </w:r>
          </w:p>
        </w:tc>
        <w:tc>
          <w:tcPr>
            <w:tcW w:w="351" w:type="pct"/>
            <w:noWrap/>
            <w:hideMark/>
          </w:tcPr>
          <w:p w14:paraId="1893C700" w14:textId="044D80C1" w:rsidR="0079281E" w:rsidRPr="00290350" w:rsidRDefault="00496778" w:rsidP="0079281E">
            <w:pPr>
              <w:spacing w:after="0" w:line="240" w:lineRule="auto"/>
              <w:rPr>
                <w:rFonts w:asciiTheme="majorHAnsi" w:eastAsia="Times New Roman" w:hAnsiTheme="majorHAnsi" w:cs="Times New Roman"/>
                <w:color w:val="000000"/>
                <w:sz w:val="14"/>
                <w:szCs w:val="14"/>
                <w:lang w:eastAsia="en-AU"/>
              </w:rPr>
            </w:pPr>
            <w:r w:rsidRPr="00290350">
              <w:rPr>
                <w:rFonts w:asciiTheme="majorHAnsi" w:hAnsiTheme="majorHAnsi"/>
                <w:sz w:val="14"/>
                <w:szCs w:val="14"/>
              </w:rPr>
              <w:t xml:space="preserve"> 1,256 </w:t>
            </w:r>
          </w:p>
        </w:tc>
        <w:tc>
          <w:tcPr>
            <w:tcW w:w="333" w:type="pct"/>
            <w:noWrap/>
            <w:hideMark/>
          </w:tcPr>
          <w:p w14:paraId="784617E0" w14:textId="2C511C4B" w:rsidR="0079281E" w:rsidRPr="00290350" w:rsidRDefault="00496778" w:rsidP="0079281E">
            <w:pPr>
              <w:spacing w:after="0" w:line="240" w:lineRule="auto"/>
              <w:rPr>
                <w:rFonts w:asciiTheme="majorHAnsi" w:eastAsia="Times New Roman" w:hAnsiTheme="majorHAnsi" w:cs="Times New Roman"/>
                <w:color w:val="000000"/>
                <w:sz w:val="14"/>
                <w:szCs w:val="14"/>
                <w:lang w:eastAsia="en-AU"/>
              </w:rPr>
            </w:pPr>
            <w:r w:rsidRPr="00290350">
              <w:rPr>
                <w:rFonts w:asciiTheme="majorHAnsi" w:hAnsiTheme="majorHAnsi"/>
                <w:sz w:val="14"/>
                <w:szCs w:val="14"/>
              </w:rPr>
              <w:t xml:space="preserve"> 1,283 </w:t>
            </w:r>
          </w:p>
        </w:tc>
        <w:tc>
          <w:tcPr>
            <w:tcW w:w="333" w:type="pct"/>
            <w:noWrap/>
            <w:hideMark/>
          </w:tcPr>
          <w:p w14:paraId="340ED427" w14:textId="3EB73B38" w:rsidR="0079281E" w:rsidRPr="00290350" w:rsidRDefault="00496778" w:rsidP="0079281E">
            <w:pPr>
              <w:spacing w:after="0" w:line="240" w:lineRule="auto"/>
              <w:rPr>
                <w:rFonts w:asciiTheme="majorHAnsi" w:eastAsia="Times New Roman" w:hAnsiTheme="majorHAnsi" w:cs="Times New Roman"/>
                <w:color w:val="000000"/>
                <w:sz w:val="14"/>
                <w:szCs w:val="14"/>
                <w:lang w:eastAsia="en-AU"/>
              </w:rPr>
            </w:pPr>
            <w:r w:rsidRPr="00290350">
              <w:rPr>
                <w:rFonts w:asciiTheme="majorHAnsi" w:hAnsiTheme="majorHAnsi"/>
                <w:sz w:val="14"/>
                <w:szCs w:val="14"/>
              </w:rPr>
              <w:t xml:space="preserve"> 1,312 </w:t>
            </w:r>
          </w:p>
        </w:tc>
        <w:tc>
          <w:tcPr>
            <w:tcW w:w="333" w:type="pct"/>
            <w:noWrap/>
            <w:hideMark/>
          </w:tcPr>
          <w:p w14:paraId="37EDA5AC" w14:textId="1667A23F" w:rsidR="0079281E" w:rsidRPr="00290350" w:rsidRDefault="00496778" w:rsidP="0079281E">
            <w:pPr>
              <w:spacing w:after="0" w:line="240" w:lineRule="auto"/>
              <w:rPr>
                <w:rFonts w:asciiTheme="majorHAnsi" w:eastAsia="Times New Roman" w:hAnsiTheme="majorHAnsi" w:cs="Times New Roman"/>
                <w:color w:val="000000"/>
                <w:sz w:val="14"/>
                <w:szCs w:val="14"/>
                <w:lang w:eastAsia="en-AU"/>
              </w:rPr>
            </w:pPr>
            <w:r w:rsidRPr="00290350">
              <w:rPr>
                <w:rFonts w:asciiTheme="majorHAnsi" w:hAnsiTheme="majorHAnsi"/>
                <w:sz w:val="14"/>
                <w:szCs w:val="14"/>
              </w:rPr>
              <w:t xml:space="preserve"> 1,341 </w:t>
            </w:r>
          </w:p>
        </w:tc>
        <w:tc>
          <w:tcPr>
            <w:tcW w:w="333" w:type="pct"/>
            <w:noWrap/>
            <w:hideMark/>
          </w:tcPr>
          <w:p w14:paraId="32F99898" w14:textId="20C808A1" w:rsidR="0079281E" w:rsidRPr="00290350" w:rsidRDefault="00496778" w:rsidP="0079281E">
            <w:pPr>
              <w:spacing w:after="0" w:line="240" w:lineRule="auto"/>
              <w:rPr>
                <w:rFonts w:asciiTheme="majorHAnsi" w:eastAsia="Times New Roman" w:hAnsiTheme="majorHAnsi" w:cs="Times New Roman"/>
                <w:color w:val="000000"/>
                <w:sz w:val="14"/>
                <w:szCs w:val="14"/>
                <w:lang w:eastAsia="en-AU"/>
              </w:rPr>
            </w:pPr>
            <w:r w:rsidRPr="00290350">
              <w:rPr>
                <w:rFonts w:asciiTheme="majorHAnsi" w:hAnsiTheme="majorHAnsi"/>
                <w:sz w:val="14"/>
                <w:szCs w:val="14"/>
              </w:rPr>
              <w:t xml:space="preserve"> 1,370 </w:t>
            </w:r>
          </w:p>
        </w:tc>
        <w:tc>
          <w:tcPr>
            <w:tcW w:w="333" w:type="pct"/>
            <w:noWrap/>
            <w:hideMark/>
          </w:tcPr>
          <w:p w14:paraId="2C5FC248" w14:textId="34FFD5BE" w:rsidR="0079281E" w:rsidRPr="00290350" w:rsidRDefault="00496778" w:rsidP="0079281E">
            <w:pPr>
              <w:spacing w:after="0" w:line="240" w:lineRule="auto"/>
              <w:rPr>
                <w:rFonts w:asciiTheme="majorHAnsi" w:eastAsia="Times New Roman" w:hAnsiTheme="majorHAnsi" w:cs="Times New Roman"/>
                <w:color w:val="000000"/>
                <w:sz w:val="14"/>
                <w:szCs w:val="14"/>
                <w:lang w:eastAsia="en-AU"/>
              </w:rPr>
            </w:pPr>
            <w:r w:rsidRPr="00290350">
              <w:rPr>
                <w:rFonts w:asciiTheme="majorHAnsi" w:hAnsiTheme="majorHAnsi"/>
                <w:sz w:val="14"/>
                <w:szCs w:val="14"/>
              </w:rPr>
              <w:t xml:space="preserve"> 1,401 </w:t>
            </w:r>
          </w:p>
        </w:tc>
        <w:tc>
          <w:tcPr>
            <w:tcW w:w="333" w:type="pct"/>
            <w:noWrap/>
            <w:hideMark/>
          </w:tcPr>
          <w:p w14:paraId="70AD0D6F" w14:textId="55B797EA" w:rsidR="0079281E" w:rsidRPr="00290350" w:rsidRDefault="00496778" w:rsidP="0079281E">
            <w:pPr>
              <w:spacing w:after="0" w:line="240" w:lineRule="auto"/>
              <w:rPr>
                <w:rFonts w:asciiTheme="majorHAnsi" w:eastAsia="Times New Roman" w:hAnsiTheme="majorHAnsi" w:cs="Times New Roman"/>
                <w:color w:val="000000"/>
                <w:sz w:val="14"/>
                <w:szCs w:val="14"/>
                <w:lang w:eastAsia="en-AU"/>
              </w:rPr>
            </w:pPr>
            <w:r w:rsidRPr="00290350">
              <w:rPr>
                <w:rFonts w:asciiTheme="majorHAnsi" w:hAnsiTheme="majorHAnsi"/>
                <w:sz w:val="14"/>
                <w:szCs w:val="14"/>
              </w:rPr>
              <w:t xml:space="preserve"> 1,432 </w:t>
            </w:r>
          </w:p>
        </w:tc>
        <w:tc>
          <w:tcPr>
            <w:tcW w:w="333" w:type="pct"/>
            <w:noWrap/>
            <w:hideMark/>
          </w:tcPr>
          <w:p w14:paraId="39E94DE4" w14:textId="7F4BC731" w:rsidR="0079281E" w:rsidRPr="00290350" w:rsidRDefault="00496778" w:rsidP="0079281E">
            <w:pPr>
              <w:spacing w:after="0" w:line="240" w:lineRule="auto"/>
              <w:rPr>
                <w:rFonts w:asciiTheme="majorHAnsi" w:eastAsia="Times New Roman" w:hAnsiTheme="majorHAnsi" w:cs="Times New Roman"/>
                <w:color w:val="000000"/>
                <w:sz w:val="14"/>
                <w:szCs w:val="14"/>
                <w:lang w:eastAsia="en-AU"/>
              </w:rPr>
            </w:pPr>
            <w:r w:rsidRPr="00290350">
              <w:rPr>
                <w:rFonts w:asciiTheme="majorHAnsi" w:hAnsiTheme="majorHAnsi"/>
                <w:sz w:val="14"/>
                <w:szCs w:val="14"/>
              </w:rPr>
              <w:t xml:space="preserve"> 1,464 </w:t>
            </w:r>
          </w:p>
        </w:tc>
        <w:tc>
          <w:tcPr>
            <w:tcW w:w="333" w:type="pct"/>
            <w:noWrap/>
            <w:hideMark/>
          </w:tcPr>
          <w:p w14:paraId="465DF354" w14:textId="1925A52E" w:rsidR="0079281E" w:rsidRPr="00290350" w:rsidRDefault="00496778" w:rsidP="0079281E">
            <w:pPr>
              <w:spacing w:after="0" w:line="240" w:lineRule="auto"/>
              <w:rPr>
                <w:rFonts w:asciiTheme="majorHAnsi" w:eastAsia="Times New Roman" w:hAnsiTheme="majorHAnsi" w:cs="Times New Roman"/>
                <w:color w:val="000000"/>
                <w:sz w:val="14"/>
                <w:szCs w:val="14"/>
                <w:lang w:eastAsia="en-AU"/>
              </w:rPr>
            </w:pPr>
            <w:r w:rsidRPr="00290350">
              <w:rPr>
                <w:rFonts w:asciiTheme="majorHAnsi" w:hAnsiTheme="majorHAnsi"/>
                <w:sz w:val="14"/>
                <w:szCs w:val="14"/>
              </w:rPr>
              <w:t xml:space="preserve"> 1,496 </w:t>
            </w:r>
          </w:p>
        </w:tc>
        <w:tc>
          <w:tcPr>
            <w:tcW w:w="333" w:type="pct"/>
            <w:noWrap/>
            <w:hideMark/>
          </w:tcPr>
          <w:p w14:paraId="1D4CACA4" w14:textId="543E8B49" w:rsidR="0079281E" w:rsidRPr="00290350" w:rsidRDefault="00496778" w:rsidP="0079281E">
            <w:pPr>
              <w:spacing w:after="0" w:line="240" w:lineRule="auto"/>
              <w:rPr>
                <w:rFonts w:asciiTheme="majorHAnsi" w:eastAsia="Times New Roman" w:hAnsiTheme="majorHAnsi" w:cs="Times New Roman"/>
                <w:color w:val="000000"/>
                <w:sz w:val="14"/>
                <w:szCs w:val="14"/>
                <w:lang w:eastAsia="en-AU"/>
              </w:rPr>
            </w:pPr>
            <w:r w:rsidRPr="00290350">
              <w:rPr>
                <w:rFonts w:asciiTheme="majorHAnsi" w:hAnsiTheme="majorHAnsi"/>
                <w:sz w:val="14"/>
                <w:szCs w:val="14"/>
              </w:rPr>
              <w:t xml:space="preserve"> 1,530 </w:t>
            </w:r>
          </w:p>
        </w:tc>
        <w:tc>
          <w:tcPr>
            <w:tcW w:w="333" w:type="pct"/>
            <w:noWrap/>
            <w:hideMark/>
          </w:tcPr>
          <w:p w14:paraId="2187E23A" w14:textId="7E72447C" w:rsidR="0079281E" w:rsidRPr="00290350" w:rsidRDefault="00496778" w:rsidP="0079281E">
            <w:pPr>
              <w:spacing w:after="0" w:line="240" w:lineRule="auto"/>
              <w:rPr>
                <w:rFonts w:asciiTheme="majorHAnsi" w:eastAsia="Times New Roman" w:hAnsiTheme="majorHAnsi" w:cs="Times New Roman"/>
                <w:color w:val="000000"/>
                <w:sz w:val="14"/>
                <w:szCs w:val="14"/>
                <w:lang w:eastAsia="en-AU"/>
              </w:rPr>
            </w:pPr>
            <w:r w:rsidRPr="00290350">
              <w:rPr>
                <w:rFonts w:asciiTheme="majorHAnsi" w:hAnsiTheme="majorHAnsi"/>
                <w:sz w:val="14"/>
                <w:szCs w:val="14"/>
              </w:rPr>
              <w:t xml:space="preserve"> 1,564 </w:t>
            </w:r>
          </w:p>
        </w:tc>
        <w:tc>
          <w:tcPr>
            <w:tcW w:w="333" w:type="pct"/>
            <w:noWrap/>
            <w:hideMark/>
          </w:tcPr>
          <w:p w14:paraId="74FE8BF5" w14:textId="00BA4881" w:rsidR="0079281E" w:rsidRPr="00290350" w:rsidRDefault="00496778" w:rsidP="0079281E">
            <w:pPr>
              <w:spacing w:after="0" w:line="240" w:lineRule="auto"/>
              <w:rPr>
                <w:rFonts w:asciiTheme="majorHAnsi" w:eastAsia="Times New Roman" w:hAnsiTheme="majorHAnsi" w:cs="Times New Roman"/>
                <w:color w:val="000000"/>
                <w:sz w:val="14"/>
                <w:szCs w:val="14"/>
                <w:lang w:eastAsia="en-AU"/>
              </w:rPr>
            </w:pPr>
            <w:r w:rsidRPr="00290350">
              <w:rPr>
                <w:rFonts w:asciiTheme="majorHAnsi" w:hAnsiTheme="majorHAnsi"/>
                <w:sz w:val="14"/>
                <w:szCs w:val="14"/>
              </w:rPr>
              <w:t xml:space="preserve"> 1,600 </w:t>
            </w:r>
          </w:p>
        </w:tc>
        <w:tc>
          <w:tcPr>
            <w:tcW w:w="333" w:type="pct"/>
            <w:noWrap/>
            <w:hideMark/>
          </w:tcPr>
          <w:p w14:paraId="644C1B61" w14:textId="057C2F4B" w:rsidR="0079281E" w:rsidRPr="00290350" w:rsidRDefault="00496778" w:rsidP="0079281E">
            <w:pPr>
              <w:spacing w:after="0" w:line="240" w:lineRule="auto"/>
              <w:rPr>
                <w:rFonts w:asciiTheme="majorHAnsi" w:eastAsia="Times New Roman" w:hAnsiTheme="majorHAnsi" w:cs="Times New Roman"/>
                <w:color w:val="000000"/>
                <w:sz w:val="14"/>
                <w:szCs w:val="14"/>
                <w:lang w:eastAsia="en-AU"/>
              </w:rPr>
            </w:pPr>
            <w:r w:rsidRPr="00290350">
              <w:rPr>
                <w:rFonts w:asciiTheme="majorHAnsi" w:hAnsiTheme="majorHAnsi"/>
                <w:sz w:val="14"/>
                <w:szCs w:val="14"/>
              </w:rPr>
              <w:t xml:space="preserve"> 1,636 </w:t>
            </w:r>
          </w:p>
        </w:tc>
      </w:tr>
      <w:tr w:rsidR="0079281E" w:rsidRPr="000463D8" w14:paraId="78E2DA15" w14:textId="77777777" w:rsidTr="001419A0">
        <w:trPr>
          <w:trHeight w:val="123"/>
        </w:trPr>
        <w:tc>
          <w:tcPr>
            <w:tcW w:w="652" w:type="pct"/>
            <w:noWrap/>
            <w:hideMark/>
          </w:tcPr>
          <w:p w14:paraId="1DC60881" w14:textId="77777777" w:rsidR="0079281E" w:rsidRPr="00290350" w:rsidRDefault="0079281E" w:rsidP="0079281E">
            <w:pPr>
              <w:spacing w:after="0" w:line="240" w:lineRule="auto"/>
              <w:rPr>
                <w:rFonts w:asciiTheme="majorHAnsi" w:eastAsia="Times New Roman" w:hAnsiTheme="majorHAnsi" w:cs="Times New Roman"/>
                <w:color w:val="000000"/>
                <w:sz w:val="14"/>
                <w:szCs w:val="14"/>
                <w:lang w:eastAsia="en-AU"/>
              </w:rPr>
            </w:pPr>
            <w:r w:rsidRPr="00290350">
              <w:rPr>
                <w:rFonts w:asciiTheme="majorHAnsi" w:eastAsia="Times New Roman" w:hAnsiTheme="majorHAnsi" w:cs="Times New Roman"/>
                <w:color w:val="000000"/>
                <w:sz w:val="14"/>
                <w:szCs w:val="14"/>
                <w:lang w:eastAsia="en-AU"/>
              </w:rPr>
              <w:t>Prohibition notice</w:t>
            </w:r>
          </w:p>
        </w:tc>
        <w:tc>
          <w:tcPr>
            <w:tcW w:w="351" w:type="pct"/>
            <w:noWrap/>
            <w:hideMark/>
          </w:tcPr>
          <w:p w14:paraId="5140F3EF" w14:textId="082F0D18" w:rsidR="0079281E" w:rsidRPr="00290350" w:rsidRDefault="00496778" w:rsidP="0079281E">
            <w:pPr>
              <w:spacing w:after="0" w:line="240" w:lineRule="auto"/>
              <w:rPr>
                <w:rFonts w:asciiTheme="majorHAnsi" w:eastAsia="Times New Roman" w:hAnsiTheme="majorHAnsi" w:cs="Times New Roman"/>
                <w:color w:val="000000"/>
                <w:sz w:val="14"/>
                <w:szCs w:val="14"/>
                <w:lang w:eastAsia="en-AU"/>
              </w:rPr>
            </w:pPr>
            <w:r w:rsidRPr="00290350">
              <w:rPr>
                <w:rFonts w:asciiTheme="majorHAnsi" w:hAnsiTheme="majorHAnsi"/>
                <w:sz w:val="14"/>
                <w:szCs w:val="14"/>
              </w:rPr>
              <w:t xml:space="preserve"> 155 </w:t>
            </w:r>
          </w:p>
        </w:tc>
        <w:tc>
          <w:tcPr>
            <w:tcW w:w="333" w:type="pct"/>
            <w:noWrap/>
            <w:hideMark/>
          </w:tcPr>
          <w:p w14:paraId="43DB0512" w14:textId="1015FD37" w:rsidR="0079281E" w:rsidRPr="00290350" w:rsidRDefault="00496778" w:rsidP="0079281E">
            <w:pPr>
              <w:spacing w:after="0" w:line="240" w:lineRule="auto"/>
              <w:rPr>
                <w:rFonts w:asciiTheme="majorHAnsi" w:eastAsia="Times New Roman" w:hAnsiTheme="majorHAnsi" w:cs="Times New Roman"/>
                <w:color w:val="000000"/>
                <w:sz w:val="14"/>
                <w:szCs w:val="14"/>
                <w:lang w:eastAsia="en-AU"/>
              </w:rPr>
            </w:pPr>
            <w:r w:rsidRPr="00290350">
              <w:rPr>
                <w:rFonts w:asciiTheme="majorHAnsi" w:hAnsiTheme="majorHAnsi"/>
                <w:sz w:val="14"/>
                <w:szCs w:val="14"/>
              </w:rPr>
              <w:t xml:space="preserve"> 158 </w:t>
            </w:r>
          </w:p>
        </w:tc>
        <w:tc>
          <w:tcPr>
            <w:tcW w:w="333" w:type="pct"/>
            <w:noWrap/>
            <w:hideMark/>
          </w:tcPr>
          <w:p w14:paraId="445E56EF" w14:textId="369FD09F" w:rsidR="0079281E" w:rsidRPr="00290350" w:rsidRDefault="00496778" w:rsidP="0079281E">
            <w:pPr>
              <w:spacing w:after="0" w:line="240" w:lineRule="auto"/>
              <w:rPr>
                <w:rFonts w:asciiTheme="majorHAnsi" w:eastAsia="Times New Roman" w:hAnsiTheme="majorHAnsi" w:cs="Times New Roman"/>
                <w:color w:val="000000"/>
                <w:sz w:val="14"/>
                <w:szCs w:val="14"/>
                <w:lang w:eastAsia="en-AU"/>
              </w:rPr>
            </w:pPr>
            <w:r w:rsidRPr="00290350">
              <w:rPr>
                <w:rFonts w:asciiTheme="majorHAnsi" w:hAnsiTheme="majorHAnsi"/>
                <w:sz w:val="14"/>
                <w:szCs w:val="14"/>
              </w:rPr>
              <w:t xml:space="preserve"> 162 </w:t>
            </w:r>
          </w:p>
        </w:tc>
        <w:tc>
          <w:tcPr>
            <w:tcW w:w="333" w:type="pct"/>
            <w:noWrap/>
            <w:hideMark/>
          </w:tcPr>
          <w:p w14:paraId="7239EF08" w14:textId="2C134527" w:rsidR="0079281E" w:rsidRPr="00290350" w:rsidRDefault="00496778" w:rsidP="0079281E">
            <w:pPr>
              <w:spacing w:after="0" w:line="240" w:lineRule="auto"/>
              <w:rPr>
                <w:rFonts w:asciiTheme="majorHAnsi" w:eastAsia="Times New Roman" w:hAnsiTheme="majorHAnsi" w:cs="Times New Roman"/>
                <w:color w:val="000000"/>
                <w:sz w:val="14"/>
                <w:szCs w:val="14"/>
                <w:lang w:eastAsia="en-AU"/>
              </w:rPr>
            </w:pPr>
            <w:r w:rsidRPr="00290350">
              <w:rPr>
                <w:rFonts w:asciiTheme="majorHAnsi" w:hAnsiTheme="majorHAnsi"/>
                <w:sz w:val="14"/>
                <w:szCs w:val="14"/>
              </w:rPr>
              <w:t xml:space="preserve"> 165 </w:t>
            </w:r>
          </w:p>
        </w:tc>
        <w:tc>
          <w:tcPr>
            <w:tcW w:w="333" w:type="pct"/>
            <w:noWrap/>
            <w:hideMark/>
          </w:tcPr>
          <w:p w14:paraId="3393E870" w14:textId="7A50A99A" w:rsidR="0079281E" w:rsidRPr="00290350" w:rsidRDefault="00496778" w:rsidP="0079281E">
            <w:pPr>
              <w:spacing w:after="0" w:line="240" w:lineRule="auto"/>
              <w:rPr>
                <w:rFonts w:asciiTheme="majorHAnsi" w:eastAsia="Times New Roman" w:hAnsiTheme="majorHAnsi" w:cs="Times New Roman"/>
                <w:color w:val="000000"/>
                <w:sz w:val="14"/>
                <w:szCs w:val="14"/>
                <w:lang w:eastAsia="en-AU"/>
              </w:rPr>
            </w:pPr>
            <w:r w:rsidRPr="00290350">
              <w:rPr>
                <w:rFonts w:asciiTheme="majorHAnsi" w:hAnsiTheme="majorHAnsi"/>
                <w:sz w:val="14"/>
                <w:szCs w:val="14"/>
              </w:rPr>
              <w:t xml:space="preserve"> 169 </w:t>
            </w:r>
          </w:p>
        </w:tc>
        <w:tc>
          <w:tcPr>
            <w:tcW w:w="333" w:type="pct"/>
            <w:noWrap/>
            <w:hideMark/>
          </w:tcPr>
          <w:p w14:paraId="4C48E522" w14:textId="0387813E" w:rsidR="0079281E" w:rsidRPr="00290350" w:rsidRDefault="00496778" w:rsidP="0079281E">
            <w:pPr>
              <w:spacing w:after="0" w:line="240" w:lineRule="auto"/>
              <w:rPr>
                <w:rFonts w:asciiTheme="majorHAnsi" w:eastAsia="Times New Roman" w:hAnsiTheme="majorHAnsi" w:cs="Times New Roman"/>
                <w:color w:val="000000"/>
                <w:sz w:val="14"/>
                <w:szCs w:val="14"/>
                <w:lang w:eastAsia="en-AU"/>
              </w:rPr>
            </w:pPr>
            <w:r w:rsidRPr="00290350">
              <w:rPr>
                <w:rFonts w:asciiTheme="majorHAnsi" w:hAnsiTheme="majorHAnsi"/>
                <w:sz w:val="14"/>
                <w:szCs w:val="14"/>
              </w:rPr>
              <w:t xml:space="preserve"> 173 </w:t>
            </w:r>
          </w:p>
        </w:tc>
        <w:tc>
          <w:tcPr>
            <w:tcW w:w="333" w:type="pct"/>
            <w:noWrap/>
            <w:hideMark/>
          </w:tcPr>
          <w:p w14:paraId="238B1807" w14:textId="0075EA97" w:rsidR="0079281E" w:rsidRPr="00290350" w:rsidRDefault="00496778" w:rsidP="0079281E">
            <w:pPr>
              <w:spacing w:after="0" w:line="240" w:lineRule="auto"/>
              <w:rPr>
                <w:rFonts w:asciiTheme="majorHAnsi" w:eastAsia="Times New Roman" w:hAnsiTheme="majorHAnsi" w:cs="Times New Roman"/>
                <w:color w:val="000000"/>
                <w:sz w:val="14"/>
                <w:szCs w:val="14"/>
                <w:lang w:eastAsia="en-AU"/>
              </w:rPr>
            </w:pPr>
            <w:r w:rsidRPr="00290350">
              <w:rPr>
                <w:rFonts w:asciiTheme="majorHAnsi" w:hAnsiTheme="majorHAnsi"/>
                <w:sz w:val="14"/>
                <w:szCs w:val="14"/>
              </w:rPr>
              <w:t xml:space="preserve"> 176 </w:t>
            </w:r>
          </w:p>
        </w:tc>
        <w:tc>
          <w:tcPr>
            <w:tcW w:w="333" w:type="pct"/>
            <w:noWrap/>
            <w:hideMark/>
          </w:tcPr>
          <w:p w14:paraId="2A2593BE" w14:textId="46B545C6" w:rsidR="0079281E" w:rsidRPr="00290350" w:rsidRDefault="00496778" w:rsidP="0079281E">
            <w:pPr>
              <w:spacing w:after="0" w:line="240" w:lineRule="auto"/>
              <w:rPr>
                <w:rFonts w:asciiTheme="majorHAnsi" w:eastAsia="Times New Roman" w:hAnsiTheme="majorHAnsi" w:cs="Times New Roman"/>
                <w:color w:val="000000"/>
                <w:sz w:val="14"/>
                <w:szCs w:val="14"/>
                <w:lang w:eastAsia="en-AU"/>
              </w:rPr>
            </w:pPr>
            <w:r w:rsidRPr="00290350">
              <w:rPr>
                <w:rFonts w:asciiTheme="majorHAnsi" w:hAnsiTheme="majorHAnsi"/>
                <w:sz w:val="14"/>
                <w:szCs w:val="14"/>
              </w:rPr>
              <w:t xml:space="preserve"> 180 </w:t>
            </w:r>
          </w:p>
        </w:tc>
        <w:tc>
          <w:tcPr>
            <w:tcW w:w="333" w:type="pct"/>
            <w:noWrap/>
            <w:hideMark/>
          </w:tcPr>
          <w:p w14:paraId="7EA1B9A2" w14:textId="33428922" w:rsidR="0079281E" w:rsidRPr="00290350" w:rsidRDefault="00496778" w:rsidP="0079281E">
            <w:pPr>
              <w:spacing w:after="0" w:line="240" w:lineRule="auto"/>
              <w:rPr>
                <w:rFonts w:asciiTheme="majorHAnsi" w:eastAsia="Times New Roman" w:hAnsiTheme="majorHAnsi" w:cs="Times New Roman"/>
                <w:color w:val="000000"/>
                <w:sz w:val="14"/>
                <w:szCs w:val="14"/>
                <w:lang w:eastAsia="en-AU"/>
              </w:rPr>
            </w:pPr>
            <w:r w:rsidRPr="00290350">
              <w:rPr>
                <w:rFonts w:asciiTheme="majorHAnsi" w:hAnsiTheme="majorHAnsi"/>
                <w:sz w:val="14"/>
                <w:szCs w:val="14"/>
              </w:rPr>
              <w:t xml:space="preserve"> 184 </w:t>
            </w:r>
          </w:p>
        </w:tc>
        <w:tc>
          <w:tcPr>
            <w:tcW w:w="333" w:type="pct"/>
            <w:noWrap/>
            <w:hideMark/>
          </w:tcPr>
          <w:p w14:paraId="1D5B8559" w14:textId="1A93B83E" w:rsidR="0079281E" w:rsidRPr="00290350" w:rsidRDefault="00496778" w:rsidP="0079281E">
            <w:pPr>
              <w:spacing w:after="0" w:line="240" w:lineRule="auto"/>
              <w:rPr>
                <w:rFonts w:asciiTheme="majorHAnsi" w:eastAsia="Times New Roman" w:hAnsiTheme="majorHAnsi" w:cs="Times New Roman"/>
                <w:color w:val="000000"/>
                <w:sz w:val="14"/>
                <w:szCs w:val="14"/>
                <w:lang w:eastAsia="en-AU"/>
              </w:rPr>
            </w:pPr>
            <w:r w:rsidRPr="00290350">
              <w:rPr>
                <w:rFonts w:asciiTheme="majorHAnsi" w:hAnsiTheme="majorHAnsi"/>
                <w:sz w:val="14"/>
                <w:szCs w:val="14"/>
              </w:rPr>
              <w:t xml:space="preserve"> 189 </w:t>
            </w:r>
          </w:p>
        </w:tc>
        <w:tc>
          <w:tcPr>
            <w:tcW w:w="333" w:type="pct"/>
            <w:noWrap/>
            <w:hideMark/>
          </w:tcPr>
          <w:p w14:paraId="5B1766CC" w14:textId="300FE2AA" w:rsidR="0079281E" w:rsidRPr="00290350" w:rsidRDefault="00496778" w:rsidP="0079281E">
            <w:pPr>
              <w:spacing w:after="0" w:line="240" w:lineRule="auto"/>
              <w:rPr>
                <w:rFonts w:asciiTheme="majorHAnsi" w:eastAsia="Times New Roman" w:hAnsiTheme="majorHAnsi" w:cs="Times New Roman"/>
                <w:color w:val="000000"/>
                <w:sz w:val="14"/>
                <w:szCs w:val="14"/>
                <w:lang w:eastAsia="en-AU"/>
              </w:rPr>
            </w:pPr>
            <w:r w:rsidRPr="00290350">
              <w:rPr>
                <w:rFonts w:asciiTheme="majorHAnsi" w:hAnsiTheme="majorHAnsi"/>
                <w:sz w:val="14"/>
                <w:szCs w:val="14"/>
              </w:rPr>
              <w:t xml:space="preserve"> 193 </w:t>
            </w:r>
          </w:p>
        </w:tc>
        <w:tc>
          <w:tcPr>
            <w:tcW w:w="333" w:type="pct"/>
            <w:noWrap/>
            <w:hideMark/>
          </w:tcPr>
          <w:p w14:paraId="2BCF742E" w14:textId="6C7759D0" w:rsidR="0079281E" w:rsidRPr="00290350" w:rsidRDefault="00496778" w:rsidP="0079281E">
            <w:pPr>
              <w:spacing w:after="0" w:line="240" w:lineRule="auto"/>
              <w:rPr>
                <w:rFonts w:asciiTheme="majorHAnsi" w:eastAsia="Times New Roman" w:hAnsiTheme="majorHAnsi" w:cs="Times New Roman"/>
                <w:color w:val="000000"/>
                <w:sz w:val="14"/>
                <w:szCs w:val="14"/>
                <w:lang w:eastAsia="en-AU"/>
              </w:rPr>
            </w:pPr>
            <w:r w:rsidRPr="00290350">
              <w:rPr>
                <w:rFonts w:asciiTheme="majorHAnsi" w:hAnsiTheme="majorHAnsi"/>
                <w:sz w:val="14"/>
                <w:szCs w:val="14"/>
              </w:rPr>
              <w:t xml:space="preserve"> 197 </w:t>
            </w:r>
          </w:p>
        </w:tc>
        <w:tc>
          <w:tcPr>
            <w:tcW w:w="333" w:type="pct"/>
            <w:noWrap/>
            <w:hideMark/>
          </w:tcPr>
          <w:p w14:paraId="50A8DAE8" w14:textId="39BD7A66" w:rsidR="0079281E" w:rsidRPr="00290350" w:rsidRDefault="00496778" w:rsidP="0079281E">
            <w:pPr>
              <w:spacing w:after="0" w:line="240" w:lineRule="auto"/>
              <w:rPr>
                <w:rFonts w:asciiTheme="majorHAnsi" w:eastAsia="Times New Roman" w:hAnsiTheme="majorHAnsi" w:cs="Times New Roman"/>
                <w:color w:val="000000"/>
                <w:sz w:val="14"/>
                <w:szCs w:val="14"/>
                <w:lang w:eastAsia="en-AU"/>
              </w:rPr>
            </w:pPr>
            <w:r w:rsidRPr="00290350">
              <w:rPr>
                <w:rFonts w:asciiTheme="majorHAnsi" w:hAnsiTheme="majorHAnsi"/>
                <w:sz w:val="14"/>
                <w:szCs w:val="14"/>
              </w:rPr>
              <w:t xml:space="preserve"> 202 </w:t>
            </w:r>
          </w:p>
        </w:tc>
      </w:tr>
      <w:tr w:rsidR="0079281E" w:rsidRPr="000463D8" w14:paraId="368B0416" w14:textId="77777777" w:rsidTr="001419A0">
        <w:trPr>
          <w:trHeight w:val="42"/>
        </w:trPr>
        <w:tc>
          <w:tcPr>
            <w:tcW w:w="652" w:type="pct"/>
            <w:noWrap/>
            <w:hideMark/>
          </w:tcPr>
          <w:p w14:paraId="31D555BC" w14:textId="48E18C23" w:rsidR="0079281E" w:rsidRPr="00290350" w:rsidRDefault="0079281E" w:rsidP="0079281E">
            <w:pPr>
              <w:spacing w:after="0" w:line="240" w:lineRule="auto"/>
              <w:rPr>
                <w:rFonts w:asciiTheme="majorHAnsi" w:eastAsia="Times New Roman" w:hAnsiTheme="majorHAnsi" w:cs="Times New Roman"/>
                <w:color w:val="000000"/>
                <w:sz w:val="14"/>
                <w:szCs w:val="14"/>
                <w:lang w:eastAsia="en-AU"/>
              </w:rPr>
            </w:pPr>
            <w:r w:rsidRPr="00290350">
              <w:rPr>
                <w:rFonts w:asciiTheme="majorHAnsi" w:eastAsia="Times New Roman" w:hAnsiTheme="majorHAnsi" w:cs="Times New Roman"/>
                <w:color w:val="000000"/>
                <w:sz w:val="14"/>
                <w:szCs w:val="14"/>
                <w:lang w:eastAsia="en-AU"/>
              </w:rPr>
              <w:t>Prosecution notice</w:t>
            </w:r>
          </w:p>
        </w:tc>
        <w:tc>
          <w:tcPr>
            <w:tcW w:w="351" w:type="pct"/>
            <w:noWrap/>
            <w:hideMark/>
          </w:tcPr>
          <w:p w14:paraId="6046DBBF" w14:textId="350D5C05" w:rsidR="0079281E" w:rsidRPr="00290350" w:rsidRDefault="00496778" w:rsidP="0079281E">
            <w:pPr>
              <w:spacing w:after="0" w:line="240" w:lineRule="auto"/>
              <w:rPr>
                <w:rFonts w:asciiTheme="majorHAnsi" w:eastAsia="Times New Roman" w:hAnsiTheme="majorHAnsi" w:cs="Times New Roman"/>
                <w:color w:val="000000"/>
                <w:sz w:val="14"/>
                <w:szCs w:val="14"/>
                <w:lang w:eastAsia="en-AU"/>
              </w:rPr>
            </w:pPr>
            <w:r w:rsidRPr="00290350">
              <w:rPr>
                <w:rFonts w:asciiTheme="majorHAnsi" w:hAnsiTheme="majorHAnsi"/>
                <w:sz w:val="14"/>
                <w:szCs w:val="14"/>
              </w:rPr>
              <w:t xml:space="preserve"> 7 </w:t>
            </w:r>
          </w:p>
        </w:tc>
        <w:tc>
          <w:tcPr>
            <w:tcW w:w="333" w:type="pct"/>
            <w:noWrap/>
            <w:hideMark/>
          </w:tcPr>
          <w:p w14:paraId="19690F0C" w14:textId="5C8FF1CC" w:rsidR="0079281E" w:rsidRPr="00290350" w:rsidRDefault="00496778" w:rsidP="0079281E">
            <w:pPr>
              <w:spacing w:after="0" w:line="240" w:lineRule="auto"/>
              <w:rPr>
                <w:rFonts w:asciiTheme="majorHAnsi" w:eastAsia="Times New Roman" w:hAnsiTheme="majorHAnsi" w:cs="Times New Roman"/>
                <w:color w:val="000000"/>
                <w:sz w:val="14"/>
                <w:szCs w:val="14"/>
                <w:lang w:eastAsia="en-AU"/>
              </w:rPr>
            </w:pPr>
            <w:r w:rsidRPr="00290350">
              <w:rPr>
                <w:rFonts w:asciiTheme="majorHAnsi" w:hAnsiTheme="majorHAnsi"/>
                <w:sz w:val="14"/>
                <w:szCs w:val="14"/>
              </w:rPr>
              <w:t xml:space="preserve"> 7 </w:t>
            </w:r>
          </w:p>
        </w:tc>
        <w:tc>
          <w:tcPr>
            <w:tcW w:w="333" w:type="pct"/>
            <w:noWrap/>
            <w:hideMark/>
          </w:tcPr>
          <w:p w14:paraId="6E72FEF9" w14:textId="193C11FA" w:rsidR="0079281E" w:rsidRPr="00290350" w:rsidRDefault="00496778" w:rsidP="0079281E">
            <w:pPr>
              <w:spacing w:after="0" w:line="240" w:lineRule="auto"/>
              <w:rPr>
                <w:rFonts w:asciiTheme="majorHAnsi" w:eastAsia="Times New Roman" w:hAnsiTheme="majorHAnsi" w:cs="Times New Roman"/>
                <w:color w:val="000000"/>
                <w:sz w:val="14"/>
                <w:szCs w:val="14"/>
                <w:lang w:eastAsia="en-AU"/>
              </w:rPr>
            </w:pPr>
            <w:r w:rsidRPr="00290350">
              <w:rPr>
                <w:rFonts w:asciiTheme="majorHAnsi" w:hAnsiTheme="majorHAnsi"/>
                <w:sz w:val="14"/>
                <w:szCs w:val="14"/>
              </w:rPr>
              <w:t xml:space="preserve"> 7 </w:t>
            </w:r>
          </w:p>
        </w:tc>
        <w:tc>
          <w:tcPr>
            <w:tcW w:w="333" w:type="pct"/>
            <w:noWrap/>
            <w:hideMark/>
          </w:tcPr>
          <w:p w14:paraId="4CAC7876" w14:textId="308A68C1" w:rsidR="0079281E" w:rsidRPr="00290350" w:rsidRDefault="00496778" w:rsidP="0079281E">
            <w:pPr>
              <w:spacing w:after="0" w:line="240" w:lineRule="auto"/>
              <w:rPr>
                <w:rFonts w:asciiTheme="majorHAnsi" w:eastAsia="Times New Roman" w:hAnsiTheme="majorHAnsi" w:cs="Times New Roman"/>
                <w:color w:val="000000"/>
                <w:sz w:val="14"/>
                <w:szCs w:val="14"/>
                <w:lang w:eastAsia="en-AU"/>
              </w:rPr>
            </w:pPr>
            <w:r w:rsidRPr="00290350">
              <w:rPr>
                <w:rFonts w:asciiTheme="majorHAnsi" w:hAnsiTheme="majorHAnsi"/>
                <w:sz w:val="14"/>
                <w:szCs w:val="14"/>
              </w:rPr>
              <w:t xml:space="preserve"> 7 </w:t>
            </w:r>
          </w:p>
        </w:tc>
        <w:tc>
          <w:tcPr>
            <w:tcW w:w="333" w:type="pct"/>
            <w:noWrap/>
            <w:hideMark/>
          </w:tcPr>
          <w:p w14:paraId="0F963730" w14:textId="48E19226" w:rsidR="0079281E" w:rsidRPr="00290350" w:rsidRDefault="00496778" w:rsidP="0079281E">
            <w:pPr>
              <w:spacing w:after="0" w:line="240" w:lineRule="auto"/>
              <w:rPr>
                <w:rFonts w:asciiTheme="majorHAnsi" w:eastAsia="Times New Roman" w:hAnsiTheme="majorHAnsi" w:cs="Times New Roman"/>
                <w:color w:val="000000"/>
                <w:sz w:val="14"/>
                <w:szCs w:val="14"/>
                <w:lang w:eastAsia="en-AU"/>
              </w:rPr>
            </w:pPr>
            <w:r w:rsidRPr="00290350">
              <w:rPr>
                <w:rFonts w:asciiTheme="majorHAnsi" w:hAnsiTheme="majorHAnsi"/>
                <w:sz w:val="14"/>
                <w:szCs w:val="14"/>
              </w:rPr>
              <w:t xml:space="preserve"> 7 </w:t>
            </w:r>
          </w:p>
        </w:tc>
        <w:tc>
          <w:tcPr>
            <w:tcW w:w="333" w:type="pct"/>
            <w:noWrap/>
            <w:hideMark/>
          </w:tcPr>
          <w:p w14:paraId="10CFEAA2" w14:textId="10B09413" w:rsidR="0079281E" w:rsidRPr="00290350" w:rsidRDefault="00496778" w:rsidP="0079281E">
            <w:pPr>
              <w:spacing w:after="0" w:line="240" w:lineRule="auto"/>
              <w:rPr>
                <w:rFonts w:asciiTheme="majorHAnsi" w:eastAsia="Times New Roman" w:hAnsiTheme="majorHAnsi" w:cs="Times New Roman"/>
                <w:color w:val="000000"/>
                <w:sz w:val="14"/>
                <w:szCs w:val="14"/>
                <w:lang w:eastAsia="en-AU"/>
              </w:rPr>
            </w:pPr>
            <w:r w:rsidRPr="00290350">
              <w:rPr>
                <w:rFonts w:asciiTheme="majorHAnsi" w:hAnsiTheme="majorHAnsi"/>
                <w:sz w:val="14"/>
                <w:szCs w:val="14"/>
              </w:rPr>
              <w:t xml:space="preserve"> 7 </w:t>
            </w:r>
          </w:p>
        </w:tc>
        <w:tc>
          <w:tcPr>
            <w:tcW w:w="333" w:type="pct"/>
            <w:noWrap/>
            <w:hideMark/>
          </w:tcPr>
          <w:p w14:paraId="1368F330" w14:textId="612D4F54" w:rsidR="0079281E" w:rsidRPr="00290350" w:rsidRDefault="00496778" w:rsidP="0079281E">
            <w:pPr>
              <w:spacing w:after="0" w:line="240" w:lineRule="auto"/>
              <w:rPr>
                <w:rFonts w:asciiTheme="majorHAnsi" w:eastAsia="Times New Roman" w:hAnsiTheme="majorHAnsi" w:cs="Times New Roman"/>
                <w:color w:val="000000"/>
                <w:sz w:val="14"/>
                <w:szCs w:val="14"/>
                <w:lang w:eastAsia="en-AU"/>
              </w:rPr>
            </w:pPr>
            <w:r w:rsidRPr="00290350">
              <w:rPr>
                <w:rFonts w:asciiTheme="majorHAnsi" w:hAnsiTheme="majorHAnsi"/>
                <w:sz w:val="14"/>
                <w:szCs w:val="14"/>
              </w:rPr>
              <w:t xml:space="preserve"> 7 </w:t>
            </w:r>
          </w:p>
        </w:tc>
        <w:tc>
          <w:tcPr>
            <w:tcW w:w="333" w:type="pct"/>
            <w:noWrap/>
            <w:hideMark/>
          </w:tcPr>
          <w:p w14:paraId="3C4643F7" w14:textId="22492CB9" w:rsidR="0079281E" w:rsidRPr="00290350" w:rsidRDefault="00496778" w:rsidP="0079281E">
            <w:pPr>
              <w:spacing w:after="0" w:line="240" w:lineRule="auto"/>
              <w:rPr>
                <w:rFonts w:asciiTheme="majorHAnsi" w:eastAsia="Times New Roman" w:hAnsiTheme="majorHAnsi" w:cs="Times New Roman"/>
                <w:color w:val="000000"/>
                <w:sz w:val="14"/>
                <w:szCs w:val="14"/>
                <w:lang w:eastAsia="en-AU"/>
              </w:rPr>
            </w:pPr>
            <w:r w:rsidRPr="00290350">
              <w:rPr>
                <w:rFonts w:asciiTheme="majorHAnsi" w:hAnsiTheme="majorHAnsi"/>
                <w:sz w:val="14"/>
                <w:szCs w:val="14"/>
              </w:rPr>
              <w:t xml:space="preserve"> 8 </w:t>
            </w:r>
          </w:p>
        </w:tc>
        <w:tc>
          <w:tcPr>
            <w:tcW w:w="333" w:type="pct"/>
            <w:noWrap/>
            <w:hideMark/>
          </w:tcPr>
          <w:p w14:paraId="6EAA382A" w14:textId="6C457B90" w:rsidR="0079281E" w:rsidRPr="00290350" w:rsidRDefault="00496778" w:rsidP="0079281E">
            <w:pPr>
              <w:spacing w:after="0" w:line="240" w:lineRule="auto"/>
              <w:rPr>
                <w:rFonts w:asciiTheme="majorHAnsi" w:eastAsia="Times New Roman" w:hAnsiTheme="majorHAnsi" w:cs="Times New Roman"/>
                <w:color w:val="000000"/>
                <w:sz w:val="14"/>
                <w:szCs w:val="14"/>
                <w:lang w:eastAsia="en-AU"/>
              </w:rPr>
            </w:pPr>
            <w:r w:rsidRPr="00290350">
              <w:rPr>
                <w:rFonts w:asciiTheme="majorHAnsi" w:hAnsiTheme="majorHAnsi"/>
                <w:sz w:val="14"/>
                <w:szCs w:val="14"/>
              </w:rPr>
              <w:t xml:space="preserve"> 8 </w:t>
            </w:r>
          </w:p>
        </w:tc>
        <w:tc>
          <w:tcPr>
            <w:tcW w:w="333" w:type="pct"/>
            <w:noWrap/>
            <w:hideMark/>
          </w:tcPr>
          <w:p w14:paraId="13399082" w14:textId="40A232A8" w:rsidR="0079281E" w:rsidRPr="00290350" w:rsidRDefault="00496778" w:rsidP="0079281E">
            <w:pPr>
              <w:spacing w:after="0" w:line="240" w:lineRule="auto"/>
              <w:rPr>
                <w:rFonts w:asciiTheme="majorHAnsi" w:eastAsia="Times New Roman" w:hAnsiTheme="majorHAnsi" w:cs="Times New Roman"/>
                <w:color w:val="000000"/>
                <w:sz w:val="14"/>
                <w:szCs w:val="14"/>
                <w:lang w:eastAsia="en-AU"/>
              </w:rPr>
            </w:pPr>
            <w:r w:rsidRPr="00290350">
              <w:rPr>
                <w:rFonts w:asciiTheme="majorHAnsi" w:hAnsiTheme="majorHAnsi"/>
                <w:sz w:val="14"/>
                <w:szCs w:val="14"/>
              </w:rPr>
              <w:t xml:space="preserve"> 8 </w:t>
            </w:r>
          </w:p>
        </w:tc>
        <w:tc>
          <w:tcPr>
            <w:tcW w:w="333" w:type="pct"/>
            <w:noWrap/>
            <w:hideMark/>
          </w:tcPr>
          <w:p w14:paraId="22697869" w14:textId="297E2DE0" w:rsidR="0079281E" w:rsidRPr="00290350" w:rsidRDefault="00496778" w:rsidP="0079281E">
            <w:pPr>
              <w:spacing w:after="0" w:line="240" w:lineRule="auto"/>
              <w:rPr>
                <w:rFonts w:asciiTheme="majorHAnsi" w:eastAsia="Times New Roman" w:hAnsiTheme="majorHAnsi" w:cs="Times New Roman"/>
                <w:color w:val="000000"/>
                <w:sz w:val="14"/>
                <w:szCs w:val="14"/>
                <w:lang w:eastAsia="en-AU"/>
              </w:rPr>
            </w:pPr>
            <w:r w:rsidRPr="00290350">
              <w:rPr>
                <w:rFonts w:asciiTheme="majorHAnsi" w:hAnsiTheme="majorHAnsi"/>
                <w:sz w:val="14"/>
                <w:szCs w:val="14"/>
              </w:rPr>
              <w:t xml:space="preserve"> 8 </w:t>
            </w:r>
          </w:p>
        </w:tc>
        <w:tc>
          <w:tcPr>
            <w:tcW w:w="333" w:type="pct"/>
            <w:noWrap/>
            <w:hideMark/>
          </w:tcPr>
          <w:p w14:paraId="433D1BED" w14:textId="68B2B1DB" w:rsidR="0079281E" w:rsidRPr="00290350" w:rsidRDefault="00496778" w:rsidP="0079281E">
            <w:pPr>
              <w:spacing w:after="0" w:line="240" w:lineRule="auto"/>
              <w:rPr>
                <w:rFonts w:asciiTheme="majorHAnsi" w:eastAsia="Times New Roman" w:hAnsiTheme="majorHAnsi" w:cs="Times New Roman"/>
                <w:color w:val="000000"/>
                <w:sz w:val="14"/>
                <w:szCs w:val="14"/>
                <w:lang w:eastAsia="en-AU"/>
              </w:rPr>
            </w:pPr>
            <w:r w:rsidRPr="00290350">
              <w:rPr>
                <w:rFonts w:asciiTheme="majorHAnsi" w:hAnsiTheme="majorHAnsi"/>
                <w:sz w:val="14"/>
                <w:szCs w:val="14"/>
              </w:rPr>
              <w:t xml:space="preserve"> 8 </w:t>
            </w:r>
          </w:p>
        </w:tc>
        <w:tc>
          <w:tcPr>
            <w:tcW w:w="333" w:type="pct"/>
            <w:noWrap/>
            <w:hideMark/>
          </w:tcPr>
          <w:p w14:paraId="1A652D64" w14:textId="2A5E0357" w:rsidR="0079281E" w:rsidRPr="00290350" w:rsidRDefault="00496778" w:rsidP="0079281E">
            <w:pPr>
              <w:spacing w:after="0" w:line="240" w:lineRule="auto"/>
              <w:rPr>
                <w:rFonts w:asciiTheme="majorHAnsi" w:eastAsia="Times New Roman" w:hAnsiTheme="majorHAnsi" w:cs="Times New Roman"/>
                <w:color w:val="000000"/>
                <w:sz w:val="14"/>
                <w:szCs w:val="14"/>
                <w:lang w:eastAsia="en-AU"/>
              </w:rPr>
            </w:pPr>
            <w:r w:rsidRPr="00290350">
              <w:rPr>
                <w:rFonts w:asciiTheme="majorHAnsi" w:hAnsiTheme="majorHAnsi"/>
                <w:sz w:val="14"/>
                <w:szCs w:val="14"/>
              </w:rPr>
              <w:t xml:space="preserve"> 8 </w:t>
            </w:r>
          </w:p>
        </w:tc>
      </w:tr>
    </w:tbl>
    <w:p w14:paraId="3336F1AE" w14:textId="1F6A02E1" w:rsidR="000463D8" w:rsidRPr="001419A0" w:rsidRDefault="000463D8" w:rsidP="000463D8">
      <w:pPr>
        <w:rPr>
          <w:rFonts w:asciiTheme="majorHAnsi" w:hAnsiTheme="majorHAnsi"/>
          <w:b/>
          <w:color w:val="62B5E5" w:themeColor="accent3"/>
          <w:sz w:val="14"/>
          <w:szCs w:val="14"/>
        </w:rPr>
      </w:pPr>
    </w:p>
    <w:p w14:paraId="40FD33C0" w14:textId="304246FF" w:rsidR="001C1E04" w:rsidRPr="00290350" w:rsidRDefault="001C1E04" w:rsidP="000463D8">
      <w:pPr>
        <w:rPr>
          <w:b/>
        </w:rPr>
      </w:pPr>
      <w:r w:rsidRPr="00290350">
        <w:rPr>
          <w:b/>
        </w:rPr>
        <w:t>Cost to businesses, by subsector</w:t>
      </w:r>
      <w:r w:rsidR="008F330A" w:rsidRPr="00290350">
        <w:rPr>
          <w:b/>
        </w:rPr>
        <w:t>,</w:t>
      </w:r>
      <w:r w:rsidRPr="00290350">
        <w:rPr>
          <w:b/>
        </w:rPr>
        <w:t xml:space="preserve"> of </w:t>
      </w:r>
      <w:r w:rsidR="00E97247" w:rsidRPr="00290350">
        <w:rPr>
          <w:b/>
        </w:rPr>
        <w:t xml:space="preserve">meeting certain requirements </w:t>
      </w:r>
      <w:r w:rsidR="008B42BC" w:rsidRPr="00290350">
        <w:rPr>
          <w:b/>
        </w:rPr>
        <w:t>of the Regulations</w:t>
      </w:r>
    </w:p>
    <w:p w14:paraId="437C4727" w14:textId="7635BDBA" w:rsidR="001C1E04" w:rsidRDefault="001C1E04" w:rsidP="00093FB8">
      <w:r w:rsidRPr="005B2AD5">
        <w:t>Please note the following cost break-down excludes the Council fees incurred by business</w:t>
      </w:r>
      <w:r w:rsidR="00E55AB5" w:rsidRPr="00F0077F">
        <w:t>es</w:t>
      </w:r>
      <w:r w:rsidR="005B2AD5" w:rsidRPr="00F0077F">
        <w:t>.</w:t>
      </w:r>
      <w:r w:rsidRPr="005B2AD5">
        <w:t xml:space="preserve"> </w:t>
      </w:r>
      <w:r w:rsidR="00523C24">
        <w:t>All costs are expressed in NPV over the life of the Regulations</w:t>
      </w:r>
      <w:r w:rsidRPr="005B2AD5">
        <w:t xml:space="preserve"> </w:t>
      </w:r>
    </w:p>
    <w:tbl>
      <w:tblPr>
        <w:tblStyle w:val="Deloittetable"/>
        <w:tblW w:w="5104" w:type="pct"/>
        <w:tblLayout w:type="fixed"/>
        <w:tblLook w:val="04A0" w:firstRow="1" w:lastRow="0" w:firstColumn="1" w:lastColumn="0" w:noHBand="0" w:noVBand="1"/>
      </w:tblPr>
      <w:tblGrid>
        <w:gridCol w:w="1707"/>
        <w:gridCol w:w="1276"/>
        <w:gridCol w:w="1417"/>
        <w:gridCol w:w="991"/>
        <w:gridCol w:w="1133"/>
        <w:gridCol w:w="1415"/>
        <w:gridCol w:w="1275"/>
      </w:tblGrid>
      <w:tr w:rsidR="001415FF" w14:paraId="22312171" w14:textId="717B41C4" w:rsidTr="001415FF">
        <w:trPr>
          <w:cnfStyle w:val="100000000000" w:firstRow="1" w:lastRow="0" w:firstColumn="0" w:lastColumn="0" w:oddVBand="0" w:evenVBand="0" w:oddHBand="0" w:evenHBand="0" w:firstRowFirstColumn="0" w:firstRowLastColumn="0" w:lastRowFirstColumn="0" w:lastRowLastColumn="0"/>
          <w:trHeight w:val="719"/>
        </w:trPr>
        <w:tc>
          <w:tcPr>
            <w:tcW w:w="926" w:type="pct"/>
          </w:tcPr>
          <w:p w14:paraId="585E884F" w14:textId="77777777" w:rsidR="001415FF" w:rsidRDefault="001C1E04" w:rsidP="001419A0">
            <w:pPr>
              <w:spacing w:after="0"/>
              <w:rPr>
                <w:rFonts w:asciiTheme="majorHAnsi" w:hAnsiTheme="majorHAnsi"/>
                <w:b/>
                <w:sz w:val="14"/>
                <w:szCs w:val="14"/>
              </w:rPr>
            </w:pPr>
            <w:r w:rsidRPr="001419A0">
              <w:rPr>
                <w:rFonts w:asciiTheme="majorHAnsi" w:hAnsiTheme="majorHAnsi"/>
                <w:b/>
                <w:sz w:val="14"/>
                <w:szCs w:val="14"/>
              </w:rPr>
              <w:t xml:space="preserve">Total cost </w:t>
            </w:r>
            <w:r w:rsidR="00BC0B7A" w:rsidRPr="001419A0">
              <w:rPr>
                <w:rFonts w:asciiTheme="majorHAnsi" w:hAnsiTheme="majorHAnsi"/>
                <w:b/>
                <w:sz w:val="14"/>
                <w:szCs w:val="14"/>
              </w:rPr>
              <w:t xml:space="preserve"> </w:t>
            </w:r>
          </w:p>
          <w:p w14:paraId="40FFC1A2" w14:textId="1CC2BE2D" w:rsidR="001415FF" w:rsidRDefault="001C1E04" w:rsidP="001419A0">
            <w:pPr>
              <w:spacing w:after="0"/>
              <w:rPr>
                <w:rFonts w:asciiTheme="majorHAnsi" w:hAnsiTheme="majorHAnsi"/>
                <w:b/>
                <w:sz w:val="14"/>
                <w:szCs w:val="14"/>
              </w:rPr>
            </w:pPr>
            <w:r w:rsidRPr="001419A0">
              <w:rPr>
                <w:rFonts w:asciiTheme="majorHAnsi" w:hAnsiTheme="majorHAnsi"/>
                <w:b/>
                <w:sz w:val="14"/>
                <w:szCs w:val="14"/>
              </w:rPr>
              <w:t>2021-30</w:t>
            </w:r>
            <w:r w:rsidR="00BC0B7A" w:rsidRPr="001419A0">
              <w:rPr>
                <w:rFonts w:asciiTheme="majorHAnsi" w:hAnsiTheme="majorHAnsi"/>
                <w:b/>
                <w:sz w:val="14"/>
                <w:szCs w:val="14"/>
              </w:rPr>
              <w:t xml:space="preserve"> </w:t>
            </w:r>
          </w:p>
          <w:p w14:paraId="4EC7F4EB" w14:textId="7606896E" w:rsidR="001C1E04" w:rsidRPr="001419A0" w:rsidRDefault="00BC0B7A" w:rsidP="001419A0">
            <w:pPr>
              <w:spacing w:after="0"/>
              <w:rPr>
                <w:rFonts w:asciiTheme="majorHAnsi" w:hAnsiTheme="majorHAnsi"/>
                <w:b/>
                <w:color w:val="62B5E5" w:themeColor="accent3"/>
                <w:sz w:val="14"/>
                <w:szCs w:val="14"/>
              </w:rPr>
            </w:pPr>
            <w:r w:rsidRPr="001419A0">
              <w:rPr>
                <w:rFonts w:asciiTheme="majorHAnsi" w:hAnsiTheme="majorHAnsi"/>
                <w:b/>
                <w:sz w:val="14"/>
                <w:szCs w:val="14"/>
              </w:rPr>
              <w:t>NPV</w:t>
            </w:r>
          </w:p>
        </w:tc>
        <w:tc>
          <w:tcPr>
            <w:tcW w:w="692" w:type="pct"/>
          </w:tcPr>
          <w:p w14:paraId="680BA7CC" w14:textId="5FE3EA51" w:rsidR="001C1E04" w:rsidRPr="001419A0" w:rsidRDefault="001C1E04" w:rsidP="000463D8">
            <w:pPr>
              <w:rPr>
                <w:rFonts w:asciiTheme="majorHAnsi" w:hAnsiTheme="majorHAnsi"/>
                <w:b/>
                <w:sz w:val="14"/>
                <w:szCs w:val="14"/>
              </w:rPr>
            </w:pPr>
            <w:r w:rsidRPr="001419A0">
              <w:rPr>
                <w:rFonts w:asciiTheme="majorHAnsi" w:hAnsiTheme="majorHAnsi"/>
                <w:b/>
                <w:sz w:val="14"/>
                <w:szCs w:val="14"/>
              </w:rPr>
              <w:t>Registration</w:t>
            </w:r>
          </w:p>
        </w:tc>
        <w:tc>
          <w:tcPr>
            <w:tcW w:w="769" w:type="pct"/>
          </w:tcPr>
          <w:p w14:paraId="16B2D00F" w14:textId="635865D6" w:rsidR="001C1E04" w:rsidRPr="001419A0" w:rsidRDefault="001C1E04" w:rsidP="000463D8">
            <w:pPr>
              <w:rPr>
                <w:rFonts w:asciiTheme="majorHAnsi" w:hAnsiTheme="majorHAnsi"/>
                <w:b/>
                <w:sz w:val="14"/>
                <w:szCs w:val="14"/>
              </w:rPr>
            </w:pPr>
            <w:r w:rsidRPr="001419A0">
              <w:rPr>
                <w:rFonts w:asciiTheme="majorHAnsi" w:hAnsiTheme="majorHAnsi"/>
                <w:b/>
                <w:sz w:val="14"/>
                <w:szCs w:val="14"/>
              </w:rPr>
              <w:t xml:space="preserve">Attendance at inspections </w:t>
            </w:r>
          </w:p>
        </w:tc>
        <w:tc>
          <w:tcPr>
            <w:tcW w:w="538" w:type="pct"/>
          </w:tcPr>
          <w:p w14:paraId="64E484DF" w14:textId="7C27314C" w:rsidR="001C1E04" w:rsidRPr="001419A0" w:rsidRDefault="001C1E04" w:rsidP="000463D8">
            <w:pPr>
              <w:rPr>
                <w:rFonts w:asciiTheme="majorHAnsi" w:hAnsiTheme="majorHAnsi"/>
                <w:b/>
                <w:sz w:val="14"/>
                <w:szCs w:val="14"/>
              </w:rPr>
            </w:pPr>
            <w:r w:rsidRPr="001419A0">
              <w:rPr>
                <w:rFonts w:asciiTheme="majorHAnsi" w:hAnsiTheme="majorHAnsi"/>
                <w:b/>
                <w:sz w:val="14"/>
                <w:szCs w:val="14"/>
              </w:rPr>
              <w:t>Keeping a register</w:t>
            </w:r>
          </w:p>
        </w:tc>
        <w:tc>
          <w:tcPr>
            <w:tcW w:w="615" w:type="pct"/>
          </w:tcPr>
          <w:p w14:paraId="1A1ED679" w14:textId="266CD984" w:rsidR="001C1E04" w:rsidRPr="001419A0" w:rsidRDefault="001C1E04" w:rsidP="000463D8">
            <w:pPr>
              <w:rPr>
                <w:rFonts w:asciiTheme="majorHAnsi" w:hAnsiTheme="majorHAnsi"/>
                <w:b/>
                <w:sz w:val="14"/>
                <w:szCs w:val="14"/>
              </w:rPr>
            </w:pPr>
            <w:r w:rsidRPr="001419A0">
              <w:rPr>
                <w:rFonts w:asciiTheme="majorHAnsi" w:hAnsiTheme="majorHAnsi"/>
                <w:b/>
                <w:sz w:val="14"/>
                <w:szCs w:val="14"/>
              </w:rPr>
              <w:t>Maximum occupation</w:t>
            </w:r>
          </w:p>
        </w:tc>
        <w:tc>
          <w:tcPr>
            <w:tcW w:w="768" w:type="pct"/>
          </w:tcPr>
          <w:p w14:paraId="2C16AB90" w14:textId="2E067A5A" w:rsidR="001C1E04" w:rsidRPr="001419A0" w:rsidRDefault="001C1E04" w:rsidP="000463D8">
            <w:pPr>
              <w:rPr>
                <w:rFonts w:asciiTheme="majorHAnsi" w:hAnsiTheme="majorHAnsi"/>
                <w:b/>
                <w:sz w:val="14"/>
                <w:szCs w:val="14"/>
              </w:rPr>
            </w:pPr>
            <w:r w:rsidRPr="001419A0">
              <w:rPr>
                <w:rFonts w:asciiTheme="majorHAnsi" w:hAnsiTheme="majorHAnsi"/>
                <w:b/>
                <w:sz w:val="14"/>
                <w:szCs w:val="14"/>
              </w:rPr>
              <w:t>Maintenance</w:t>
            </w:r>
          </w:p>
        </w:tc>
        <w:tc>
          <w:tcPr>
            <w:tcW w:w="692" w:type="pct"/>
          </w:tcPr>
          <w:p w14:paraId="658B09D4" w14:textId="45A1046F" w:rsidR="001415FF" w:rsidRDefault="00BC0B7A" w:rsidP="001419A0">
            <w:pPr>
              <w:spacing w:after="0"/>
              <w:rPr>
                <w:rFonts w:asciiTheme="majorHAnsi" w:hAnsiTheme="majorHAnsi"/>
                <w:b/>
                <w:sz w:val="14"/>
                <w:szCs w:val="14"/>
              </w:rPr>
            </w:pPr>
            <w:r w:rsidRPr="001419A0">
              <w:rPr>
                <w:rFonts w:asciiTheme="majorHAnsi" w:hAnsiTheme="majorHAnsi"/>
                <w:b/>
                <w:sz w:val="14"/>
                <w:szCs w:val="14"/>
              </w:rPr>
              <w:t xml:space="preserve">Total costs 2021-30 </w:t>
            </w:r>
          </w:p>
          <w:p w14:paraId="15D823D2" w14:textId="01B706C3" w:rsidR="00BC0B7A" w:rsidRPr="00BC0B7A" w:rsidRDefault="00BC0B7A" w:rsidP="001419A0">
            <w:pPr>
              <w:spacing w:after="0"/>
              <w:rPr>
                <w:rFonts w:asciiTheme="majorHAnsi" w:hAnsiTheme="majorHAnsi"/>
                <w:b/>
                <w:sz w:val="14"/>
                <w:szCs w:val="14"/>
              </w:rPr>
            </w:pPr>
            <w:r w:rsidRPr="001419A0">
              <w:rPr>
                <w:rFonts w:asciiTheme="majorHAnsi" w:hAnsiTheme="majorHAnsi"/>
                <w:b/>
                <w:sz w:val="14"/>
                <w:szCs w:val="14"/>
              </w:rPr>
              <w:t>NPV</w:t>
            </w:r>
          </w:p>
        </w:tc>
      </w:tr>
      <w:tr w:rsidR="00854C86" w14:paraId="771562BB" w14:textId="341868BB" w:rsidTr="001419A0">
        <w:trPr>
          <w:trHeight w:val="645"/>
        </w:trPr>
        <w:tc>
          <w:tcPr>
            <w:tcW w:w="926" w:type="pct"/>
          </w:tcPr>
          <w:p w14:paraId="51DCA7D8" w14:textId="4F23EE53" w:rsidR="00854C86" w:rsidRPr="001419A0" w:rsidRDefault="00854C86" w:rsidP="00854C86">
            <w:pPr>
              <w:rPr>
                <w:rFonts w:asciiTheme="majorHAnsi" w:hAnsiTheme="majorHAnsi"/>
                <w:b/>
                <w:color w:val="62B5E5" w:themeColor="accent3"/>
                <w:sz w:val="14"/>
                <w:szCs w:val="14"/>
              </w:rPr>
            </w:pPr>
            <w:r w:rsidRPr="001419A0">
              <w:rPr>
                <w:rFonts w:asciiTheme="majorHAnsi" w:eastAsia="Times New Roman" w:hAnsiTheme="majorHAnsi" w:cs="Times New Roman"/>
                <w:color w:val="000000"/>
                <w:sz w:val="14"/>
                <w:szCs w:val="14"/>
                <w:lang w:eastAsia="en-AU"/>
              </w:rPr>
              <w:t>Residential Accommodation</w:t>
            </w:r>
          </w:p>
        </w:tc>
        <w:tc>
          <w:tcPr>
            <w:tcW w:w="692" w:type="pct"/>
          </w:tcPr>
          <w:p w14:paraId="191FE15D" w14:textId="4D33FC73" w:rsidR="00854C86" w:rsidRPr="001419A0" w:rsidRDefault="00854C86" w:rsidP="00854C86">
            <w:pPr>
              <w:rPr>
                <w:rFonts w:asciiTheme="majorHAnsi" w:hAnsiTheme="majorHAnsi"/>
                <w:b/>
                <w:color w:val="62B5E5" w:themeColor="accent3"/>
                <w:sz w:val="14"/>
                <w:szCs w:val="14"/>
              </w:rPr>
            </w:pPr>
            <w:r w:rsidRPr="001419A0">
              <w:rPr>
                <w:rFonts w:asciiTheme="majorHAnsi" w:hAnsiTheme="majorHAnsi"/>
                <w:sz w:val="14"/>
                <w:szCs w:val="14"/>
              </w:rPr>
              <w:t>$968,296</w:t>
            </w:r>
          </w:p>
        </w:tc>
        <w:tc>
          <w:tcPr>
            <w:tcW w:w="769" w:type="pct"/>
          </w:tcPr>
          <w:p w14:paraId="44E2131D" w14:textId="5E68B7B8" w:rsidR="00854C86" w:rsidRPr="001419A0" w:rsidRDefault="00854C86" w:rsidP="00854C86">
            <w:pPr>
              <w:rPr>
                <w:rFonts w:asciiTheme="majorHAnsi" w:hAnsiTheme="majorHAnsi"/>
                <w:b/>
                <w:color w:val="62B5E5" w:themeColor="accent3"/>
                <w:sz w:val="14"/>
                <w:szCs w:val="14"/>
              </w:rPr>
            </w:pPr>
            <w:r w:rsidRPr="001419A0">
              <w:rPr>
                <w:rFonts w:asciiTheme="majorHAnsi" w:hAnsiTheme="majorHAnsi"/>
                <w:sz w:val="14"/>
                <w:szCs w:val="14"/>
              </w:rPr>
              <w:t>$1,205,566</w:t>
            </w:r>
          </w:p>
        </w:tc>
        <w:tc>
          <w:tcPr>
            <w:tcW w:w="538" w:type="pct"/>
          </w:tcPr>
          <w:p w14:paraId="30041781" w14:textId="0F0C7434" w:rsidR="00854C86" w:rsidRPr="00854C86" w:rsidRDefault="00854C86" w:rsidP="00854C86">
            <w:pPr>
              <w:rPr>
                <w:rFonts w:asciiTheme="majorHAnsi" w:hAnsiTheme="majorHAnsi"/>
                <w:b/>
                <w:color w:val="62B5E5" w:themeColor="accent3"/>
                <w:sz w:val="14"/>
                <w:szCs w:val="14"/>
              </w:rPr>
            </w:pPr>
            <w:r w:rsidRPr="00854C86">
              <w:rPr>
                <w:rFonts w:asciiTheme="majorHAnsi" w:hAnsiTheme="majorHAnsi"/>
                <w:sz w:val="14"/>
                <w:szCs w:val="14"/>
                <w:lang w:val="en-GB"/>
              </w:rPr>
              <w:t>$313,104</w:t>
            </w:r>
          </w:p>
        </w:tc>
        <w:tc>
          <w:tcPr>
            <w:tcW w:w="615" w:type="pct"/>
          </w:tcPr>
          <w:p w14:paraId="7DC972D1" w14:textId="0B557368" w:rsidR="00854C86" w:rsidRPr="00854C86" w:rsidRDefault="00854C86" w:rsidP="00854C86">
            <w:pPr>
              <w:rPr>
                <w:rFonts w:asciiTheme="majorHAnsi" w:hAnsiTheme="majorHAnsi"/>
                <w:b/>
                <w:color w:val="62B5E5" w:themeColor="accent3"/>
                <w:sz w:val="14"/>
                <w:szCs w:val="14"/>
              </w:rPr>
            </w:pPr>
            <w:r w:rsidRPr="00854C86">
              <w:rPr>
                <w:sz w:val="14"/>
                <w:szCs w:val="14"/>
                <w:lang w:val="en-GB"/>
              </w:rPr>
              <w:t>$1,326,743</w:t>
            </w:r>
          </w:p>
        </w:tc>
        <w:tc>
          <w:tcPr>
            <w:tcW w:w="768" w:type="pct"/>
          </w:tcPr>
          <w:p w14:paraId="3446B623" w14:textId="40829C1F" w:rsidR="00854C86" w:rsidRPr="00854C86" w:rsidRDefault="00854C86" w:rsidP="00854C86">
            <w:pPr>
              <w:rPr>
                <w:rFonts w:asciiTheme="majorHAnsi" w:hAnsiTheme="majorHAnsi"/>
                <w:b/>
                <w:color w:val="62B5E5" w:themeColor="accent3"/>
                <w:sz w:val="14"/>
                <w:szCs w:val="14"/>
              </w:rPr>
            </w:pPr>
            <w:r w:rsidRPr="00854C86">
              <w:rPr>
                <w:rFonts w:asciiTheme="majorHAnsi" w:hAnsiTheme="majorHAnsi"/>
                <w:sz w:val="14"/>
                <w:szCs w:val="14"/>
                <w:lang w:val="en-GB"/>
              </w:rPr>
              <w:t>$1,972,782</w:t>
            </w:r>
          </w:p>
        </w:tc>
        <w:tc>
          <w:tcPr>
            <w:tcW w:w="692" w:type="pct"/>
          </w:tcPr>
          <w:p w14:paraId="1D784E4C" w14:textId="7FF5E203" w:rsidR="00854C86" w:rsidRPr="00854C86" w:rsidRDefault="00854C86" w:rsidP="00854C86">
            <w:pPr>
              <w:rPr>
                <w:rFonts w:asciiTheme="majorHAnsi" w:hAnsiTheme="majorHAnsi"/>
                <w:b/>
                <w:sz w:val="14"/>
                <w:szCs w:val="14"/>
              </w:rPr>
            </w:pPr>
            <w:r w:rsidRPr="00854C86">
              <w:rPr>
                <w:b/>
                <w:sz w:val="14"/>
                <w:szCs w:val="14"/>
                <w:lang w:val="en-GB"/>
              </w:rPr>
              <w:t>$5,786,490</w:t>
            </w:r>
          </w:p>
        </w:tc>
      </w:tr>
      <w:tr w:rsidR="00854C86" w14:paraId="44DEAB79" w14:textId="7CC8759E" w:rsidTr="001419A0">
        <w:trPr>
          <w:trHeight w:val="414"/>
        </w:trPr>
        <w:tc>
          <w:tcPr>
            <w:tcW w:w="926" w:type="pct"/>
          </w:tcPr>
          <w:p w14:paraId="0A7997BF" w14:textId="307AB9D9" w:rsidR="00854C86" w:rsidRPr="001419A0" w:rsidRDefault="00854C86" w:rsidP="00854C86">
            <w:pPr>
              <w:rPr>
                <w:rFonts w:asciiTheme="majorHAnsi" w:hAnsiTheme="majorHAnsi"/>
                <w:b/>
                <w:color w:val="62B5E5" w:themeColor="accent3"/>
                <w:sz w:val="14"/>
                <w:szCs w:val="14"/>
              </w:rPr>
            </w:pPr>
            <w:r w:rsidRPr="001419A0">
              <w:rPr>
                <w:rFonts w:asciiTheme="majorHAnsi" w:eastAsia="Times New Roman" w:hAnsiTheme="majorHAnsi" w:cs="Times New Roman"/>
                <w:color w:val="000000"/>
                <w:sz w:val="14"/>
                <w:szCs w:val="14"/>
                <w:lang w:eastAsia="en-AU"/>
              </w:rPr>
              <w:t xml:space="preserve">Hotels &amp; Motels </w:t>
            </w:r>
          </w:p>
        </w:tc>
        <w:tc>
          <w:tcPr>
            <w:tcW w:w="692" w:type="pct"/>
          </w:tcPr>
          <w:p w14:paraId="75BF3EF1" w14:textId="0027958E" w:rsidR="00854C86" w:rsidRPr="001419A0" w:rsidRDefault="00854C86" w:rsidP="00854C86">
            <w:pPr>
              <w:rPr>
                <w:rFonts w:asciiTheme="majorHAnsi" w:hAnsiTheme="majorHAnsi"/>
                <w:b/>
                <w:color w:val="62B5E5" w:themeColor="accent3"/>
                <w:sz w:val="14"/>
                <w:szCs w:val="14"/>
              </w:rPr>
            </w:pPr>
            <w:r w:rsidRPr="001419A0">
              <w:rPr>
                <w:rFonts w:asciiTheme="majorHAnsi" w:hAnsiTheme="majorHAnsi"/>
                <w:sz w:val="14"/>
                <w:szCs w:val="14"/>
              </w:rPr>
              <w:t>$780,411</w:t>
            </w:r>
          </w:p>
        </w:tc>
        <w:tc>
          <w:tcPr>
            <w:tcW w:w="769" w:type="pct"/>
          </w:tcPr>
          <w:p w14:paraId="198801FC" w14:textId="09A10822" w:rsidR="00854C86" w:rsidRPr="001419A0" w:rsidRDefault="00854C86" w:rsidP="00854C86">
            <w:pPr>
              <w:rPr>
                <w:rFonts w:asciiTheme="majorHAnsi" w:hAnsiTheme="majorHAnsi"/>
                <w:b/>
                <w:color w:val="62B5E5" w:themeColor="accent3"/>
                <w:sz w:val="14"/>
                <w:szCs w:val="14"/>
              </w:rPr>
            </w:pPr>
            <w:r w:rsidRPr="001419A0">
              <w:rPr>
                <w:rFonts w:asciiTheme="majorHAnsi" w:hAnsiTheme="majorHAnsi"/>
                <w:sz w:val="14"/>
                <w:szCs w:val="14"/>
              </w:rPr>
              <w:t>$963,821</w:t>
            </w:r>
          </w:p>
        </w:tc>
        <w:tc>
          <w:tcPr>
            <w:tcW w:w="538" w:type="pct"/>
          </w:tcPr>
          <w:p w14:paraId="11C0E569" w14:textId="4A3D42A1" w:rsidR="00854C86" w:rsidRPr="00854C86" w:rsidRDefault="00854C86" w:rsidP="00854C86">
            <w:pPr>
              <w:rPr>
                <w:rFonts w:asciiTheme="majorHAnsi" w:hAnsiTheme="majorHAnsi"/>
                <w:b/>
                <w:color w:val="62B5E5" w:themeColor="accent3"/>
                <w:sz w:val="14"/>
                <w:szCs w:val="14"/>
              </w:rPr>
            </w:pPr>
            <w:r w:rsidRPr="00854C86">
              <w:rPr>
                <w:rFonts w:asciiTheme="majorHAnsi" w:hAnsiTheme="majorHAnsi"/>
                <w:sz w:val="14"/>
                <w:szCs w:val="14"/>
                <w:lang w:val="en-GB"/>
              </w:rPr>
              <w:t>$2,273,947</w:t>
            </w:r>
          </w:p>
        </w:tc>
        <w:tc>
          <w:tcPr>
            <w:tcW w:w="615" w:type="pct"/>
          </w:tcPr>
          <w:p w14:paraId="25E36867" w14:textId="36434E84" w:rsidR="00854C86" w:rsidRPr="00854C86" w:rsidRDefault="00854C86" w:rsidP="00854C86">
            <w:pPr>
              <w:rPr>
                <w:rFonts w:asciiTheme="majorHAnsi" w:hAnsiTheme="majorHAnsi"/>
                <w:b/>
                <w:color w:val="62B5E5" w:themeColor="accent3"/>
                <w:sz w:val="14"/>
                <w:szCs w:val="14"/>
              </w:rPr>
            </w:pPr>
            <w:r w:rsidRPr="00854C86">
              <w:rPr>
                <w:sz w:val="14"/>
                <w:szCs w:val="14"/>
                <w:lang w:val="en-GB"/>
              </w:rPr>
              <w:t>$0</w:t>
            </w:r>
          </w:p>
        </w:tc>
        <w:tc>
          <w:tcPr>
            <w:tcW w:w="768" w:type="pct"/>
          </w:tcPr>
          <w:p w14:paraId="202909EB" w14:textId="4AE6FD97" w:rsidR="00854C86" w:rsidRPr="00854C86" w:rsidRDefault="00854C86" w:rsidP="00854C86">
            <w:pPr>
              <w:rPr>
                <w:rFonts w:asciiTheme="majorHAnsi" w:hAnsiTheme="majorHAnsi"/>
                <w:b/>
                <w:color w:val="62B5E5" w:themeColor="accent3"/>
                <w:sz w:val="14"/>
                <w:szCs w:val="14"/>
              </w:rPr>
            </w:pPr>
            <w:r w:rsidRPr="00854C86">
              <w:rPr>
                <w:rFonts w:asciiTheme="majorHAnsi" w:hAnsiTheme="majorHAnsi"/>
                <w:sz w:val="14"/>
                <w:szCs w:val="14"/>
                <w:lang w:val="en-GB"/>
              </w:rPr>
              <w:t>$9,433,235</w:t>
            </w:r>
          </w:p>
        </w:tc>
        <w:tc>
          <w:tcPr>
            <w:tcW w:w="692" w:type="pct"/>
          </w:tcPr>
          <w:p w14:paraId="4AFF79A3" w14:textId="57F02274" w:rsidR="00854C86" w:rsidRPr="00854C86" w:rsidRDefault="00854C86" w:rsidP="00854C86">
            <w:pPr>
              <w:rPr>
                <w:rFonts w:asciiTheme="majorHAnsi" w:hAnsiTheme="majorHAnsi"/>
                <w:b/>
                <w:sz w:val="14"/>
                <w:szCs w:val="14"/>
              </w:rPr>
            </w:pPr>
            <w:r w:rsidRPr="00854C86">
              <w:rPr>
                <w:b/>
                <w:sz w:val="14"/>
                <w:szCs w:val="14"/>
                <w:lang w:val="en-GB"/>
              </w:rPr>
              <w:t>$13,451,414</w:t>
            </w:r>
          </w:p>
        </w:tc>
      </w:tr>
      <w:tr w:rsidR="00854C86" w14:paraId="52C94F09" w14:textId="2D3D08CB" w:rsidTr="001419A0">
        <w:trPr>
          <w:trHeight w:val="401"/>
        </w:trPr>
        <w:tc>
          <w:tcPr>
            <w:tcW w:w="926" w:type="pct"/>
          </w:tcPr>
          <w:p w14:paraId="2D65079E" w14:textId="6F388F8C" w:rsidR="00854C86" w:rsidRPr="001419A0" w:rsidRDefault="00854C86" w:rsidP="00854C86">
            <w:pPr>
              <w:rPr>
                <w:rFonts w:asciiTheme="majorHAnsi" w:hAnsiTheme="majorHAnsi"/>
                <w:b/>
                <w:color w:val="62B5E5" w:themeColor="accent3"/>
                <w:sz w:val="14"/>
                <w:szCs w:val="14"/>
              </w:rPr>
            </w:pPr>
            <w:r w:rsidRPr="001419A0">
              <w:rPr>
                <w:rFonts w:asciiTheme="majorHAnsi" w:eastAsia="Times New Roman" w:hAnsiTheme="majorHAnsi" w:cs="Times New Roman"/>
                <w:color w:val="000000"/>
                <w:sz w:val="14"/>
                <w:szCs w:val="14"/>
                <w:lang w:eastAsia="en-AU"/>
              </w:rPr>
              <w:t>Hostels</w:t>
            </w:r>
          </w:p>
        </w:tc>
        <w:tc>
          <w:tcPr>
            <w:tcW w:w="692" w:type="pct"/>
          </w:tcPr>
          <w:p w14:paraId="17E1F6E4" w14:textId="1D0D9461" w:rsidR="00854C86" w:rsidRPr="001419A0" w:rsidRDefault="00854C86" w:rsidP="00854C86">
            <w:pPr>
              <w:rPr>
                <w:rFonts w:asciiTheme="majorHAnsi" w:hAnsiTheme="majorHAnsi"/>
                <w:b/>
                <w:color w:val="62B5E5" w:themeColor="accent3"/>
                <w:sz w:val="14"/>
                <w:szCs w:val="14"/>
              </w:rPr>
            </w:pPr>
            <w:r w:rsidRPr="001419A0">
              <w:rPr>
                <w:rFonts w:asciiTheme="majorHAnsi" w:hAnsiTheme="majorHAnsi"/>
                <w:sz w:val="14"/>
                <w:szCs w:val="14"/>
              </w:rPr>
              <w:t>$115,138</w:t>
            </w:r>
          </w:p>
        </w:tc>
        <w:tc>
          <w:tcPr>
            <w:tcW w:w="769" w:type="pct"/>
          </w:tcPr>
          <w:p w14:paraId="610D6A38" w14:textId="2D0211F3" w:rsidR="00854C86" w:rsidRPr="001419A0" w:rsidRDefault="00854C86" w:rsidP="00854C86">
            <w:pPr>
              <w:rPr>
                <w:rFonts w:asciiTheme="majorHAnsi" w:hAnsiTheme="majorHAnsi"/>
                <w:b/>
                <w:color w:val="62B5E5" w:themeColor="accent3"/>
                <w:sz w:val="14"/>
                <w:szCs w:val="14"/>
              </w:rPr>
            </w:pPr>
            <w:r w:rsidRPr="001419A0">
              <w:rPr>
                <w:rFonts w:asciiTheme="majorHAnsi" w:hAnsiTheme="majorHAnsi"/>
                <w:sz w:val="14"/>
                <w:szCs w:val="14"/>
              </w:rPr>
              <w:t>$140,979</w:t>
            </w:r>
          </w:p>
        </w:tc>
        <w:tc>
          <w:tcPr>
            <w:tcW w:w="538" w:type="pct"/>
          </w:tcPr>
          <w:p w14:paraId="5AB0BEC2" w14:textId="2654FBAF" w:rsidR="00854C86" w:rsidRPr="00854C86" w:rsidRDefault="00854C86" w:rsidP="00854C86">
            <w:pPr>
              <w:rPr>
                <w:rFonts w:asciiTheme="majorHAnsi" w:hAnsiTheme="majorHAnsi"/>
                <w:b/>
                <w:color w:val="62B5E5" w:themeColor="accent3"/>
                <w:sz w:val="14"/>
                <w:szCs w:val="14"/>
              </w:rPr>
            </w:pPr>
            <w:r w:rsidRPr="00854C86">
              <w:rPr>
                <w:rFonts w:asciiTheme="majorHAnsi" w:hAnsiTheme="majorHAnsi"/>
                <w:sz w:val="14"/>
                <w:szCs w:val="14"/>
                <w:lang w:val="en-GB"/>
              </w:rPr>
              <w:t>$419,798</w:t>
            </w:r>
          </w:p>
        </w:tc>
        <w:tc>
          <w:tcPr>
            <w:tcW w:w="615" w:type="pct"/>
          </w:tcPr>
          <w:p w14:paraId="5B1A4A68" w14:textId="5BBC2122" w:rsidR="00854C86" w:rsidRPr="00854C86" w:rsidRDefault="00854C86" w:rsidP="00854C86">
            <w:pPr>
              <w:rPr>
                <w:rFonts w:asciiTheme="majorHAnsi" w:hAnsiTheme="majorHAnsi"/>
                <w:b/>
                <w:color w:val="62B5E5" w:themeColor="accent3"/>
                <w:sz w:val="14"/>
                <w:szCs w:val="14"/>
              </w:rPr>
            </w:pPr>
            <w:r w:rsidRPr="00854C86">
              <w:rPr>
                <w:sz w:val="14"/>
                <w:szCs w:val="14"/>
                <w:lang w:val="en-GB"/>
              </w:rPr>
              <w:t>$618,505</w:t>
            </w:r>
          </w:p>
        </w:tc>
        <w:tc>
          <w:tcPr>
            <w:tcW w:w="768" w:type="pct"/>
          </w:tcPr>
          <w:p w14:paraId="1AA56E05" w14:textId="2663E7C8" w:rsidR="00854C86" w:rsidRPr="00854C86" w:rsidRDefault="00854C86" w:rsidP="00854C86">
            <w:pPr>
              <w:rPr>
                <w:rFonts w:asciiTheme="majorHAnsi" w:hAnsiTheme="majorHAnsi"/>
                <w:b/>
                <w:color w:val="62B5E5" w:themeColor="accent3"/>
                <w:sz w:val="14"/>
                <w:szCs w:val="14"/>
              </w:rPr>
            </w:pPr>
            <w:r w:rsidRPr="00854C86">
              <w:rPr>
                <w:rFonts w:asciiTheme="majorHAnsi" w:hAnsiTheme="majorHAnsi"/>
                <w:sz w:val="14"/>
                <w:szCs w:val="14"/>
                <w:lang w:val="en-GB"/>
              </w:rPr>
              <w:t>$2,413,303</w:t>
            </w:r>
          </w:p>
        </w:tc>
        <w:tc>
          <w:tcPr>
            <w:tcW w:w="692" w:type="pct"/>
          </w:tcPr>
          <w:p w14:paraId="3CFB854B" w14:textId="12B05001" w:rsidR="00854C86" w:rsidRPr="00854C86" w:rsidRDefault="00854C86" w:rsidP="00854C86">
            <w:pPr>
              <w:rPr>
                <w:rFonts w:asciiTheme="majorHAnsi" w:hAnsiTheme="majorHAnsi"/>
                <w:b/>
                <w:sz w:val="14"/>
                <w:szCs w:val="14"/>
              </w:rPr>
            </w:pPr>
            <w:r w:rsidRPr="00854C86">
              <w:rPr>
                <w:b/>
                <w:sz w:val="14"/>
                <w:szCs w:val="14"/>
                <w:lang w:val="en-GB"/>
              </w:rPr>
              <w:t>$3,707,724</w:t>
            </w:r>
          </w:p>
        </w:tc>
      </w:tr>
      <w:tr w:rsidR="00854C86" w14:paraId="4008ABD1" w14:textId="273E41E0" w:rsidTr="001419A0">
        <w:trPr>
          <w:trHeight w:val="657"/>
        </w:trPr>
        <w:tc>
          <w:tcPr>
            <w:tcW w:w="926" w:type="pct"/>
          </w:tcPr>
          <w:p w14:paraId="0FE9EDAE" w14:textId="67E7E644" w:rsidR="00854C86" w:rsidRPr="001419A0" w:rsidRDefault="00854C86" w:rsidP="00854C86">
            <w:pPr>
              <w:rPr>
                <w:rFonts w:asciiTheme="majorHAnsi" w:hAnsiTheme="majorHAnsi"/>
                <w:b/>
                <w:color w:val="62B5E5" w:themeColor="accent3"/>
                <w:sz w:val="14"/>
                <w:szCs w:val="14"/>
              </w:rPr>
            </w:pPr>
            <w:r w:rsidRPr="001419A0">
              <w:rPr>
                <w:rFonts w:asciiTheme="majorHAnsi" w:eastAsia="Times New Roman" w:hAnsiTheme="majorHAnsi" w:cs="Times New Roman"/>
                <w:color w:val="000000"/>
                <w:sz w:val="14"/>
                <w:szCs w:val="14"/>
                <w:lang w:eastAsia="en-AU"/>
              </w:rPr>
              <w:t>Student Dormitories</w:t>
            </w:r>
          </w:p>
        </w:tc>
        <w:tc>
          <w:tcPr>
            <w:tcW w:w="692" w:type="pct"/>
          </w:tcPr>
          <w:p w14:paraId="1C4FE4C9" w14:textId="3C2203F8" w:rsidR="00854C86" w:rsidRPr="001419A0" w:rsidRDefault="00854C86" w:rsidP="00854C86">
            <w:pPr>
              <w:rPr>
                <w:rFonts w:asciiTheme="majorHAnsi" w:hAnsiTheme="majorHAnsi"/>
                <w:b/>
                <w:color w:val="62B5E5" w:themeColor="accent3"/>
                <w:sz w:val="14"/>
                <w:szCs w:val="14"/>
              </w:rPr>
            </w:pPr>
            <w:r w:rsidRPr="001419A0">
              <w:rPr>
                <w:rFonts w:asciiTheme="majorHAnsi" w:hAnsiTheme="majorHAnsi"/>
                <w:sz w:val="14"/>
                <w:szCs w:val="14"/>
              </w:rPr>
              <w:t>$105,780</w:t>
            </w:r>
          </w:p>
        </w:tc>
        <w:tc>
          <w:tcPr>
            <w:tcW w:w="769" w:type="pct"/>
          </w:tcPr>
          <w:p w14:paraId="275548DB" w14:textId="7FFF1EE7" w:rsidR="00854C86" w:rsidRPr="001419A0" w:rsidRDefault="00854C86" w:rsidP="00854C86">
            <w:pPr>
              <w:rPr>
                <w:rFonts w:asciiTheme="majorHAnsi" w:hAnsiTheme="majorHAnsi"/>
                <w:b/>
                <w:color w:val="62B5E5" w:themeColor="accent3"/>
                <w:sz w:val="14"/>
                <w:szCs w:val="14"/>
              </w:rPr>
            </w:pPr>
            <w:r w:rsidRPr="001419A0">
              <w:rPr>
                <w:rFonts w:asciiTheme="majorHAnsi" w:hAnsiTheme="majorHAnsi"/>
                <w:sz w:val="14"/>
                <w:szCs w:val="14"/>
              </w:rPr>
              <w:t>$131,309</w:t>
            </w:r>
          </w:p>
        </w:tc>
        <w:tc>
          <w:tcPr>
            <w:tcW w:w="538" w:type="pct"/>
          </w:tcPr>
          <w:p w14:paraId="0DD8C0AB" w14:textId="5E3C3266" w:rsidR="00854C86" w:rsidRPr="00854C86" w:rsidRDefault="00854C86" w:rsidP="00854C86">
            <w:pPr>
              <w:rPr>
                <w:rFonts w:asciiTheme="majorHAnsi" w:hAnsiTheme="majorHAnsi"/>
                <w:b/>
                <w:color w:val="62B5E5" w:themeColor="accent3"/>
                <w:sz w:val="14"/>
                <w:szCs w:val="14"/>
              </w:rPr>
            </w:pPr>
            <w:r w:rsidRPr="00854C86">
              <w:rPr>
                <w:rFonts w:asciiTheme="majorHAnsi" w:hAnsiTheme="majorHAnsi"/>
                <w:sz w:val="14"/>
                <w:szCs w:val="14"/>
                <w:lang w:val="en-GB"/>
              </w:rPr>
              <w:t>$3,379</w:t>
            </w:r>
          </w:p>
        </w:tc>
        <w:tc>
          <w:tcPr>
            <w:tcW w:w="615" w:type="pct"/>
          </w:tcPr>
          <w:p w14:paraId="11C3CA47" w14:textId="5D9AFF1F" w:rsidR="00854C86" w:rsidRPr="00854C86" w:rsidRDefault="00854C86" w:rsidP="00854C86">
            <w:pPr>
              <w:rPr>
                <w:rFonts w:asciiTheme="majorHAnsi" w:hAnsiTheme="majorHAnsi"/>
                <w:b/>
                <w:color w:val="62B5E5" w:themeColor="accent3"/>
                <w:sz w:val="14"/>
                <w:szCs w:val="14"/>
              </w:rPr>
            </w:pPr>
            <w:r w:rsidRPr="00854C86">
              <w:rPr>
                <w:sz w:val="14"/>
                <w:szCs w:val="14"/>
                <w:lang w:val="en-GB"/>
              </w:rPr>
              <w:t>$288,781</w:t>
            </w:r>
          </w:p>
        </w:tc>
        <w:tc>
          <w:tcPr>
            <w:tcW w:w="768" w:type="pct"/>
          </w:tcPr>
          <w:p w14:paraId="1F33C88E" w14:textId="386603AB" w:rsidR="00854C86" w:rsidRPr="00854C86" w:rsidRDefault="00854C86" w:rsidP="00854C86">
            <w:pPr>
              <w:rPr>
                <w:rFonts w:asciiTheme="majorHAnsi" w:hAnsiTheme="majorHAnsi"/>
                <w:b/>
                <w:color w:val="62B5E5" w:themeColor="accent3"/>
                <w:sz w:val="14"/>
                <w:szCs w:val="14"/>
              </w:rPr>
            </w:pPr>
            <w:r w:rsidRPr="00854C86">
              <w:rPr>
                <w:rFonts w:asciiTheme="majorHAnsi" w:hAnsiTheme="majorHAnsi"/>
                <w:sz w:val="14"/>
                <w:szCs w:val="14"/>
                <w:lang w:val="en-GB"/>
              </w:rPr>
              <w:t>$1,083,132</w:t>
            </w:r>
          </w:p>
        </w:tc>
        <w:tc>
          <w:tcPr>
            <w:tcW w:w="692" w:type="pct"/>
          </w:tcPr>
          <w:p w14:paraId="5166BB54" w14:textId="0262CB33" w:rsidR="00854C86" w:rsidRPr="00854C86" w:rsidRDefault="00854C86" w:rsidP="00854C86">
            <w:pPr>
              <w:rPr>
                <w:rFonts w:asciiTheme="majorHAnsi" w:hAnsiTheme="majorHAnsi"/>
                <w:b/>
                <w:sz w:val="14"/>
                <w:szCs w:val="14"/>
              </w:rPr>
            </w:pPr>
            <w:r w:rsidRPr="00854C86">
              <w:rPr>
                <w:b/>
                <w:sz w:val="14"/>
                <w:szCs w:val="14"/>
                <w:lang w:val="en-GB"/>
              </w:rPr>
              <w:t>$1,612,381</w:t>
            </w:r>
          </w:p>
        </w:tc>
      </w:tr>
      <w:tr w:rsidR="00854C86" w14:paraId="7142F279" w14:textId="6D5997C0" w:rsidTr="001419A0">
        <w:trPr>
          <w:trHeight w:val="401"/>
        </w:trPr>
        <w:tc>
          <w:tcPr>
            <w:tcW w:w="926" w:type="pct"/>
          </w:tcPr>
          <w:p w14:paraId="27B43EA1" w14:textId="4679BB02" w:rsidR="00854C86" w:rsidRPr="001419A0" w:rsidRDefault="00854C86" w:rsidP="00854C86">
            <w:pPr>
              <w:rPr>
                <w:rFonts w:asciiTheme="majorHAnsi" w:hAnsiTheme="majorHAnsi"/>
                <w:b/>
                <w:color w:val="62B5E5" w:themeColor="accent3"/>
                <w:sz w:val="14"/>
                <w:szCs w:val="14"/>
              </w:rPr>
            </w:pPr>
            <w:r w:rsidRPr="001419A0">
              <w:rPr>
                <w:rFonts w:asciiTheme="majorHAnsi" w:eastAsia="Times New Roman" w:hAnsiTheme="majorHAnsi" w:cs="Times New Roman"/>
                <w:color w:val="000000"/>
                <w:sz w:val="14"/>
                <w:szCs w:val="14"/>
                <w:lang w:eastAsia="en-AU"/>
              </w:rPr>
              <w:t>Holiday Camps</w:t>
            </w:r>
          </w:p>
        </w:tc>
        <w:tc>
          <w:tcPr>
            <w:tcW w:w="692" w:type="pct"/>
          </w:tcPr>
          <w:p w14:paraId="48D367D3" w14:textId="4E655523" w:rsidR="00854C86" w:rsidRPr="001419A0" w:rsidRDefault="00854C86" w:rsidP="00854C86">
            <w:pPr>
              <w:rPr>
                <w:rFonts w:asciiTheme="majorHAnsi" w:hAnsiTheme="majorHAnsi"/>
                <w:b/>
                <w:color w:val="62B5E5" w:themeColor="accent3"/>
                <w:sz w:val="14"/>
                <w:szCs w:val="14"/>
              </w:rPr>
            </w:pPr>
            <w:r w:rsidRPr="001419A0">
              <w:rPr>
                <w:rFonts w:asciiTheme="majorHAnsi" w:hAnsiTheme="majorHAnsi"/>
                <w:sz w:val="14"/>
                <w:szCs w:val="14"/>
              </w:rPr>
              <w:t>$160,032</w:t>
            </w:r>
          </w:p>
        </w:tc>
        <w:tc>
          <w:tcPr>
            <w:tcW w:w="769" w:type="pct"/>
          </w:tcPr>
          <w:p w14:paraId="4F7B6D4B" w14:textId="207FFC67" w:rsidR="00854C86" w:rsidRPr="001419A0" w:rsidRDefault="00854C86" w:rsidP="00854C86">
            <w:pPr>
              <w:rPr>
                <w:rFonts w:asciiTheme="majorHAnsi" w:hAnsiTheme="majorHAnsi"/>
                <w:b/>
                <w:color w:val="62B5E5" w:themeColor="accent3"/>
                <w:sz w:val="14"/>
                <w:szCs w:val="14"/>
              </w:rPr>
            </w:pPr>
            <w:r w:rsidRPr="001419A0">
              <w:rPr>
                <w:rFonts w:asciiTheme="majorHAnsi" w:hAnsiTheme="majorHAnsi"/>
                <w:sz w:val="14"/>
                <w:szCs w:val="14"/>
              </w:rPr>
              <w:t>$193,635</w:t>
            </w:r>
          </w:p>
        </w:tc>
        <w:tc>
          <w:tcPr>
            <w:tcW w:w="538" w:type="pct"/>
          </w:tcPr>
          <w:p w14:paraId="4D1CB9E6" w14:textId="3B6FCD59" w:rsidR="00854C86" w:rsidRPr="00854C86" w:rsidRDefault="00854C86" w:rsidP="00854C86">
            <w:pPr>
              <w:rPr>
                <w:rFonts w:asciiTheme="majorHAnsi" w:hAnsiTheme="majorHAnsi"/>
                <w:b/>
                <w:color w:val="62B5E5" w:themeColor="accent3"/>
                <w:sz w:val="14"/>
                <w:szCs w:val="14"/>
              </w:rPr>
            </w:pPr>
            <w:r w:rsidRPr="00854C86">
              <w:rPr>
                <w:rFonts w:asciiTheme="majorHAnsi" w:hAnsiTheme="majorHAnsi"/>
                <w:sz w:val="14"/>
                <w:szCs w:val="14"/>
                <w:lang w:val="en-GB"/>
              </w:rPr>
              <w:t>$192,566</w:t>
            </w:r>
          </w:p>
        </w:tc>
        <w:tc>
          <w:tcPr>
            <w:tcW w:w="615" w:type="pct"/>
          </w:tcPr>
          <w:p w14:paraId="78D056BE" w14:textId="7E0BB7D6" w:rsidR="00854C86" w:rsidRPr="00854C86" w:rsidRDefault="00854C86" w:rsidP="00854C86">
            <w:pPr>
              <w:rPr>
                <w:rFonts w:asciiTheme="majorHAnsi" w:hAnsiTheme="majorHAnsi"/>
                <w:b/>
                <w:color w:val="62B5E5" w:themeColor="accent3"/>
                <w:sz w:val="14"/>
                <w:szCs w:val="14"/>
              </w:rPr>
            </w:pPr>
            <w:r w:rsidRPr="00854C86">
              <w:rPr>
                <w:sz w:val="14"/>
                <w:szCs w:val="14"/>
                <w:lang w:val="en-GB"/>
              </w:rPr>
              <w:t>$424,424</w:t>
            </w:r>
          </w:p>
        </w:tc>
        <w:tc>
          <w:tcPr>
            <w:tcW w:w="768" w:type="pct"/>
          </w:tcPr>
          <w:p w14:paraId="6B9CAB4F" w14:textId="4F2DAB36" w:rsidR="00854C86" w:rsidRPr="00854C86" w:rsidRDefault="00854C86" w:rsidP="00854C86">
            <w:pPr>
              <w:rPr>
                <w:rFonts w:asciiTheme="majorHAnsi" w:hAnsiTheme="majorHAnsi"/>
                <w:b/>
                <w:color w:val="62B5E5" w:themeColor="accent3"/>
                <w:sz w:val="14"/>
                <w:szCs w:val="14"/>
              </w:rPr>
            </w:pPr>
            <w:r w:rsidRPr="00854C86">
              <w:rPr>
                <w:rFonts w:asciiTheme="majorHAnsi" w:hAnsiTheme="majorHAnsi"/>
                <w:sz w:val="14"/>
                <w:szCs w:val="14"/>
                <w:lang w:val="en-GB"/>
              </w:rPr>
              <w:t>$10,858,832</w:t>
            </w:r>
          </w:p>
        </w:tc>
        <w:tc>
          <w:tcPr>
            <w:tcW w:w="692" w:type="pct"/>
          </w:tcPr>
          <w:p w14:paraId="70AA922F" w14:textId="078E282B" w:rsidR="00854C86" w:rsidRPr="00854C86" w:rsidRDefault="00854C86" w:rsidP="00854C86">
            <w:pPr>
              <w:rPr>
                <w:rFonts w:asciiTheme="majorHAnsi" w:hAnsiTheme="majorHAnsi"/>
                <w:b/>
                <w:sz w:val="14"/>
                <w:szCs w:val="14"/>
              </w:rPr>
            </w:pPr>
            <w:r w:rsidRPr="00854C86">
              <w:rPr>
                <w:b/>
                <w:sz w:val="14"/>
                <w:szCs w:val="14"/>
                <w:lang w:val="en-GB"/>
              </w:rPr>
              <w:t>$11,829,489</w:t>
            </w:r>
          </w:p>
        </w:tc>
      </w:tr>
      <w:tr w:rsidR="00854C86" w14:paraId="4AB4855B" w14:textId="75E559C4" w:rsidTr="001419A0">
        <w:trPr>
          <w:trHeight w:val="414"/>
        </w:trPr>
        <w:tc>
          <w:tcPr>
            <w:tcW w:w="926" w:type="pct"/>
          </w:tcPr>
          <w:p w14:paraId="305D1095" w14:textId="470822AE" w:rsidR="00854C86" w:rsidRPr="001419A0" w:rsidRDefault="00854C86" w:rsidP="00854C86">
            <w:pPr>
              <w:rPr>
                <w:rFonts w:asciiTheme="majorHAnsi" w:hAnsiTheme="majorHAnsi"/>
                <w:b/>
                <w:color w:val="62B5E5" w:themeColor="accent3"/>
                <w:sz w:val="14"/>
                <w:szCs w:val="14"/>
              </w:rPr>
            </w:pPr>
            <w:r w:rsidRPr="001419A0">
              <w:rPr>
                <w:rFonts w:asciiTheme="majorHAnsi" w:eastAsia="Times New Roman" w:hAnsiTheme="majorHAnsi" w:cs="Times New Roman"/>
                <w:color w:val="000000"/>
                <w:sz w:val="14"/>
                <w:szCs w:val="14"/>
                <w:lang w:eastAsia="en-AU"/>
              </w:rPr>
              <w:t>Rooming Houses</w:t>
            </w:r>
          </w:p>
        </w:tc>
        <w:tc>
          <w:tcPr>
            <w:tcW w:w="692" w:type="pct"/>
          </w:tcPr>
          <w:p w14:paraId="7D51EB15" w14:textId="5ACC33E9" w:rsidR="00854C86" w:rsidRPr="001419A0" w:rsidRDefault="00854C86" w:rsidP="00854C86">
            <w:pPr>
              <w:rPr>
                <w:rFonts w:asciiTheme="majorHAnsi" w:hAnsiTheme="majorHAnsi"/>
                <w:b/>
                <w:color w:val="62B5E5" w:themeColor="accent3"/>
                <w:sz w:val="14"/>
                <w:szCs w:val="14"/>
              </w:rPr>
            </w:pPr>
            <w:r w:rsidRPr="001419A0">
              <w:rPr>
                <w:rFonts w:asciiTheme="majorHAnsi" w:hAnsiTheme="majorHAnsi"/>
                <w:sz w:val="14"/>
                <w:szCs w:val="14"/>
              </w:rPr>
              <w:t>$869,446</w:t>
            </w:r>
          </w:p>
        </w:tc>
        <w:tc>
          <w:tcPr>
            <w:tcW w:w="769" w:type="pct"/>
          </w:tcPr>
          <w:p w14:paraId="4BCD3BD3" w14:textId="66F04CFB" w:rsidR="00854C86" w:rsidRPr="001419A0" w:rsidRDefault="00854C86" w:rsidP="00854C86">
            <w:pPr>
              <w:rPr>
                <w:rFonts w:asciiTheme="majorHAnsi" w:hAnsiTheme="majorHAnsi"/>
                <w:b/>
                <w:color w:val="62B5E5" w:themeColor="accent3"/>
                <w:sz w:val="14"/>
                <w:szCs w:val="14"/>
              </w:rPr>
            </w:pPr>
            <w:r w:rsidRPr="001419A0">
              <w:rPr>
                <w:rFonts w:asciiTheme="majorHAnsi" w:hAnsiTheme="majorHAnsi"/>
                <w:sz w:val="14"/>
                <w:szCs w:val="14"/>
              </w:rPr>
              <w:t>$1,087,801</w:t>
            </w:r>
          </w:p>
        </w:tc>
        <w:tc>
          <w:tcPr>
            <w:tcW w:w="538" w:type="pct"/>
          </w:tcPr>
          <w:p w14:paraId="1B7CE698" w14:textId="01245B38" w:rsidR="00854C86" w:rsidRPr="00854C86" w:rsidRDefault="00854C86" w:rsidP="00854C86">
            <w:pPr>
              <w:rPr>
                <w:rFonts w:asciiTheme="majorHAnsi" w:hAnsiTheme="majorHAnsi"/>
                <w:b/>
                <w:color w:val="62B5E5" w:themeColor="accent3"/>
                <w:sz w:val="14"/>
                <w:szCs w:val="14"/>
              </w:rPr>
            </w:pPr>
            <w:r w:rsidRPr="00854C86">
              <w:rPr>
                <w:rFonts w:asciiTheme="majorHAnsi" w:hAnsiTheme="majorHAnsi"/>
                <w:sz w:val="14"/>
                <w:szCs w:val="14"/>
                <w:lang w:val="en-GB"/>
              </w:rPr>
              <w:t>$118,634</w:t>
            </w:r>
          </w:p>
        </w:tc>
        <w:tc>
          <w:tcPr>
            <w:tcW w:w="615" w:type="pct"/>
          </w:tcPr>
          <w:p w14:paraId="5FB076DF" w14:textId="320EB997" w:rsidR="00854C86" w:rsidRPr="00854C86" w:rsidRDefault="00854C86" w:rsidP="00854C86">
            <w:pPr>
              <w:rPr>
                <w:rFonts w:asciiTheme="majorHAnsi" w:hAnsiTheme="majorHAnsi"/>
                <w:b/>
                <w:color w:val="62B5E5" w:themeColor="accent3"/>
                <w:sz w:val="14"/>
                <w:szCs w:val="14"/>
              </w:rPr>
            </w:pPr>
            <w:r w:rsidRPr="00854C86">
              <w:rPr>
                <w:sz w:val="14"/>
                <w:szCs w:val="14"/>
                <w:lang w:val="en-GB"/>
              </w:rPr>
              <w:t>$4,795,894</w:t>
            </w:r>
          </w:p>
        </w:tc>
        <w:tc>
          <w:tcPr>
            <w:tcW w:w="768" w:type="pct"/>
          </w:tcPr>
          <w:p w14:paraId="0FCD2F71" w14:textId="69CD4510" w:rsidR="00854C86" w:rsidRPr="00854C86" w:rsidRDefault="00854C86" w:rsidP="00854C86">
            <w:pPr>
              <w:rPr>
                <w:rFonts w:asciiTheme="majorHAnsi" w:hAnsiTheme="majorHAnsi"/>
                <w:b/>
                <w:color w:val="62B5E5" w:themeColor="accent3"/>
                <w:sz w:val="14"/>
                <w:szCs w:val="14"/>
              </w:rPr>
            </w:pPr>
            <w:r w:rsidRPr="00854C86">
              <w:rPr>
                <w:rFonts w:asciiTheme="majorHAnsi" w:hAnsiTheme="majorHAnsi"/>
                <w:sz w:val="14"/>
                <w:szCs w:val="14"/>
                <w:lang w:val="en-GB"/>
              </w:rPr>
              <w:t>$7,025,148</w:t>
            </w:r>
          </w:p>
        </w:tc>
        <w:tc>
          <w:tcPr>
            <w:tcW w:w="692" w:type="pct"/>
          </w:tcPr>
          <w:p w14:paraId="57304403" w14:textId="51AC28B6" w:rsidR="00854C86" w:rsidRPr="00854C86" w:rsidRDefault="00854C86" w:rsidP="00854C86">
            <w:pPr>
              <w:rPr>
                <w:rFonts w:asciiTheme="majorHAnsi" w:hAnsiTheme="majorHAnsi"/>
                <w:b/>
                <w:sz w:val="14"/>
                <w:szCs w:val="14"/>
              </w:rPr>
            </w:pPr>
            <w:r w:rsidRPr="00854C86">
              <w:rPr>
                <w:b/>
                <w:sz w:val="14"/>
                <w:szCs w:val="14"/>
                <w:lang w:val="en-GB"/>
              </w:rPr>
              <w:t>$13,896,924</w:t>
            </w:r>
          </w:p>
        </w:tc>
      </w:tr>
    </w:tbl>
    <w:p w14:paraId="0A52F86A" w14:textId="77777777" w:rsidR="00DC326E" w:rsidRDefault="00DC326E" w:rsidP="006E5CCD"/>
    <w:p w14:paraId="3A144E8C" w14:textId="6AFAF288" w:rsidR="00DC326E" w:rsidRDefault="00DC326E" w:rsidP="00DC326E">
      <w:pPr>
        <w:pStyle w:val="Heading1un-numbered"/>
      </w:pPr>
      <w:bookmarkStart w:id="233" w:name="_Toc49460315"/>
      <w:r>
        <w:t xml:space="preserve">Appendix </w:t>
      </w:r>
      <w:r w:rsidR="00960479">
        <w:t>F</w:t>
      </w:r>
      <w:r>
        <w:t>: Sensitivity analysis</w:t>
      </w:r>
      <w:bookmarkEnd w:id="233"/>
    </w:p>
    <w:p w14:paraId="11F2DB50" w14:textId="286913A1" w:rsidR="00B439A5" w:rsidRDefault="008242AE">
      <w:r>
        <w:t>Given the uncertainty associated with some of the cost estimates outlined in Chapter 4, sensitivity analysis has been undertaken</w:t>
      </w:r>
      <w:r w:rsidR="0066138E">
        <w:t xml:space="preserve"> on</w:t>
      </w:r>
      <w:r w:rsidR="00693E25">
        <w:t>:</w:t>
      </w:r>
    </w:p>
    <w:p w14:paraId="0D8E7DDE" w14:textId="6A0C6C7B" w:rsidR="00693E25" w:rsidRDefault="00B439A5" w:rsidP="00B439A5">
      <w:pPr>
        <w:pStyle w:val="ListParagraph"/>
        <w:numPr>
          <w:ilvl w:val="0"/>
          <w:numId w:val="164"/>
        </w:numPr>
      </w:pPr>
      <w:r>
        <w:t>M</w:t>
      </w:r>
      <w:r w:rsidR="0066138E">
        <w:t>aintenance costs incurred by proprietors</w:t>
      </w:r>
      <w:r w:rsidR="00693E25">
        <w:t xml:space="preserve"> – this cost </w:t>
      </w:r>
      <w:r w:rsidR="0066138E">
        <w:t xml:space="preserve">accounts for more than half of the </w:t>
      </w:r>
      <w:r w:rsidR="00693E25">
        <w:t xml:space="preserve">estimated </w:t>
      </w:r>
      <w:r w:rsidR="0066138E">
        <w:t>costs incurred by businesses</w:t>
      </w:r>
      <w:r w:rsidR="00693E25">
        <w:t>.</w:t>
      </w:r>
    </w:p>
    <w:p w14:paraId="32A41064" w14:textId="292B55F0" w:rsidR="0066138E" w:rsidRDefault="00B439A5" w:rsidP="001B35DC">
      <w:pPr>
        <w:pStyle w:val="ListParagraph"/>
        <w:numPr>
          <w:ilvl w:val="0"/>
          <w:numId w:val="164"/>
        </w:numPr>
      </w:pPr>
      <w:r>
        <w:t>T</w:t>
      </w:r>
      <w:r w:rsidR="0066138E">
        <w:t xml:space="preserve">he number of prescribed accommodation facilities and </w:t>
      </w:r>
      <w:r w:rsidR="00693E25">
        <w:t>level of occupancy</w:t>
      </w:r>
      <w:r w:rsidR="0066138E">
        <w:t xml:space="preserve"> given </w:t>
      </w:r>
      <w:r w:rsidR="00693E25">
        <w:t xml:space="preserve">this is a significant driver of costs and given </w:t>
      </w:r>
      <w:r w:rsidR="0066138E">
        <w:t xml:space="preserve">the uncertainty in the accommodation sector </w:t>
      </w:r>
      <w:r w:rsidR="00693E25">
        <w:t>as a result of</w:t>
      </w:r>
      <w:r w:rsidR="0066138E">
        <w:t xml:space="preserve"> </w:t>
      </w:r>
      <w:r w:rsidR="009B1AF6">
        <w:t>coronavirus (</w:t>
      </w:r>
      <w:r w:rsidR="00AE22C5">
        <w:t>COVID-19</w:t>
      </w:r>
      <w:r w:rsidR="009B1AF6">
        <w:t>)</w:t>
      </w:r>
      <w:r w:rsidR="0066138E">
        <w:t xml:space="preserve">. </w:t>
      </w:r>
    </w:p>
    <w:p w14:paraId="39052CE9" w14:textId="7BA617F5" w:rsidR="008242AE" w:rsidRDefault="00EF2AB7">
      <w:r>
        <w:t xml:space="preserve">The sensitivity analysis demonstrates that </w:t>
      </w:r>
      <w:r w:rsidR="00B439A5">
        <w:t xml:space="preserve">variation of these key </w:t>
      </w:r>
      <w:r>
        <w:t>assumptions</w:t>
      </w:r>
      <w:r w:rsidR="00B439A5">
        <w:t xml:space="preserve"> does impact the preferred option finding</w:t>
      </w:r>
      <w:r w:rsidR="00FA0E24">
        <w:t xml:space="preserve"> when cost assumptions are varied upwards. However these </w:t>
      </w:r>
      <w:r w:rsidR="000735C3">
        <w:t xml:space="preserve">higher cost scenarios are considered extremely unlikely because some costs used in this RIS are already considered to be upper bound estimates and </w:t>
      </w:r>
      <w:r w:rsidR="00242B07">
        <w:t xml:space="preserve">these </w:t>
      </w:r>
      <w:r w:rsidR="00112AF4">
        <w:t xml:space="preserve">higher cost scenarios </w:t>
      </w:r>
      <w:r w:rsidR="00CC65FD">
        <w:t xml:space="preserve">have </w:t>
      </w:r>
      <w:r w:rsidR="000735C3">
        <w:t xml:space="preserve">only </w:t>
      </w:r>
      <w:r w:rsidR="00112AF4">
        <w:t xml:space="preserve">been </w:t>
      </w:r>
      <w:r w:rsidR="000735C3">
        <w:t xml:space="preserve">conducted for completeness. </w:t>
      </w:r>
      <w:r w:rsidR="00CC65FD">
        <w:t>It is considered more likely that total costs will be lower than estimated</w:t>
      </w:r>
      <w:r w:rsidR="00FF3190">
        <w:t xml:space="preserve"> because of the upper bound estimates used and because of the potential impact of </w:t>
      </w:r>
      <w:r w:rsidR="009B1AF6">
        <w:t>coronavirus (</w:t>
      </w:r>
      <w:r w:rsidR="00FF3190">
        <w:t>COVID-19</w:t>
      </w:r>
      <w:r w:rsidR="009B1AF6">
        <w:t>)</w:t>
      </w:r>
      <w:r w:rsidR="00FF3190">
        <w:t xml:space="preserve"> on accommodation </w:t>
      </w:r>
      <w:r w:rsidR="006A7D64">
        <w:t>forecasts.</w:t>
      </w:r>
    </w:p>
    <w:p w14:paraId="1098F9F2" w14:textId="77777777" w:rsidR="00492F54" w:rsidRDefault="007D289D" w:rsidP="001B35DC">
      <w:pPr>
        <w:spacing w:after="0"/>
      </w:pPr>
      <w:r w:rsidRPr="004F7031">
        <w:t xml:space="preserve">It is noted that generally, where costs </w:t>
      </w:r>
      <w:r w:rsidR="004F7F49" w:rsidRPr="004F7031">
        <w:t>are decreased,</w:t>
      </w:r>
      <w:r w:rsidRPr="004F7031">
        <w:t xml:space="preserve"> expected benefits are </w:t>
      </w:r>
      <w:r w:rsidR="004F7F49" w:rsidRPr="004F7031">
        <w:t xml:space="preserve">also </w:t>
      </w:r>
      <w:r w:rsidRPr="004F7031">
        <w:t>likely to</w:t>
      </w:r>
      <w:r w:rsidR="004F7F49">
        <w:t xml:space="preserve"> be decreased. This is because </w:t>
      </w:r>
      <w:r w:rsidR="00704B3D">
        <w:t>lower</w:t>
      </w:r>
      <w:r w:rsidR="004F7F49">
        <w:t xml:space="preserve"> </w:t>
      </w:r>
      <w:r w:rsidR="00704B3D">
        <w:t xml:space="preserve">expenditure on requirements such as maintenance is likely to reduce the increase </w:t>
      </w:r>
      <w:r w:rsidR="004F7031">
        <w:t>in health and wellbeing standards as a result of the Regulations.</w:t>
      </w:r>
      <w:r w:rsidR="00704B3D">
        <w:t xml:space="preserve"> </w:t>
      </w:r>
    </w:p>
    <w:p w14:paraId="022F0B18" w14:textId="77777777" w:rsidR="00492F54" w:rsidRDefault="00492F54" w:rsidP="001B35DC">
      <w:pPr>
        <w:spacing w:after="0"/>
      </w:pPr>
    </w:p>
    <w:p w14:paraId="43A5F1A2" w14:textId="57B97E4C" w:rsidR="00045322" w:rsidRPr="00404DAF" w:rsidRDefault="00404DAF" w:rsidP="001B35DC">
      <w:pPr>
        <w:spacing w:after="0"/>
        <w:rPr>
          <w:b/>
        </w:rPr>
      </w:pPr>
      <w:r>
        <w:rPr>
          <w:b/>
        </w:rPr>
        <w:t>Varying maintenance costs</w:t>
      </w:r>
    </w:p>
    <w:p w14:paraId="49F48D40" w14:textId="2926D6D2" w:rsidR="008242AE" w:rsidRDefault="008242AE" w:rsidP="00045322">
      <w:r>
        <w:t>This sensitivity test</w:t>
      </w:r>
      <w:r w:rsidR="0012092A">
        <w:t xml:space="preserve"> demonstrates the impact on </w:t>
      </w:r>
      <w:r w:rsidR="00A633EA">
        <w:t>costs of</w:t>
      </w:r>
      <w:r w:rsidR="0012092A">
        <w:t xml:space="preserve"> vary</w:t>
      </w:r>
      <w:r w:rsidR="00A633EA">
        <w:t>ing</w:t>
      </w:r>
      <w:r w:rsidR="0012092A">
        <w:t xml:space="preserve"> the assumption regarding the </w:t>
      </w:r>
      <w:r w:rsidR="00693E25">
        <w:t>extent to which businesses undertake maintenance</w:t>
      </w:r>
      <w:r w:rsidR="0012092A">
        <w:t xml:space="preserve"> under the Base Case. </w:t>
      </w:r>
      <w:r w:rsidR="00693E25">
        <w:t>This</w:t>
      </w:r>
      <w:r w:rsidR="005C214F">
        <w:t xml:space="preserve"> assumption</w:t>
      </w:r>
      <w:r w:rsidR="00693E25">
        <w:t xml:space="preserve"> impacts how much maintenance cost is estimated under Option 1.</w:t>
      </w:r>
    </w:p>
    <w:p w14:paraId="7CF226DA" w14:textId="0ED37A44" w:rsidR="00045322" w:rsidRDefault="007A68A7" w:rsidP="00DF000A">
      <w:pPr>
        <w:rPr>
          <w:color w:val="000000" w:themeColor="text1"/>
        </w:rPr>
      </w:pPr>
      <w:r>
        <w:t>The analysis in Chapter 4 assumes the c</w:t>
      </w:r>
      <w:r w:rsidR="00045322">
        <w:t xml:space="preserve">ost of maintenance under Option 1 is </w:t>
      </w:r>
      <w:r w:rsidR="00045322" w:rsidRPr="00946336">
        <w:rPr>
          <w:color w:val="000000" w:themeColor="text1"/>
        </w:rPr>
        <w:t xml:space="preserve">$3,570 p.a. for </w:t>
      </w:r>
      <w:r w:rsidR="00946336">
        <w:rPr>
          <w:color w:val="000000" w:themeColor="text1"/>
        </w:rPr>
        <w:t>each</w:t>
      </w:r>
      <w:r w:rsidR="00045322" w:rsidRPr="00946336">
        <w:rPr>
          <w:color w:val="000000" w:themeColor="text1"/>
        </w:rPr>
        <w:t xml:space="preserve"> rooming house</w:t>
      </w:r>
      <w:r w:rsidR="00946336" w:rsidRPr="00946336">
        <w:rPr>
          <w:color w:val="000000" w:themeColor="text1"/>
        </w:rPr>
        <w:t xml:space="preserve"> and residential accommodation</w:t>
      </w:r>
      <w:r w:rsidR="00A33449">
        <w:rPr>
          <w:color w:val="000000" w:themeColor="text1"/>
        </w:rPr>
        <w:t xml:space="preserve"> premises</w:t>
      </w:r>
      <w:r w:rsidR="00946336" w:rsidRPr="00946336">
        <w:rPr>
          <w:color w:val="000000" w:themeColor="text1"/>
        </w:rPr>
        <w:t>; $</w:t>
      </w:r>
      <w:r w:rsidR="00045322" w:rsidRPr="00946336">
        <w:rPr>
          <w:color w:val="000000" w:themeColor="text1"/>
        </w:rPr>
        <w:t xml:space="preserve">8,924 p.a. for </w:t>
      </w:r>
      <w:r w:rsidR="00946336">
        <w:rPr>
          <w:color w:val="000000" w:themeColor="text1"/>
        </w:rPr>
        <w:t>each</w:t>
      </w:r>
      <w:r w:rsidR="00045322" w:rsidRPr="00946336">
        <w:rPr>
          <w:color w:val="000000" w:themeColor="text1"/>
        </w:rPr>
        <w:t xml:space="preserve"> hostel and student dormitor</w:t>
      </w:r>
      <w:r w:rsidR="00946336">
        <w:rPr>
          <w:color w:val="000000" w:themeColor="text1"/>
        </w:rPr>
        <w:t xml:space="preserve">y; </w:t>
      </w:r>
      <w:r w:rsidR="00946336" w:rsidRPr="003D5D1B">
        <w:rPr>
          <w:color w:val="000000" w:themeColor="text1"/>
        </w:rPr>
        <w:t>$78,323</w:t>
      </w:r>
      <w:r w:rsidR="00946336">
        <w:rPr>
          <w:color w:val="000000" w:themeColor="text1"/>
        </w:rPr>
        <w:t xml:space="preserve"> p.a. for each hotel/motel; and </w:t>
      </w:r>
      <w:r w:rsidR="00946336" w:rsidRPr="003D5D1B">
        <w:rPr>
          <w:color w:val="000000" w:themeColor="text1"/>
        </w:rPr>
        <w:t>$56,669</w:t>
      </w:r>
      <w:r w:rsidR="00946336">
        <w:rPr>
          <w:color w:val="000000" w:themeColor="text1"/>
        </w:rPr>
        <w:t xml:space="preserve"> for </w:t>
      </w:r>
      <w:r w:rsidR="00646158">
        <w:rPr>
          <w:color w:val="000000" w:themeColor="text1"/>
        </w:rPr>
        <w:t xml:space="preserve">each </w:t>
      </w:r>
      <w:r w:rsidR="00946336">
        <w:rPr>
          <w:color w:val="000000" w:themeColor="text1"/>
        </w:rPr>
        <w:t>holiday camp</w:t>
      </w:r>
      <w:r w:rsidR="0012092A">
        <w:rPr>
          <w:color w:val="000000" w:themeColor="text1"/>
        </w:rPr>
        <w:t xml:space="preserve">. </w:t>
      </w:r>
    </w:p>
    <w:p w14:paraId="33DDDD62" w14:textId="76681840" w:rsidR="0012092A" w:rsidRPr="00DF000A" w:rsidRDefault="00D35EBF" w:rsidP="00DF000A">
      <w:pPr>
        <w:rPr>
          <w:color w:val="000000" w:themeColor="text1"/>
        </w:rPr>
      </w:pPr>
      <w:r>
        <w:t>This</w:t>
      </w:r>
      <w:r w:rsidR="0012092A" w:rsidRPr="00DF000A" w:rsidDel="00D35EBF">
        <w:rPr>
          <w:color w:val="000000" w:themeColor="text1"/>
        </w:rPr>
        <w:t xml:space="preserve"> </w:t>
      </w:r>
      <w:r w:rsidR="0012092A" w:rsidRPr="00DF000A">
        <w:rPr>
          <w:color w:val="000000" w:themeColor="text1"/>
        </w:rPr>
        <w:t xml:space="preserve">test examines the impact </w:t>
      </w:r>
      <w:r w:rsidR="00D43BE6">
        <w:rPr>
          <w:color w:val="000000" w:themeColor="text1"/>
        </w:rPr>
        <w:t xml:space="preserve">on costs and scoring </w:t>
      </w:r>
      <w:r w:rsidR="0012092A" w:rsidRPr="00DF000A">
        <w:rPr>
          <w:color w:val="000000" w:themeColor="text1"/>
        </w:rPr>
        <w:t>of</w:t>
      </w:r>
      <w:r w:rsidR="003D3AB4" w:rsidRPr="00DF000A">
        <w:rPr>
          <w:color w:val="000000" w:themeColor="text1"/>
        </w:rPr>
        <w:t xml:space="preserve"> </w:t>
      </w:r>
      <w:r w:rsidR="00D43BE6">
        <w:rPr>
          <w:color w:val="000000" w:themeColor="text1"/>
        </w:rPr>
        <w:t xml:space="preserve">two scenarios: </w:t>
      </w:r>
      <w:r w:rsidR="005D32D0" w:rsidRPr="00DF000A">
        <w:rPr>
          <w:color w:val="000000" w:themeColor="text1"/>
        </w:rPr>
        <w:t xml:space="preserve">(1) </w:t>
      </w:r>
      <w:r w:rsidR="003D3AB4" w:rsidRPr="00DF000A">
        <w:rPr>
          <w:color w:val="000000" w:themeColor="text1"/>
        </w:rPr>
        <w:t xml:space="preserve">halving and </w:t>
      </w:r>
      <w:r w:rsidR="005D32D0" w:rsidRPr="00DF000A">
        <w:rPr>
          <w:color w:val="000000" w:themeColor="text1"/>
        </w:rPr>
        <w:t xml:space="preserve">(2) </w:t>
      </w:r>
      <w:r w:rsidR="0012092A" w:rsidRPr="00DF000A">
        <w:rPr>
          <w:color w:val="000000" w:themeColor="text1"/>
        </w:rPr>
        <w:t xml:space="preserve">doubling the </w:t>
      </w:r>
      <w:r w:rsidR="003248E8" w:rsidRPr="00DF000A">
        <w:rPr>
          <w:color w:val="000000" w:themeColor="text1"/>
        </w:rPr>
        <w:t xml:space="preserve">assumed </w:t>
      </w:r>
      <w:r w:rsidR="00F82601" w:rsidRPr="00DF000A">
        <w:rPr>
          <w:color w:val="000000" w:themeColor="text1"/>
        </w:rPr>
        <w:t>prop</w:t>
      </w:r>
      <w:r w:rsidR="00C45933" w:rsidRPr="00DF000A">
        <w:rPr>
          <w:color w:val="000000" w:themeColor="text1"/>
        </w:rPr>
        <w:t>ortion</w:t>
      </w:r>
      <w:r w:rsidR="00F82601" w:rsidRPr="00DF000A">
        <w:rPr>
          <w:color w:val="000000" w:themeColor="text1"/>
        </w:rPr>
        <w:t xml:space="preserve"> of businesses that </w:t>
      </w:r>
      <w:r w:rsidR="006C5CE8">
        <w:rPr>
          <w:color w:val="000000" w:themeColor="text1"/>
        </w:rPr>
        <w:t>would</w:t>
      </w:r>
      <w:r w:rsidR="00127444" w:rsidRPr="00DF000A">
        <w:rPr>
          <w:color w:val="000000" w:themeColor="text1"/>
        </w:rPr>
        <w:t xml:space="preserve"> not </w:t>
      </w:r>
      <w:r w:rsidR="00F82601" w:rsidRPr="00DF000A">
        <w:rPr>
          <w:color w:val="000000" w:themeColor="text1"/>
        </w:rPr>
        <w:t>undertake adequate maintenance</w:t>
      </w:r>
      <w:r w:rsidR="0012092A" w:rsidRPr="00DF000A">
        <w:rPr>
          <w:color w:val="000000" w:themeColor="text1"/>
        </w:rPr>
        <w:t xml:space="preserve"> under the Base Case</w:t>
      </w:r>
      <w:r w:rsidR="00F82601" w:rsidRPr="00DF000A">
        <w:rPr>
          <w:color w:val="000000" w:themeColor="text1"/>
        </w:rPr>
        <w:t>,</w:t>
      </w:r>
      <w:r w:rsidR="0012092A" w:rsidRPr="00DF000A">
        <w:rPr>
          <w:color w:val="000000" w:themeColor="text1"/>
        </w:rPr>
        <w:t xml:space="preserve"> as illustrated in </w:t>
      </w:r>
      <w:r w:rsidR="00561C60" w:rsidRPr="00DF000A">
        <w:rPr>
          <w:color w:val="000000" w:themeColor="text1"/>
        </w:rPr>
        <w:t>Table F.1.</w:t>
      </w:r>
    </w:p>
    <w:p w14:paraId="7D4C9035" w14:textId="6157E083" w:rsidR="003D3AB4" w:rsidRPr="00642F3E" w:rsidRDefault="003D3AB4" w:rsidP="003D3AB4">
      <w:pPr>
        <w:pStyle w:val="CaptionChart"/>
        <w:rPr>
          <w:b/>
        </w:rPr>
      </w:pPr>
      <w:r w:rsidRPr="000A704B">
        <w:rPr>
          <w:color w:val="000000" w:themeColor="text1"/>
        </w:rPr>
        <w:t>Table F.1: Sensitivity test – increasing maintenance costs</w:t>
      </w:r>
    </w:p>
    <w:tbl>
      <w:tblPr>
        <w:tblStyle w:val="Deloittetable"/>
        <w:tblW w:w="5000" w:type="pct"/>
        <w:tblLook w:val="04A0" w:firstRow="1" w:lastRow="0" w:firstColumn="1" w:lastColumn="0" w:noHBand="0" w:noVBand="1"/>
      </w:tblPr>
      <w:tblGrid>
        <w:gridCol w:w="2721"/>
        <w:gridCol w:w="3314"/>
        <w:gridCol w:w="1650"/>
        <w:gridCol w:w="1341"/>
      </w:tblGrid>
      <w:tr w:rsidR="003D3AB4" w14:paraId="2B344299" w14:textId="77777777" w:rsidTr="00DF000A">
        <w:trPr>
          <w:cnfStyle w:val="100000000000" w:firstRow="1" w:lastRow="0" w:firstColumn="0" w:lastColumn="0" w:oddVBand="0" w:evenVBand="0" w:oddHBand="0" w:evenHBand="0" w:firstRowFirstColumn="0" w:firstRowLastColumn="0" w:lastRowFirstColumn="0" w:lastRowLastColumn="0"/>
          <w:trHeight w:val="280"/>
        </w:trPr>
        <w:tc>
          <w:tcPr>
            <w:tcW w:w="1507" w:type="pct"/>
          </w:tcPr>
          <w:p w14:paraId="05535FE2" w14:textId="77777777" w:rsidR="00127444" w:rsidRPr="001419A0" w:rsidRDefault="003D3AB4" w:rsidP="00DF000A">
            <w:pPr>
              <w:spacing w:after="0"/>
              <w:rPr>
                <w:rFonts w:asciiTheme="majorHAnsi" w:hAnsiTheme="majorHAnsi"/>
                <w:b/>
                <w:sz w:val="14"/>
                <w:szCs w:val="14"/>
              </w:rPr>
            </w:pPr>
            <w:r w:rsidRPr="001419A0">
              <w:rPr>
                <w:rFonts w:asciiTheme="majorHAnsi" w:hAnsiTheme="majorHAnsi"/>
                <w:b/>
                <w:sz w:val="14"/>
                <w:szCs w:val="14"/>
              </w:rPr>
              <w:t xml:space="preserve">Type of </w:t>
            </w:r>
          </w:p>
          <w:p w14:paraId="7D454859" w14:textId="3E635F7F" w:rsidR="003D3AB4" w:rsidRPr="001419A0" w:rsidRDefault="003D3AB4" w:rsidP="00DF000A">
            <w:pPr>
              <w:spacing w:after="0"/>
              <w:rPr>
                <w:rFonts w:asciiTheme="majorHAnsi" w:hAnsiTheme="majorHAnsi"/>
                <w:b/>
                <w:sz w:val="14"/>
                <w:szCs w:val="14"/>
              </w:rPr>
            </w:pPr>
            <w:r w:rsidRPr="001419A0">
              <w:rPr>
                <w:rFonts w:asciiTheme="majorHAnsi" w:hAnsiTheme="majorHAnsi"/>
                <w:b/>
                <w:sz w:val="14"/>
                <w:szCs w:val="14"/>
              </w:rPr>
              <w:t>prescribed accommodation</w:t>
            </w:r>
          </w:p>
        </w:tc>
        <w:tc>
          <w:tcPr>
            <w:tcW w:w="1836" w:type="pct"/>
          </w:tcPr>
          <w:p w14:paraId="132440A0" w14:textId="49781094" w:rsidR="003D3AB4" w:rsidRPr="001419A0" w:rsidRDefault="003D3AB4" w:rsidP="00DF000A">
            <w:pPr>
              <w:spacing w:after="0"/>
              <w:ind w:left="148" w:right="409"/>
              <w:rPr>
                <w:rFonts w:asciiTheme="majorHAnsi" w:hAnsiTheme="majorHAnsi"/>
                <w:b/>
                <w:sz w:val="14"/>
                <w:szCs w:val="14"/>
              </w:rPr>
            </w:pPr>
            <w:r w:rsidRPr="001419A0">
              <w:rPr>
                <w:rFonts w:asciiTheme="majorHAnsi" w:hAnsiTheme="majorHAnsi"/>
                <w:b/>
                <w:sz w:val="14"/>
                <w:szCs w:val="14"/>
              </w:rPr>
              <w:t xml:space="preserve">MCA assumption: </w:t>
            </w:r>
            <w:r w:rsidR="003963AD" w:rsidRPr="001419A0">
              <w:rPr>
                <w:rFonts w:asciiTheme="majorHAnsi" w:hAnsiTheme="majorHAnsi"/>
                <w:b/>
                <w:sz w:val="14"/>
                <w:szCs w:val="14"/>
              </w:rPr>
              <w:t xml:space="preserve"> </w:t>
            </w:r>
            <w:r w:rsidRPr="001419A0">
              <w:rPr>
                <w:rFonts w:asciiTheme="majorHAnsi" w:hAnsiTheme="majorHAnsi"/>
                <w:b/>
                <w:sz w:val="14"/>
                <w:szCs w:val="14"/>
              </w:rPr>
              <w:t>Estimated % facilities that would not undertake adequate maintenance under the Base Case</w:t>
            </w:r>
          </w:p>
        </w:tc>
        <w:tc>
          <w:tcPr>
            <w:tcW w:w="914" w:type="pct"/>
          </w:tcPr>
          <w:p w14:paraId="77B4F241" w14:textId="48334987" w:rsidR="003D3AB4" w:rsidRPr="001419A0" w:rsidRDefault="00127444" w:rsidP="00DF000A">
            <w:pPr>
              <w:ind w:right="301"/>
              <w:rPr>
                <w:rFonts w:asciiTheme="majorHAnsi" w:hAnsiTheme="majorHAnsi"/>
                <w:b/>
                <w:sz w:val="14"/>
                <w:szCs w:val="14"/>
              </w:rPr>
            </w:pPr>
            <w:r w:rsidRPr="001419A0">
              <w:rPr>
                <w:rFonts w:asciiTheme="majorHAnsi" w:hAnsiTheme="majorHAnsi"/>
                <w:b/>
                <w:sz w:val="14"/>
                <w:szCs w:val="14"/>
              </w:rPr>
              <w:t>Scenario 1</w:t>
            </w:r>
            <w:r w:rsidR="0031118E" w:rsidRPr="001419A0">
              <w:rPr>
                <w:rFonts w:asciiTheme="majorHAnsi" w:hAnsiTheme="majorHAnsi"/>
                <w:b/>
                <w:sz w:val="14"/>
                <w:szCs w:val="14"/>
              </w:rPr>
              <w:t>:</w:t>
            </w:r>
            <w:r w:rsidRPr="001419A0">
              <w:rPr>
                <w:rFonts w:asciiTheme="majorHAnsi" w:hAnsiTheme="majorHAnsi"/>
                <w:b/>
                <w:sz w:val="14"/>
                <w:szCs w:val="14"/>
              </w:rPr>
              <w:t xml:space="preserve"> </w:t>
            </w:r>
            <w:r w:rsidR="0031118E" w:rsidRPr="001419A0">
              <w:rPr>
                <w:rFonts w:asciiTheme="majorHAnsi" w:hAnsiTheme="majorHAnsi"/>
                <w:b/>
                <w:sz w:val="14"/>
                <w:szCs w:val="14"/>
              </w:rPr>
              <w:t>Halved</w:t>
            </w:r>
          </w:p>
        </w:tc>
        <w:tc>
          <w:tcPr>
            <w:tcW w:w="743" w:type="pct"/>
          </w:tcPr>
          <w:p w14:paraId="750D8519" w14:textId="73A64446" w:rsidR="003D3AB4" w:rsidRPr="001419A0" w:rsidRDefault="00B903F1" w:rsidP="00DF000A">
            <w:pPr>
              <w:spacing w:after="0"/>
              <w:rPr>
                <w:rFonts w:asciiTheme="majorHAnsi" w:hAnsiTheme="majorHAnsi"/>
                <w:b/>
                <w:sz w:val="14"/>
                <w:szCs w:val="14"/>
              </w:rPr>
            </w:pPr>
            <w:r w:rsidRPr="001419A0">
              <w:rPr>
                <w:rFonts w:asciiTheme="majorHAnsi" w:hAnsiTheme="majorHAnsi"/>
                <w:b/>
                <w:sz w:val="14"/>
                <w:szCs w:val="14"/>
              </w:rPr>
              <w:t>Scenario 2</w:t>
            </w:r>
            <w:r w:rsidR="0031118E" w:rsidRPr="001419A0">
              <w:rPr>
                <w:rFonts w:asciiTheme="majorHAnsi" w:hAnsiTheme="majorHAnsi"/>
                <w:b/>
                <w:sz w:val="14"/>
                <w:szCs w:val="14"/>
              </w:rPr>
              <w:t>: Doubled</w:t>
            </w:r>
          </w:p>
        </w:tc>
      </w:tr>
      <w:tr w:rsidR="003D3AB4" w14:paraId="36599C36" w14:textId="77777777" w:rsidTr="00DF000A">
        <w:trPr>
          <w:trHeight w:val="84"/>
        </w:trPr>
        <w:tc>
          <w:tcPr>
            <w:tcW w:w="1507" w:type="pct"/>
          </w:tcPr>
          <w:p w14:paraId="0EEBB609" w14:textId="77777777" w:rsidR="003D3AB4" w:rsidRPr="001419A0" w:rsidRDefault="003D3AB4" w:rsidP="003D3AB4">
            <w:pPr>
              <w:spacing w:after="0"/>
              <w:rPr>
                <w:rFonts w:asciiTheme="majorHAnsi" w:hAnsiTheme="majorHAnsi"/>
                <w:sz w:val="14"/>
                <w:szCs w:val="14"/>
              </w:rPr>
            </w:pPr>
            <w:r w:rsidRPr="001419A0">
              <w:rPr>
                <w:rFonts w:asciiTheme="majorHAnsi" w:hAnsiTheme="majorHAnsi"/>
                <w:sz w:val="14"/>
                <w:szCs w:val="14"/>
              </w:rPr>
              <w:t>Residential accommodation</w:t>
            </w:r>
          </w:p>
        </w:tc>
        <w:tc>
          <w:tcPr>
            <w:tcW w:w="1836" w:type="pct"/>
          </w:tcPr>
          <w:p w14:paraId="03B33191" w14:textId="77777777" w:rsidR="003D3AB4" w:rsidRPr="001419A0" w:rsidRDefault="003D3AB4" w:rsidP="003D3AB4">
            <w:pPr>
              <w:spacing w:after="0"/>
              <w:jc w:val="center"/>
              <w:rPr>
                <w:rFonts w:asciiTheme="majorHAnsi" w:hAnsiTheme="majorHAnsi"/>
                <w:sz w:val="14"/>
                <w:szCs w:val="14"/>
              </w:rPr>
            </w:pPr>
            <w:r w:rsidRPr="001419A0">
              <w:rPr>
                <w:rFonts w:asciiTheme="majorHAnsi" w:hAnsiTheme="majorHAnsi"/>
                <w:sz w:val="14"/>
                <w:szCs w:val="14"/>
              </w:rPr>
              <w:t>7.5%</w:t>
            </w:r>
          </w:p>
        </w:tc>
        <w:tc>
          <w:tcPr>
            <w:tcW w:w="914" w:type="pct"/>
          </w:tcPr>
          <w:p w14:paraId="0C81474B" w14:textId="77777777" w:rsidR="003D3AB4" w:rsidRPr="001419A0" w:rsidRDefault="003D3AB4" w:rsidP="003D3AB4">
            <w:pPr>
              <w:spacing w:after="0"/>
              <w:jc w:val="center"/>
              <w:rPr>
                <w:rFonts w:asciiTheme="majorHAnsi" w:hAnsiTheme="majorHAnsi"/>
                <w:sz w:val="14"/>
                <w:szCs w:val="14"/>
              </w:rPr>
            </w:pPr>
            <w:r w:rsidRPr="001419A0">
              <w:rPr>
                <w:rFonts w:asciiTheme="majorHAnsi" w:hAnsiTheme="majorHAnsi"/>
                <w:sz w:val="14"/>
                <w:szCs w:val="14"/>
              </w:rPr>
              <w:t>3.75%</w:t>
            </w:r>
          </w:p>
        </w:tc>
        <w:tc>
          <w:tcPr>
            <w:tcW w:w="743" w:type="pct"/>
          </w:tcPr>
          <w:p w14:paraId="5698C3E3" w14:textId="19EB8D51" w:rsidR="003D3AB4" w:rsidRPr="001419A0" w:rsidRDefault="003D3AB4" w:rsidP="003D3AB4">
            <w:pPr>
              <w:spacing w:after="0"/>
              <w:jc w:val="center"/>
              <w:rPr>
                <w:rFonts w:asciiTheme="majorHAnsi" w:hAnsiTheme="majorHAnsi"/>
                <w:sz w:val="14"/>
                <w:szCs w:val="14"/>
              </w:rPr>
            </w:pPr>
            <w:r w:rsidRPr="001419A0">
              <w:rPr>
                <w:rFonts w:asciiTheme="majorHAnsi" w:hAnsiTheme="majorHAnsi"/>
                <w:sz w:val="14"/>
                <w:szCs w:val="14"/>
              </w:rPr>
              <w:t>15%</w:t>
            </w:r>
          </w:p>
        </w:tc>
      </w:tr>
      <w:tr w:rsidR="003D3AB4" w14:paraId="4C5BC3BC" w14:textId="77777777" w:rsidTr="00DF000A">
        <w:trPr>
          <w:trHeight w:val="84"/>
        </w:trPr>
        <w:tc>
          <w:tcPr>
            <w:tcW w:w="1507" w:type="pct"/>
          </w:tcPr>
          <w:p w14:paraId="26CA9451" w14:textId="77777777" w:rsidR="003D3AB4" w:rsidRPr="001419A0" w:rsidRDefault="003D3AB4" w:rsidP="003D3AB4">
            <w:pPr>
              <w:spacing w:after="0"/>
              <w:rPr>
                <w:rFonts w:asciiTheme="majorHAnsi" w:hAnsiTheme="majorHAnsi"/>
                <w:sz w:val="14"/>
                <w:szCs w:val="14"/>
              </w:rPr>
            </w:pPr>
            <w:r w:rsidRPr="001419A0">
              <w:rPr>
                <w:rFonts w:asciiTheme="majorHAnsi" w:hAnsiTheme="majorHAnsi"/>
                <w:sz w:val="14"/>
                <w:szCs w:val="14"/>
              </w:rPr>
              <w:t>Hotels and motels</w:t>
            </w:r>
          </w:p>
        </w:tc>
        <w:tc>
          <w:tcPr>
            <w:tcW w:w="1836" w:type="pct"/>
          </w:tcPr>
          <w:p w14:paraId="44A8B2F4" w14:textId="77777777" w:rsidR="003D3AB4" w:rsidRPr="001419A0" w:rsidRDefault="003D3AB4" w:rsidP="003D3AB4">
            <w:pPr>
              <w:spacing w:after="0"/>
              <w:jc w:val="center"/>
              <w:rPr>
                <w:rFonts w:asciiTheme="majorHAnsi" w:hAnsiTheme="majorHAnsi"/>
                <w:sz w:val="14"/>
                <w:szCs w:val="14"/>
              </w:rPr>
            </w:pPr>
            <w:r w:rsidRPr="001419A0">
              <w:rPr>
                <w:rFonts w:asciiTheme="majorHAnsi" w:hAnsiTheme="majorHAnsi"/>
                <w:sz w:val="14"/>
                <w:szCs w:val="14"/>
              </w:rPr>
              <w:t>2%</w:t>
            </w:r>
          </w:p>
        </w:tc>
        <w:tc>
          <w:tcPr>
            <w:tcW w:w="914" w:type="pct"/>
          </w:tcPr>
          <w:p w14:paraId="16E61814" w14:textId="77777777" w:rsidR="003D3AB4" w:rsidRPr="001419A0" w:rsidRDefault="003D3AB4" w:rsidP="003D3AB4">
            <w:pPr>
              <w:spacing w:after="0"/>
              <w:jc w:val="center"/>
              <w:rPr>
                <w:rFonts w:asciiTheme="majorHAnsi" w:hAnsiTheme="majorHAnsi"/>
                <w:sz w:val="14"/>
                <w:szCs w:val="14"/>
              </w:rPr>
            </w:pPr>
            <w:r w:rsidRPr="001419A0">
              <w:rPr>
                <w:rFonts w:asciiTheme="majorHAnsi" w:hAnsiTheme="majorHAnsi"/>
                <w:sz w:val="14"/>
                <w:szCs w:val="14"/>
              </w:rPr>
              <w:t>1%</w:t>
            </w:r>
          </w:p>
        </w:tc>
        <w:tc>
          <w:tcPr>
            <w:tcW w:w="743" w:type="pct"/>
          </w:tcPr>
          <w:p w14:paraId="14367E27" w14:textId="7C99148B" w:rsidR="003D3AB4" w:rsidRPr="001419A0" w:rsidRDefault="003D3AB4" w:rsidP="003D3AB4">
            <w:pPr>
              <w:spacing w:after="0"/>
              <w:jc w:val="center"/>
              <w:rPr>
                <w:rFonts w:asciiTheme="majorHAnsi" w:hAnsiTheme="majorHAnsi"/>
                <w:sz w:val="14"/>
                <w:szCs w:val="14"/>
              </w:rPr>
            </w:pPr>
            <w:r w:rsidRPr="001419A0">
              <w:rPr>
                <w:rFonts w:asciiTheme="majorHAnsi" w:hAnsiTheme="majorHAnsi"/>
                <w:sz w:val="14"/>
                <w:szCs w:val="14"/>
              </w:rPr>
              <w:t>4%</w:t>
            </w:r>
          </w:p>
        </w:tc>
      </w:tr>
      <w:tr w:rsidR="003D3AB4" w14:paraId="58F753F5" w14:textId="77777777" w:rsidTr="00DF000A">
        <w:trPr>
          <w:trHeight w:val="84"/>
        </w:trPr>
        <w:tc>
          <w:tcPr>
            <w:tcW w:w="1507" w:type="pct"/>
          </w:tcPr>
          <w:p w14:paraId="7770E5D3" w14:textId="77777777" w:rsidR="003D3AB4" w:rsidRPr="001419A0" w:rsidRDefault="003D3AB4" w:rsidP="003D3AB4">
            <w:pPr>
              <w:spacing w:after="0"/>
              <w:rPr>
                <w:rFonts w:asciiTheme="majorHAnsi" w:hAnsiTheme="majorHAnsi"/>
                <w:sz w:val="14"/>
                <w:szCs w:val="14"/>
              </w:rPr>
            </w:pPr>
            <w:r w:rsidRPr="001419A0">
              <w:rPr>
                <w:rFonts w:asciiTheme="majorHAnsi" w:hAnsiTheme="majorHAnsi"/>
                <w:sz w:val="14"/>
                <w:szCs w:val="14"/>
              </w:rPr>
              <w:t>Hostels</w:t>
            </w:r>
          </w:p>
        </w:tc>
        <w:tc>
          <w:tcPr>
            <w:tcW w:w="1836" w:type="pct"/>
          </w:tcPr>
          <w:p w14:paraId="412DCA63" w14:textId="77777777" w:rsidR="003D3AB4" w:rsidRPr="001419A0" w:rsidRDefault="003D3AB4" w:rsidP="003D3AB4">
            <w:pPr>
              <w:spacing w:after="0"/>
              <w:jc w:val="center"/>
              <w:rPr>
                <w:rFonts w:asciiTheme="majorHAnsi" w:hAnsiTheme="majorHAnsi"/>
                <w:sz w:val="14"/>
                <w:szCs w:val="14"/>
              </w:rPr>
            </w:pPr>
            <w:r w:rsidRPr="001419A0">
              <w:rPr>
                <w:rFonts w:asciiTheme="majorHAnsi" w:hAnsiTheme="majorHAnsi"/>
                <w:sz w:val="14"/>
                <w:szCs w:val="14"/>
              </w:rPr>
              <w:t>30%</w:t>
            </w:r>
          </w:p>
        </w:tc>
        <w:tc>
          <w:tcPr>
            <w:tcW w:w="914" w:type="pct"/>
          </w:tcPr>
          <w:p w14:paraId="14B9FFD3" w14:textId="77777777" w:rsidR="003D3AB4" w:rsidRPr="001419A0" w:rsidRDefault="003D3AB4" w:rsidP="003D3AB4">
            <w:pPr>
              <w:spacing w:after="0"/>
              <w:jc w:val="center"/>
              <w:rPr>
                <w:rFonts w:asciiTheme="majorHAnsi" w:hAnsiTheme="majorHAnsi"/>
                <w:sz w:val="14"/>
                <w:szCs w:val="14"/>
              </w:rPr>
            </w:pPr>
            <w:r w:rsidRPr="001419A0">
              <w:rPr>
                <w:rFonts w:asciiTheme="majorHAnsi" w:hAnsiTheme="majorHAnsi"/>
                <w:sz w:val="14"/>
                <w:szCs w:val="14"/>
              </w:rPr>
              <w:t>15%</w:t>
            </w:r>
          </w:p>
        </w:tc>
        <w:tc>
          <w:tcPr>
            <w:tcW w:w="743" w:type="pct"/>
          </w:tcPr>
          <w:p w14:paraId="3E97FC8C" w14:textId="17B61A93" w:rsidR="003D3AB4" w:rsidRPr="001419A0" w:rsidRDefault="003D3AB4" w:rsidP="003D3AB4">
            <w:pPr>
              <w:spacing w:after="0"/>
              <w:jc w:val="center"/>
              <w:rPr>
                <w:rFonts w:asciiTheme="majorHAnsi" w:hAnsiTheme="majorHAnsi"/>
                <w:sz w:val="14"/>
                <w:szCs w:val="14"/>
              </w:rPr>
            </w:pPr>
            <w:r w:rsidRPr="001419A0">
              <w:rPr>
                <w:rFonts w:asciiTheme="majorHAnsi" w:hAnsiTheme="majorHAnsi"/>
                <w:sz w:val="14"/>
                <w:szCs w:val="14"/>
              </w:rPr>
              <w:t>60%</w:t>
            </w:r>
          </w:p>
        </w:tc>
      </w:tr>
      <w:tr w:rsidR="003D3AB4" w14:paraId="25D5A43D" w14:textId="77777777" w:rsidTr="00DF000A">
        <w:trPr>
          <w:trHeight w:val="84"/>
        </w:trPr>
        <w:tc>
          <w:tcPr>
            <w:tcW w:w="1507" w:type="pct"/>
          </w:tcPr>
          <w:p w14:paraId="235CD152" w14:textId="77777777" w:rsidR="003D3AB4" w:rsidRPr="001419A0" w:rsidRDefault="003D3AB4" w:rsidP="003D3AB4">
            <w:pPr>
              <w:spacing w:after="0"/>
              <w:rPr>
                <w:rFonts w:asciiTheme="majorHAnsi" w:hAnsiTheme="majorHAnsi"/>
                <w:sz w:val="14"/>
                <w:szCs w:val="14"/>
              </w:rPr>
            </w:pPr>
            <w:r w:rsidRPr="001419A0">
              <w:rPr>
                <w:rFonts w:asciiTheme="majorHAnsi" w:hAnsiTheme="majorHAnsi"/>
                <w:sz w:val="14"/>
                <w:szCs w:val="14"/>
              </w:rPr>
              <w:t>Student dormitories</w:t>
            </w:r>
          </w:p>
        </w:tc>
        <w:tc>
          <w:tcPr>
            <w:tcW w:w="1836" w:type="pct"/>
          </w:tcPr>
          <w:p w14:paraId="3AD6FF2C" w14:textId="77777777" w:rsidR="003D3AB4" w:rsidRPr="001419A0" w:rsidRDefault="003D3AB4" w:rsidP="003D3AB4">
            <w:pPr>
              <w:spacing w:after="0"/>
              <w:jc w:val="center"/>
              <w:rPr>
                <w:rFonts w:asciiTheme="majorHAnsi" w:hAnsiTheme="majorHAnsi"/>
                <w:sz w:val="14"/>
                <w:szCs w:val="14"/>
              </w:rPr>
            </w:pPr>
            <w:r w:rsidRPr="001419A0">
              <w:rPr>
                <w:rFonts w:asciiTheme="majorHAnsi" w:hAnsiTheme="majorHAnsi"/>
                <w:sz w:val="14"/>
                <w:szCs w:val="14"/>
              </w:rPr>
              <w:t>15%</w:t>
            </w:r>
          </w:p>
        </w:tc>
        <w:tc>
          <w:tcPr>
            <w:tcW w:w="914" w:type="pct"/>
          </w:tcPr>
          <w:p w14:paraId="6508004B" w14:textId="77777777" w:rsidR="003D3AB4" w:rsidRPr="001419A0" w:rsidRDefault="003D3AB4" w:rsidP="003D3AB4">
            <w:pPr>
              <w:spacing w:after="0"/>
              <w:jc w:val="center"/>
              <w:rPr>
                <w:rFonts w:asciiTheme="majorHAnsi" w:hAnsiTheme="majorHAnsi"/>
                <w:sz w:val="14"/>
                <w:szCs w:val="14"/>
              </w:rPr>
            </w:pPr>
            <w:r w:rsidRPr="001419A0">
              <w:rPr>
                <w:rFonts w:asciiTheme="majorHAnsi" w:hAnsiTheme="majorHAnsi"/>
                <w:sz w:val="14"/>
                <w:szCs w:val="14"/>
              </w:rPr>
              <w:t>7.5%</w:t>
            </w:r>
          </w:p>
        </w:tc>
        <w:tc>
          <w:tcPr>
            <w:tcW w:w="743" w:type="pct"/>
          </w:tcPr>
          <w:p w14:paraId="7F0017C2" w14:textId="40263977" w:rsidR="003D3AB4" w:rsidRPr="001419A0" w:rsidRDefault="003D3AB4" w:rsidP="003D3AB4">
            <w:pPr>
              <w:spacing w:after="0"/>
              <w:jc w:val="center"/>
              <w:rPr>
                <w:rFonts w:asciiTheme="majorHAnsi" w:hAnsiTheme="majorHAnsi"/>
                <w:sz w:val="14"/>
                <w:szCs w:val="14"/>
              </w:rPr>
            </w:pPr>
            <w:r w:rsidRPr="001419A0">
              <w:rPr>
                <w:rFonts w:asciiTheme="majorHAnsi" w:hAnsiTheme="majorHAnsi"/>
                <w:sz w:val="14"/>
                <w:szCs w:val="14"/>
              </w:rPr>
              <w:t>30%</w:t>
            </w:r>
          </w:p>
        </w:tc>
      </w:tr>
      <w:tr w:rsidR="003D3AB4" w14:paraId="69BA94C3" w14:textId="77777777" w:rsidTr="00DF000A">
        <w:trPr>
          <w:trHeight w:val="84"/>
        </w:trPr>
        <w:tc>
          <w:tcPr>
            <w:tcW w:w="1507" w:type="pct"/>
          </w:tcPr>
          <w:p w14:paraId="100A90BB" w14:textId="77777777" w:rsidR="003D3AB4" w:rsidRPr="001419A0" w:rsidRDefault="003D3AB4" w:rsidP="003D3AB4">
            <w:pPr>
              <w:spacing w:after="0"/>
              <w:rPr>
                <w:rFonts w:asciiTheme="majorHAnsi" w:hAnsiTheme="majorHAnsi"/>
                <w:sz w:val="14"/>
                <w:szCs w:val="14"/>
              </w:rPr>
            </w:pPr>
            <w:r w:rsidRPr="001419A0">
              <w:rPr>
                <w:rFonts w:asciiTheme="majorHAnsi" w:hAnsiTheme="majorHAnsi"/>
                <w:sz w:val="14"/>
                <w:szCs w:val="14"/>
              </w:rPr>
              <w:t>Holiday camps</w:t>
            </w:r>
          </w:p>
        </w:tc>
        <w:tc>
          <w:tcPr>
            <w:tcW w:w="1836" w:type="pct"/>
          </w:tcPr>
          <w:p w14:paraId="005EFDE0" w14:textId="77777777" w:rsidR="003D3AB4" w:rsidRPr="001419A0" w:rsidRDefault="003D3AB4" w:rsidP="003D3AB4">
            <w:pPr>
              <w:spacing w:after="0"/>
              <w:jc w:val="center"/>
              <w:rPr>
                <w:rFonts w:asciiTheme="majorHAnsi" w:hAnsiTheme="majorHAnsi"/>
                <w:sz w:val="14"/>
                <w:szCs w:val="14"/>
              </w:rPr>
            </w:pPr>
            <w:r w:rsidRPr="001419A0">
              <w:rPr>
                <w:rFonts w:asciiTheme="majorHAnsi" w:hAnsiTheme="majorHAnsi"/>
                <w:sz w:val="14"/>
                <w:szCs w:val="14"/>
              </w:rPr>
              <w:t>15%</w:t>
            </w:r>
          </w:p>
        </w:tc>
        <w:tc>
          <w:tcPr>
            <w:tcW w:w="914" w:type="pct"/>
          </w:tcPr>
          <w:p w14:paraId="573E26BB" w14:textId="77777777" w:rsidR="003D3AB4" w:rsidRPr="001419A0" w:rsidRDefault="003D3AB4" w:rsidP="003D3AB4">
            <w:pPr>
              <w:spacing w:after="0"/>
              <w:jc w:val="center"/>
              <w:rPr>
                <w:rFonts w:asciiTheme="majorHAnsi" w:hAnsiTheme="majorHAnsi"/>
                <w:sz w:val="14"/>
                <w:szCs w:val="14"/>
              </w:rPr>
            </w:pPr>
            <w:r w:rsidRPr="001419A0">
              <w:rPr>
                <w:rFonts w:asciiTheme="majorHAnsi" w:hAnsiTheme="majorHAnsi"/>
                <w:sz w:val="14"/>
                <w:szCs w:val="14"/>
              </w:rPr>
              <w:t>7.5%</w:t>
            </w:r>
          </w:p>
        </w:tc>
        <w:tc>
          <w:tcPr>
            <w:tcW w:w="743" w:type="pct"/>
          </w:tcPr>
          <w:p w14:paraId="0660C229" w14:textId="15776FB0" w:rsidR="003D3AB4" w:rsidRPr="001419A0" w:rsidRDefault="003D3AB4" w:rsidP="003D3AB4">
            <w:pPr>
              <w:spacing w:after="0"/>
              <w:jc w:val="center"/>
              <w:rPr>
                <w:rFonts w:asciiTheme="majorHAnsi" w:hAnsiTheme="majorHAnsi"/>
                <w:sz w:val="14"/>
                <w:szCs w:val="14"/>
              </w:rPr>
            </w:pPr>
            <w:r w:rsidRPr="001419A0">
              <w:rPr>
                <w:rFonts w:asciiTheme="majorHAnsi" w:hAnsiTheme="majorHAnsi"/>
                <w:sz w:val="14"/>
                <w:szCs w:val="14"/>
              </w:rPr>
              <w:t>30%</w:t>
            </w:r>
          </w:p>
        </w:tc>
      </w:tr>
      <w:tr w:rsidR="003D3AB4" w14:paraId="724FCC1F" w14:textId="77777777" w:rsidTr="00DF000A">
        <w:trPr>
          <w:trHeight w:val="84"/>
        </w:trPr>
        <w:tc>
          <w:tcPr>
            <w:tcW w:w="1507" w:type="pct"/>
          </w:tcPr>
          <w:p w14:paraId="35E9F2A1" w14:textId="77777777" w:rsidR="003D3AB4" w:rsidRPr="001419A0" w:rsidRDefault="003D3AB4" w:rsidP="003D3AB4">
            <w:pPr>
              <w:spacing w:after="0"/>
              <w:rPr>
                <w:rFonts w:asciiTheme="majorHAnsi" w:hAnsiTheme="majorHAnsi"/>
                <w:sz w:val="14"/>
                <w:szCs w:val="14"/>
              </w:rPr>
            </w:pPr>
            <w:r w:rsidRPr="001419A0">
              <w:rPr>
                <w:rFonts w:asciiTheme="majorHAnsi" w:hAnsiTheme="majorHAnsi"/>
                <w:sz w:val="14"/>
                <w:szCs w:val="14"/>
              </w:rPr>
              <w:t>Rooming houses</w:t>
            </w:r>
          </w:p>
        </w:tc>
        <w:tc>
          <w:tcPr>
            <w:tcW w:w="1836" w:type="pct"/>
          </w:tcPr>
          <w:p w14:paraId="6B0DD2A4" w14:textId="77777777" w:rsidR="003D3AB4" w:rsidRPr="001419A0" w:rsidRDefault="003D3AB4" w:rsidP="003D3AB4">
            <w:pPr>
              <w:spacing w:after="0"/>
              <w:jc w:val="center"/>
              <w:rPr>
                <w:rFonts w:asciiTheme="majorHAnsi" w:hAnsiTheme="majorHAnsi"/>
                <w:sz w:val="14"/>
                <w:szCs w:val="14"/>
              </w:rPr>
            </w:pPr>
            <w:r w:rsidRPr="001419A0">
              <w:rPr>
                <w:rFonts w:asciiTheme="majorHAnsi" w:hAnsiTheme="majorHAnsi"/>
                <w:sz w:val="14"/>
                <w:szCs w:val="14"/>
              </w:rPr>
              <w:t>30%</w:t>
            </w:r>
          </w:p>
        </w:tc>
        <w:tc>
          <w:tcPr>
            <w:tcW w:w="914" w:type="pct"/>
          </w:tcPr>
          <w:p w14:paraId="0C56DAB6" w14:textId="77777777" w:rsidR="003D3AB4" w:rsidRPr="001419A0" w:rsidRDefault="003D3AB4" w:rsidP="003D3AB4">
            <w:pPr>
              <w:spacing w:after="0"/>
              <w:jc w:val="center"/>
              <w:rPr>
                <w:rFonts w:asciiTheme="majorHAnsi" w:hAnsiTheme="majorHAnsi"/>
                <w:sz w:val="14"/>
                <w:szCs w:val="14"/>
              </w:rPr>
            </w:pPr>
            <w:r w:rsidRPr="001419A0">
              <w:rPr>
                <w:rFonts w:asciiTheme="majorHAnsi" w:hAnsiTheme="majorHAnsi"/>
                <w:sz w:val="14"/>
                <w:szCs w:val="14"/>
              </w:rPr>
              <w:t>15%</w:t>
            </w:r>
          </w:p>
        </w:tc>
        <w:tc>
          <w:tcPr>
            <w:tcW w:w="743" w:type="pct"/>
          </w:tcPr>
          <w:p w14:paraId="7B1138C7" w14:textId="2204642B" w:rsidR="003D3AB4" w:rsidRPr="001419A0" w:rsidRDefault="003D3AB4" w:rsidP="003D3AB4">
            <w:pPr>
              <w:spacing w:after="0"/>
              <w:jc w:val="center"/>
              <w:rPr>
                <w:rFonts w:asciiTheme="majorHAnsi" w:hAnsiTheme="majorHAnsi"/>
                <w:sz w:val="14"/>
                <w:szCs w:val="14"/>
              </w:rPr>
            </w:pPr>
            <w:r w:rsidRPr="001419A0">
              <w:rPr>
                <w:rFonts w:asciiTheme="majorHAnsi" w:hAnsiTheme="majorHAnsi"/>
                <w:sz w:val="14"/>
                <w:szCs w:val="14"/>
              </w:rPr>
              <w:t>60%</w:t>
            </w:r>
          </w:p>
        </w:tc>
      </w:tr>
      <w:tr w:rsidR="00AD0E71" w14:paraId="0DF6C8D4" w14:textId="77777777" w:rsidTr="00114C09">
        <w:trPr>
          <w:trHeight w:val="84"/>
        </w:trPr>
        <w:tc>
          <w:tcPr>
            <w:tcW w:w="1507" w:type="pct"/>
          </w:tcPr>
          <w:p w14:paraId="5B9427DA" w14:textId="5000D861" w:rsidR="00AD0E71" w:rsidRPr="001419A0" w:rsidRDefault="00F76247" w:rsidP="003D3AB4">
            <w:pPr>
              <w:spacing w:after="0"/>
              <w:rPr>
                <w:rFonts w:asciiTheme="majorHAnsi" w:hAnsiTheme="majorHAnsi"/>
                <w:b/>
                <w:sz w:val="14"/>
                <w:szCs w:val="14"/>
              </w:rPr>
            </w:pPr>
            <w:r w:rsidRPr="001419A0">
              <w:rPr>
                <w:rFonts w:asciiTheme="majorHAnsi" w:hAnsiTheme="majorHAnsi"/>
                <w:b/>
                <w:sz w:val="14"/>
                <w:szCs w:val="14"/>
              </w:rPr>
              <w:t xml:space="preserve">Maintenance costs </w:t>
            </w:r>
            <w:r w:rsidR="009D3FB8" w:rsidRPr="001419A0">
              <w:rPr>
                <w:rFonts w:asciiTheme="majorHAnsi" w:hAnsiTheme="majorHAnsi"/>
                <w:b/>
                <w:sz w:val="14"/>
                <w:szCs w:val="14"/>
              </w:rPr>
              <w:t>–</w:t>
            </w:r>
            <w:r w:rsidRPr="001419A0">
              <w:rPr>
                <w:rFonts w:asciiTheme="majorHAnsi" w:hAnsiTheme="majorHAnsi"/>
                <w:b/>
                <w:sz w:val="14"/>
                <w:szCs w:val="14"/>
              </w:rPr>
              <w:t xml:space="preserve"> total</w:t>
            </w:r>
            <w:r w:rsidR="009D3FB8" w:rsidRPr="001419A0">
              <w:rPr>
                <w:rFonts w:asciiTheme="majorHAnsi" w:hAnsiTheme="majorHAnsi"/>
                <w:b/>
                <w:sz w:val="14"/>
                <w:szCs w:val="14"/>
              </w:rPr>
              <w:t xml:space="preserve"> NPV</w:t>
            </w:r>
          </w:p>
        </w:tc>
        <w:tc>
          <w:tcPr>
            <w:tcW w:w="1836" w:type="pct"/>
          </w:tcPr>
          <w:p w14:paraId="5DC9ABFD" w14:textId="4B79DD2D" w:rsidR="00AD0E71" w:rsidRPr="001419A0" w:rsidRDefault="00B359EC" w:rsidP="003D3AB4">
            <w:pPr>
              <w:spacing w:after="0"/>
              <w:jc w:val="center"/>
              <w:rPr>
                <w:rFonts w:asciiTheme="majorHAnsi" w:hAnsiTheme="majorHAnsi"/>
                <w:b/>
                <w:sz w:val="14"/>
                <w:szCs w:val="14"/>
              </w:rPr>
            </w:pPr>
            <w:r w:rsidRPr="001419A0">
              <w:rPr>
                <w:rFonts w:asciiTheme="majorHAnsi" w:hAnsiTheme="majorHAnsi"/>
                <w:b/>
                <w:sz w:val="14"/>
                <w:szCs w:val="14"/>
              </w:rPr>
              <w:t>$</w:t>
            </w:r>
            <w:r w:rsidR="00C77342" w:rsidRPr="001419A0">
              <w:rPr>
                <w:rFonts w:asciiTheme="majorHAnsi" w:hAnsiTheme="majorHAnsi"/>
                <w:b/>
                <w:bCs/>
                <w:sz w:val="14"/>
                <w:szCs w:val="14"/>
              </w:rPr>
              <w:t>32.8</w:t>
            </w:r>
            <w:r w:rsidR="009D3FB8" w:rsidRPr="001419A0">
              <w:rPr>
                <w:rFonts w:asciiTheme="majorHAnsi" w:hAnsiTheme="majorHAnsi"/>
                <w:b/>
                <w:sz w:val="14"/>
                <w:szCs w:val="14"/>
              </w:rPr>
              <w:t xml:space="preserve"> </w:t>
            </w:r>
            <w:r w:rsidRPr="001419A0">
              <w:rPr>
                <w:rFonts w:asciiTheme="majorHAnsi" w:hAnsiTheme="majorHAnsi"/>
                <w:b/>
                <w:sz w:val="14"/>
                <w:szCs w:val="14"/>
              </w:rPr>
              <w:t>million</w:t>
            </w:r>
          </w:p>
        </w:tc>
        <w:tc>
          <w:tcPr>
            <w:tcW w:w="914" w:type="pct"/>
          </w:tcPr>
          <w:p w14:paraId="1CD7E1ED" w14:textId="1D26DC52" w:rsidR="00AD0E71" w:rsidRPr="001419A0" w:rsidRDefault="00B359EC" w:rsidP="003D3AB4">
            <w:pPr>
              <w:spacing w:after="0"/>
              <w:jc w:val="center"/>
              <w:rPr>
                <w:rFonts w:asciiTheme="majorHAnsi" w:hAnsiTheme="majorHAnsi"/>
                <w:b/>
                <w:sz w:val="14"/>
                <w:szCs w:val="14"/>
              </w:rPr>
            </w:pPr>
            <w:r w:rsidRPr="001419A0">
              <w:rPr>
                <w:rFonts w:asciiTheme="majorHAnsi" w:hAnsiTheme="majorHAnsi"/>
                <w:b/>
                <w:sz w:val="14"/>
                <w:szCs w:val="14"/>
              </w:rPr>
              <w:t>$</w:t>
            </w:r>
            <w:r w:rsidR="009D3FB8" w:rsidRPr="001419A0">
              <w:rPr>
                <w:rFonts w:asciiTheme="majorHAnsi" w:hAnsiTheme="majorHAnsi"/>
                <w:b/>
                <w:sz w:val="14"/>
                <w:szCs w:val="14"/>
              </w:rPr>
              <w:t>16.4</w:t>
            </w:r>
            <w:r w:rsidRPr="001419A0">
              <w:rPr>
                <w:rFonts w:asciiTheme="majorHAnsi" w:hAnsiTheme="majorHAnsi"/>
                <w:b/>
                <w:sz w:val="14"/>
                <w:szCs w:val="14"/>
              </w:rPr>
              <w:t xml:space="preserve"> million</w:t>
            </w:r>
          </w:p>
        </w:tc>
        <w:tc>
          <w:tcPr>
            <w:tcW w:w="743" w:type="pct"/>
          </w:tcPr>
          <w:p w14:paraId="210312D9" w14:textId="608AE8AB" w:rsidR="00AD0E71" w:rsidRPr="001419A0" w:rsidRDefault="00B359EC" w:rsidP="003D3AB4">
            <w:pPr>
              <w:spacing w:after="0"/>
              <w:jc w:val="center"/>
              <w:rPr>
                <w:rFonts w:asciiTheme="majorHAnsi" w:hAnsiTheme="majorHAnsi"/>
                <w:b/>
                <w:sz w:val="14"/>
                <w:szCs w:val="14"/>
              </w:rPr>
            </w:pPr>
            <w:r w:rsidRPr="001419A0">
              <w:rPr>
                <w:rFonts w:asciiTheme="majorHAnsi" w:hAnsiTheme="majorHAnsi"/>
                <w:b/>
                <w:sz w:val="14"/>
                <w:szCs w:val="14"/>
              </w:rPr>
              <w:t>$</w:t>
            </w:r>
            <w:r w:rsidR="00017825" w:rsidRPr="001419A0">
              <w:rPr>
                <w:rFonts w:asciiTheme="majorHAnsi" w:hAnsiTheme="majorHAnsi"/>
                <w:b/>
                <w:bCs/>
                <w:sz w:val="14"/>
                <w:szCs w:val="14"/>
              </w:rPr>
              <w:t xml:space="preserve">65.6 </w:t>
            </w:r>
            <w:r w:rsidRPr="001419A0">
              <w:rPr>
                <w:rFonts w:asciiTheme="majorHAnsi" w:hAnsiTheme="majorHAnsi"/>
                <w:b/>
                <w:sz w:val="14"/>
                <w:szCs w:val="14"/>
              </w:rPr>
              <w:t>million</w:t>
            </w:r>
          </w:p>
        </w:tc>
      </w:tr>
      <w:tr w:rsidR="00114C09" w14:paraId="71D39A00" w14:textId="77777777" w:rsidTr="00114C09">
        <w:trPr>
          <w:trHeight w:val="84"/>
        </w:trPr>
        <w:tc>
          <w:tcPr>
            <w:tcW w:w="1507" w:type="pct"/>
          </w:tcPr>
          <w:p w14:paraId="0B5622E0" w14:textId="1DD27FC0" w:rsidR="00114C09" w:rsidRPr="001419A0" w:rsidRDefault="00114C09" w:rsidP="00114C09">
            <w:pPr>
              <w:spacing w:after="0"/>
              <w:rPr>
                <w:rFonts w:asciiTheme="majorHAnsi" w:hAnsiTheme="majorHAnsi"/>
                <w:b/>
                <w:sz w:val="14"/>
                <w:szCs w:val="14"/>
              </w:rPr>
            </w:pPr>
            <w:r w:rsidRPr="001419A0">
              <w:rPr>
                <w:rFonts w:asciiTheme="majorHAnsi" w:hAnsiTheme="majorHAnsi"/>
                <w:b/>
                <w:sz w:val="14"/>
                <w:szCs w:val="14"/>
              </w:rPr>
              <w:t>Total costs</w:t>
            </w:r>
            <w:r w:rsidRPr="001419A0">
              <w:rPr>
                <w:rFonts w:asciiTheme="majorHAnsi" w:hAnsiTheme="majorHAnsi"/>
                <w:b/>
                <w:bCs/>
                <w:sz w:val="14"/>
                <w:szCs w:val="14"/>
              </w:rPr>
              <w:t xml:space="preserve"> (NPV)</w:t>
            </w:r>
          </w:p>
        </w:tc>
        <w:tc>
          <w:tcPr>
            <w:tcW w:w="1836" w:type="pct"/>
          </w:tcPr>
          <w:p w14:paraId="028497E3" w14:textId="531C9F50" w:rsidR="00114C09" w:rsidRPr="00114C09" w:rsidRDefault="00114C09" w:rsidP="00114C09">
            <w:pPr>
              <w:spacing w:after="0"/>
              <w:jc w:val="center"/>
              <w:rPr>
                <w:rFonts w:asciiTheme="majorHAnsi" w:hAnsiTheme="majorHAnsi"/>
                <w:b/>
                <w:sz w:val="14"/>
                <w:szCs w:val="14"/>
              </w:rPr>
            </w:pPr>
            <w:r w:rsidRPr="00114C09">
              <w:rPr>
                <w:rFonts w:asciiTheme="majorHAnsi" w:hAnsiTheme="majorHAnsi"/>
                <w:b/>
                <w:sz w:val="14"/>
                <w:szCs w:val="14"/>
                <w:lang w:val="en-GB"/>
              </w:rPr>
              <w:t>$62.4 million</w:t>
            </w:r>
          </w:p>
        </w:tc>
        <w:tc>
          <w:tcPr>
            <w:tcW w:w="914" w:type="pct"/>
          </w:tcPr>
          <w:p w14:paraId="33C38EE5" w14:textId="2ADFD609" w:rsidR="00114C09" w:rsidRPr="00114C09" w:rsidRDefault="00114C09" w:rsidP="00114C09">
            <w:pPr>
              <w:spacing w:after="0"/>
              <w:jc w:val="center"/>
              <w:rPr>
                <w:rFonts w:asciiTheme="majorHAnsi" w:hAnsiTheme="majorHAnsi"/>
                <w:b/>
                <w:sz w:val="14"/>
                <w:szCs w:val="14"/>
              </w:rPr>
            </w:pPr>
            <w:r w:rsidRPr="00114C09">
              <w:rPr>
                <w:rFonts w:asciiTheme="majorHAnsi" w:hAnsiTheme="majorHAnsi"/>
                <w:b/>
                <w:sz w:val="14"/>
                <w:szCs w:val="14"/>
                <w:lang w:val="en-GB"/>
              </w:rPr>
              <w:t>$46.0 million</w:t>
            </w:r>
          </w:p>
        </w:tc>
        <w:tc>
          <w:tcPr>
            <w:tcW w:w="743" w:type="pct"/>
          </w:tcPr>
          <w:p w14:paraId="704DC035" w14:textId="1B9A7E1C" w:rsidR="00114C09" w:rsidRPr="00114C09" w:rsidRDefault="00114C09" w:rsidP="00114C09">
            <w:pPr>
              <w:spacing w:after="0"/>
              <w:jc w:val="center"/>
              <w:rPr>
                <w:rFonts w:asciiTheme="majorHAnsi" w:hAnsiTheme="majorHAnsi"/>
                <w:b/>
                <w:sz w:val="14"/>
                <w:szCs w:val="14"/>
              </w:rPr>
            </w:pPr>
            <w:r w:rsidRPr="00114C09">
              <w:rPr>
                <w:rFonts w:asciiTheme="majorHAnsi" w:hAnsiTheme="majorHAnsi"/>
                <w:b/>
                <w:sz w:val="14"/>
                <w:szCs w:val="14"/>
                <w:lang w:val="en-GB"/>
              </w:rPr>
              <w:t>$</w:t>
            </w:r>
            <w:r w:rsidRPr="00114C09">
              <w:rPr>
                <w:rFonts w:asciiTheme="majorHAnsi" w:hAnsiTheme="majorHAnsi"/>
                <w:b/>
                <w:bCs/>
                <w:sz w:val="14"/>
                <w:szCs w:val="14"/>
                <w:lang w:val="en-GB"/>
              </w:rPr>
              <w:t xml:space="preserve">95.1 </w:t>
            </w:r>
            <w:r w:rsidRPr="00114C09">
              <w:rPr>
                <w:rFonts w:asciiTheme="majorHAnsi" w:hAnsiTheme="majorHAnsi"/>
                <w:b/>
                <w:sz w:val="14"/>
                <w:szCs w:val="14"/>
                <w:lang w:val="en-GB"/>
              </w:rPr>
              <w:t>million</w:t>
            </w:r>
          </w:p>
        </w:tc>
      </w:tr>
      <w:tr w:rsidR="00114C09" w14:paraId="1DB35B9E" w14:textId="77777777" w:rsidTr="00114C09">
        <w:trPr>
          <w:trHeight w:val="84"/>
        </w:trPr>
        <w:tc>
          <w:tcPr>
            <w:tcW w:w="1507" w:type="pct"/>
          </w:tcPr>
          <w:p w14:paraId="16D16C7A" w14:textId="26D72821" w:rsidR="00114C09" w:rsidRPr="001419A0" w:rsidRDefault="00114C09" w:rsidP="00114C09">
            <w:pPr>
              <w:spacing w:after="0"/>
              <w:rPr>
                <w:rFonts w:asciiTheme="majorHAnsi" w:hAnsiTheme="majorHAnsi"/>
                <w:b/>
                <w:sz w:val="14"/>
                <w:szCs w:val="14"/>
              </w:rPr>
            </w:pPr>
            <w:r w:rsidRPr="001419A0">
              <w:rPr>
                <w:rFonts w:asciiTheme="majorHAnsi" w:hAnsiTheme="majorHAnsi"/>
                <w:b/>
                <w:sz w:val="14"/>
                <w:szCs w:val="14"/>
              </w:rPr>
              <w:t>Total cost per business</w:t>
            </w:r>
          </w:p>
        </w:tc>
        <w:tc>
          <w:tcPr>
            <w:tcW w:w="1836" w:type="pct"/>
          </w:tcPr>
          <w:p w14:paraId="7B3B2F67" w14:textId="7576F768" w:rsidR="00114C09" w:rsidRPr="00114C09" w:rsidRDefault="00114C09" w:rsidP="00114C09">
            <w:pPr>
              <w:spacing w:after="0"/>
              <w:jc w:val="center"/>
              <w:rPr>
                <w:rFonts w:asciiTheme="majorHAnsi" w:hAnsiTheme="majorHAnsi"/>
                <w:b/>
                <w:sz w:val="14"/>
                <w:szCs w:val="14"/>
              </w:rPr>
            </w:pPr>
            <w:r w:rsidRPr="00114C09">
              <w:rPr>
                <w:rFonts w:asciiTheme="majorHAnsi" w:hAnsiTheme="majorHAnsi"/>
                <w:b/>
                <w:sz w:val="14"/>
                <w:szCs w:val="14"/>
                <w:lang w:val="en-GB"/>
              </w:rPr>
              <w:t>$</w:t>
            </w:r>
            <w:r w:rsidRPr="00114C09">
              <w:rPr>
                <w:rFonts w:asciiTheme="majorHAnsi" w:hAnsiTheme="majorHAnsi"/>
                <w:b/>
                <w:bCs/>
                <w:sz w:val="14"/>
                <w:szCs w:val="14"/>
                <w:lang w:val="en-GB"/>
              </w:rPr>
              <w:t>9,926</w:t>
            </w:r>
          </w:p>
        </w:tc>
        <w:tc>
          <w:tcPr>
            <w:tcW w:w="914" w:type="pct"/>
          </w:tcPr>
          <w:p w14:paraId="28966D44" w14:textId="17C72DB2" w:rsidR="00114C09" w:rsidRPr="00114C09" w:rsidRDefault="00114C09" w:rsidP="00114C09">
            <w:pPr>
              <w:spacing w:after="0"/>
              <w:jc w:val="center"/>
              <w:rPr>
                <w:rFonts w:asciiTheme="majorHAnsi" w:hAnsiTheme="majorHAnsi"/>
                <w:b/>
                <w:sz w:val="14"/>
                <w:szCs w:val="14"/>
              </w:rPr>
            </w:pPr>
            <w:r w:rsidRPr="00114C09">
              <w:rPr>
                <w:rFonts w:asciiTheme="majorHAnsi" w:hAnsiTheme="majorHAnsi"/>
                <w:b/>
                <w:sz w:val="14"/>
                <w:szCs w:val="14"/>
                <w:lang w:val="en-GB"/>
              </w:rPr>
              <w:t>$7,315</w:t>
            </w:r>
          </w:p>
        </w:tc>
        <w:tc>
          <w:tcPr>
            <w:tcW w:w="743" w:type="pct"/>
          </w:tcPr>
          <w:p w14:paraId="2DEAA471" w14:textId="1B4F8AD9" w:rsidR="00114C09" w:rsidRPr="00114C09" w:rsidRDefault="00114C09" w:rsidP="00114C09">
            <w:pPr>
              <w:spacing w:after="0"/>
              <w:jc w:val="center"/>
              <w:rPr>
                <w:rFonts w:asciiTheme="majorHAnsi" w:hAnsiTheme="majorHAnsi"/>
                <w:b/>
                <w:sz w:val="14"/>
                <w:szCs w:val="14"/>
              </w:rPr>
            </w:pPr>
            <w:r w:rsidRPr="00114C09">
              <w:rPr>
                <w:rFonts w:asciiTheme="majorHAnsi" w:hAnsiTheme="majorHAnsi"/>
                <w:b/>
                <w:sz w:val="14"/>
                <w:szCs w:val="14"/>
                <w:lang w:val="en-GB"/>
              </w:rPr>
              <w:t>$</w:t>
            </w:r>
            <w:r w:rsidRPr="00114C09">
              <w:rPr>
                <w:rFonts w:asciiTheme="majorHAnsi" w:hAnsiTheme="majorHAnsi"/>
                <w:b/>
                <w:bCs/>
                <w:sz w:val="14"/>
                <w:szCs w:val="14"/>
                <w:lang w:val="en-GB"/>
              </w:rPr>
              <w:t>15,144</w:t>
            </w:r>
          </w:p>
        </w:tc>
      </w:tr>
      <w:tr w:rsidR="00F76247" w14:paraId="6FBA5E17" w14:textId="77777777" w:rsidTr="00114C09">
        <w:trPr>
          <w:trHeight w:val="84"/>
        </w:trPr>
        <w:tc>
          <w:tcPr>
            <w:tcW w:w="1507" w:type="pct"/>
          </w:tcPr>
          <w:p w14:paraId="6A1BC967" w14:textId="77777777" w:rsidR="00C4744B" w:rsidRPr="001419A0" w:rsidRDefault="00F76247" w:rsidP="003D3AB4">
            <w:pPr>
              <w:spacing w:after="0"/>
              <w:rPr>
                <w:rFonts w:asciiTheme="majorHAnsi" w:hAnsiTheme="majorHAnsi"/>
                <w:b/>
                <w:sz w:val="14"/>
                <w:szCs w:val="14"/>
              </w:rPr>
            </w:pPr>
            <w:r w:rsidRPr="001419A0">
              <w:rPr>
                <w:rFonts w:asciiTheme="majorHAnsi" w:hAnsiTheme="majorHAnsi"/>
                <w:b/>
                <w:sz w:val="14"/>
                <w:szCs w:val="14"/>
              </w:rPr>
              <w:t>Unweighted score</w:t>
            </w:r>
            <w:r w:rsidR="00C4744B" w:rsidRPr="001419A0">
              <w:rPr>
                <w:rFonts w:asciiTheme="majorHAnsi" w:hAnsiTheme="majorHAnsi"/>
                <w:b/>
                <w:sz w:val="14"/>
                <w:szCs w:val="14"/>
              </w:rPr>
              <w:t xml:space="preserve"> –</w:t>
            </w:r>
          </w:p>
          <w:p w14:paraId="2C5F5482" w14:textId="02B635F6" w:rsidR="00F76247" w:rsidRPr="001419A0" w:rsidRDefault="00C4744B" w:rsidP="003D3AB4">
            <w:pPr>
              <w:spacing w:after="0"/>
              <w:rPr>
                <w:rFonts w:asciiTheme="majorHAnsi" w:hAnsiTheme="majorHAnsi"/>
                <w:b/>
                <w:sz w:val="14"/>
                <w:szCs w:val="14"/>
              </w:rPr>
            </w:pPr>
            <w:r w:rsidRPr="001419A0">
              <w:rPr>
                <w:rFonts w:asciiTheme="majorHAnsi" w:hAnsiTheme="majorHAnsi"/>
                <w:b/>
                <w:sz w:val="14"/>
                <w:szCs w:val="14"/>
              </w:rPr>
              <w:t>business criteria</w:t>
            </w:r>
          </w:p>
        </w:tc>
        <w:tc>
          <w:tcPr>
            <w:tcW w:w="1836" w:type="pct"/>
          </w:tcPr>
          <w:p w14:paraId="6039D804" w14:textId="235C4909" w:rsidR="00F76247" w:rsidRPr="001419A0" w:rsidRDefault="001E6038" w:rsidP="003D3AB4">
            <w:pPr>
              <w:spacing w:after="0"/>
              <w:jc w:val="center"/>
              <w:rPr>
                <w:rFonts w:asciiTheme="majorHAnsi" w:hAnsiTheme="majorHAnsi"/>
                <w:b/>
                <w:sz w:val="14"/>
                <w:szCs w:val="14"/>
              </w:rPr>
            </w:pPr>
            <w:r w:rsidRPr="001419A0">
              <w:rPr>
                <w:rFonts w:asciiTheme="majorHAnsi" w:hAnsiTheme="majorHAnsi"/>
                <w:b/>
                <w:sz w:val="14"/>
                <w:szCs w:val="14"/>
              </w:rPr>
              <w:t>-7</w:t>
            </w:r>
          </w:p>
        </w:tc>
        <w:tc>
          <w:tcPr>
            <w:tcW w:w="914" w:type="pct"/>
          </w:tcPr>
          <w:p w14:paraId="2620F4A9" w14:textId="655CD068" w:rsidR="00F76247" w:rsidRPr="001419A0" w:rsidRDefault="001E6038" w:rsidP="003D3AB4">
            <w:pPr>
              <w:spacing w:after="0"/>
              <w:jc w:val="center"/>
              <w:rPr>
                <w:rFonts w:asciiTheme="majorHAnsi" w:hAnsiTheme="majorHAnsi"/>
                <w:b/>
                <w:sz w:val="14"/>
                <w:szCs w:val="14"/>
              </w:rPr>
            </w:pPr>
            <w:r w:rsidRPr="001419A0">
              <w:rPr>
                <w:rFonts w:asciiTheme="majorHAnsi" w:hAnsiTheme="majorHAnsi"/>
                <w:b/>
                <w:sz w:val="14"/>
                <w:szCs w:val="14"/>
              </w:rPr>
              <w:t>-5</w:t>
            </w:r>
          </w:p>
        </w:tc>
        <w:tc>
          <w:tcPr>
            <w:tcW w:w="743" w:type="pct"/>
          </w:tcPr>
          <w:p w14:paraId="5956BDC0" w14:textId="01221DE4" w:rsidR="00F76247" w:rsidRPr="001419A0" w:rsidRDefault="001E6038" w:rsidP="003D3AB4">
            <w:pPr>
              <w:spacing w:after="0"/>
              <w:jc w:val="center"/>
              <w:rPr>
                <w:rFonts w:asciiTheme="majorHAnsi" w:hAnsiTheme="majorHAnsi"/>
                <w:b/>
                <w:sz w:val="14"/>
                <w:szCs w:val="14"/>
              </w:rPr>
            </w:pPr>
            <w:r w:rsidRPr="001419A0">
              <w:rPr>
                <w:rFonts w:asciiTheme="majorHAnsi" w:hAnsiTheme="majorHAnsi"/>
                <w:b/>
                <w:sz w:val="14"/>
                <w:szCs w:val="14"/>
              </w:rPr>
              <w:t>-10</w:t>
            </w:r>
          </w:p>
        </w:tc>
      </w:tr>
      <w:tr w:rsidR="00F76247" w14:paraId="72ADA188" w14:textId="77777777" w:rsidTr="00114C09">
        <w:trPr>
          <w:trHeight w:val="84"/>
        </w:trPr>
        <w:tc>
          <w:tcPr>
            <w:tcW w:w="1507" w:type="pct"/>
          </w:tcPr>
          <w:p w14:paraId="7A57F3AE" w14:textId="77777777" w:rsidR="00C4744B" w:rsidRPr="001419A0" w:rsidRDefault="00C4744B" w:rsidP="003D3AB4">
            <w:pPr>
              <w:spacing w:after="0"/>
              <w:rPr>
                <w:rFonts w:asciiTheme="majorHAnsi" w:hAnsiTheme="majorHAnsi"/>
                <w:b/>
                <w:sz w:val="14"/>
                <w:szCs w:val="14"/>
              </w:rPr>
            </w:pPr>
            <w:r w:rsidRPr="001419A0">
              <w:rPr>
                <w:rFonts w:asciiTheme="majorHAnsi" w:hAnsiTheme="majorHAnsi"/>
                <w:b/>
                <w:sz w:val="14"/>
                <w:szCs w:val="14"/>
              </w:rPr>
              <w:t>Total w</w:t>
            </w:r>
            <w:r w:rsidR="00F76247" w:rsidRPr="001419A0">
              <w:rPr>
                <w:rFonts w:asciiTheme="majorHAnsi" w:hAnsiTheme="majorHAnsi"/>
                <w:b/>
                <w:sz w:val="14"/>
                <w:szCs w:val="14"/>
              </w:rPr>
              <w:t>eighted score</w:t>
            </w:r>
            <w:r w:rsidRPr="001419A0">
              <w:rPr>
                <w:rFonts w:asciiTheme="majorHAnsi" w:hAnsiTheme="majorHAnsi"/>
                <w:b/>
                <w:sz w:val="14"/>
                <w:szCs w:val="14"/>
              </w:rPr>
              <w:t xml:space="preserve"> – </w:t>
            </w:r>
          </w:p>
          <w:p w14:paraId="75B35F25" w14:textId="41552422" w:rsidR="00C4744B" w:rsidRPr="001419A0" w:rsidRDefault="00C4744B" w:rsidP="003D3AB4">
            <w:pPr>
              <w:spacing w:after="0"/>
              <w:rPr>
                <w:rFonts w:asciiTheme="majorHAnsi" w:hAnsiTheme="majorHAnsi"/>
                <w:b/>
                <w:sz w:val="14"/>
                <w:szCs w:val="14"/>
              </w:rPr>
            </w:pPr>
            <w:r w:rsidRPr="001419A0">
              <w:rPr>
                <w:rFonts w:asciiTheme="majorHAnsi" w:hAnsiTheme="majorHAnsi"/>
                <w:b/>
                <w:sz w:val="14"/>
                <w:szCs w:val="14"/>
              </w:rPr>
              <w:t>all criteria</w:t>
            </w:r>
          </w:p>
        </w:tc>
        <w:tc>
          <w:tcPr>
            <w:tcW w:w="1836" w:type="pct"/>
          </w:tcPr>
          <w:p w14:paraId="7D5612B0" w14:textId="4933314E" w:rsidR="00F76247" w:rsidRPr="001419A0" w:rsidRDefault="001E6038" w:rsidP="003D3AB4">
            <w:pPr>
              <w:spacing w:after="0"/>
              <w:jc w:val="center"/>
              <w:rPr>
                <w:rFonts w:asciiTheme="majorHAnsi" w:hAnsiTheme="majorHAnsi"/>
                <w:b/>
                <w:sz w:val="14"/>
                <w:szCs w:val="14"/>
              </w:rPr>
            </w:pPr>
            <w:r w:rsidRPr="001419A0">
              <w:rPr>
                <w:rFonts w:asciiTheme="majorHAnsi" w:hAnsiTheme="majorHAnsi"/>
                <w:b/>
                <w:sz w:val="14"/>
                <w:szCs w:val="14"/>
              </w:rPr>
              <w:t>+0.5</w:t>
            </w:r>
          </w:p>
        </w:tc>
        <w:tc>
          <w:tcPr>
            <w:tcW w:w="914" w:type="pct"/>
          </w:tcPr>
          <w:p w14:paraId="6A17DAB4" w14:textId="0D387027" w:rsidR="00F76247" w:rsidRPr="001419A0" w:rsidRDefault="001E6038" w:rsidP="003D3AB4">
            <w:pPr>
              <w:spacing w:after="0"/>
              <w:jc w:val="center"/>
              <w:rPr>
                <w:rFonts w:asciiTheme="majorHAnsi" w:hAnsiTheme="majorHAnsi"/>
                <w:b/>
                <w:sz w:val="14"/>
                <w:szCs w:val="14"/>
              </w:rPr>
            </w:pPr>
            <w:r w:rsidRPr="001419A0">
              <w:rPr>
                <w:rFonts w:asciiTheme="majorHAnsi" w:hAnsiTheme="majorHAnsi"/>
                <w:b/>
                <w:sz w:val="14"/>
                <w:szCs w:val="14"/>
              </w:rPr>
              <w:t>+1.3</w:t>
            </w:r>
          </w:p>
        </w:tc>
        <w:tc>
          <w:tcPr>
            <w:tcW w:w="743" w:type="pct"/>
          </w:tcPr>
          <w:p w14:paraId="302E1378" w14:textId="77C2B575" w:rsidR="00F76247" w:rsidRPr="001419A0" w:rsidRDefault="00E85E3D" w:rsidP="003D3AB4">
            <w:pPr>
              <w:spacing w:after="0"/>
              <w:jc w:val="center"/>
              <w:rPr>
                <w:rFonts w:asciiTheme="majorHAnsi" w:hAnsiTheme="majorHAnsi"/>
                <w:b/>
                <w:sz w:val="14"/>
                <w:szCs w:val="14"/>
              </w:rPr>
            </w:pPr>
            <w:r w:rsidRPr="001419A0">
              <w:rPr>
                <w:rFonts w:asciiTheme="majorHAnsi" w:hAnsiTheme="majorHAnsi"/>
                <w:b/>
                <w:sz w:val="14"/>
                <w:szCs w:val="14"/>
              </w:rPr>
              <w:t>-0.7</w:t>
            </w:r>
          </w:p>
        </w:tc>
      </w:tr>
    </w:tbl>
    <w:p w14:paraId="2729C290" w14:textId="77777777" w:rsidR="003D3AB4" w:rsidRDefault="003D3AB4" w:rsidP="001419A0">
      <w:pPr>
        <w:spacing w:after="0"/>
      </w:pPr>
    </w:p>
    <w:p w14:paraId="483FBD18" w14:textId="3EAC28E1" w:rsidR="00AB0D09" w:rsidRDefault="00017825" w:rsidP="003D3AB4">
      <w:pPr>
        <w:rPr>
          <w:bCs/>
        </w:rPr>
      </w:pPr>
      <w:r>
        <w:rPr>
          <w:bCs/>
        </w:rPr>
        <w:t>In</w:t>
      </w:r>
      <w:r w:rsidR="00E85E3D">
        <w:rPr>
          <w:bCs/>
        </w:rPr>
        <w:t xml:space="preserve"> the scenario where </w:t>
      </w:r>
      <w:r w:rsidR="00F55835">
        <w:rPr>
          <w:bCs/>
        </w:rPr>
        <w:t xml:space="preserve">the proportion of </w:t>
      </w:r>
      <w:r w:rsidR="00285610">
        <w:rPr>
          <w:bCs/>
        </w:rPr>
        <w:t>businesses not undertaking ad</w:t>
      </w:r>
      <w:r w:rsidR="00AB1185">
        <w:rPr>
          <w:bCs/>
        </w:rPr>
        <w:t>eq</w:t>
      </w:r>
      <w:r w:rsidR="00285610">
        <w:rPr>
          <w:bCs/>
        </w:rPr>
        <w:t xml:space="preserve">uate maintenance under the Base Case is assumed to </w:t>
      </w:r>
      <w:r w:rsidR="00AB0D09">
        <w:rPr>
          <w:bCs/>
        </w:rPr>
        <w:t>halve</w:t>
      </w:r>
      <w:r w:rsidR="00285610">
        <w:rPr>
          <w:bCs/>
        </w:rPr>
        <w:t xml:space="preserve">, </w:t>
      </w:r>
      <w:r w:rsidR="000207C2">
        <w:rPr>
          <w:bCs/>
        </w:rPr>
        <w:t xml:space="preserve">the </w:t>
      </w:r>
      <w:r w:rsidR="00AB0D09">
        <w:rPr>
          <w:bCs/>
        </w:rPr>
        <w:t xml:space="preserve">NPV of </w:t>
      </w:r>
      <w:r w:rsidR="000207C2">
        <w:rPr>
          <w:bCs/>
        </w:rPr>
        <w:t xml:space="preserve">costs </w:t>
      </w:r>
      <w:r w:rsidR="00AB0D09">
        <w:rPr>
          <w:bCs/>
        </w:rPr>
        <w:t>decrease</w:t>
      </w:r>
      <w:r w:rsidR="000207C2">
        <w:rPr>
          <w:bCs/>
        </w:rPr>
        <w:t xml:space="preserve"> by </w:t>
      </w:r>
      <w:r w:rsidR="00086CBF">
        <w:rPr>
          <w:bCs/>
        </w:rPr>
        <w:t>$</w:t>
      </w:r>
      <w:r w:rsidR="00AB0D09" w:rsidRPr="001419A0">
        <w:rPr>
          <w:bCs/>
        </w:rPr>
        <w:t>16.4</w:t>
      </w:r>
      <w:r w:rsidR="00086CBF">
        <w:rPr>
          <w:bCs/>
        </w:rPr>
        <w:t xml:space="preserve"> million from $</w:t>
      </w:r>
      <w:r w:rsidR="00AB0D09">
        <w:rPr>
          <w:bCs/>
        </w:rPr>
        <w:t>62.</w:t>
      </w:r>
      <w:r w:rsidR="00114C09">
        <w:rPr>
          <w:bCs/>
        </w:rPr>
        <w:t>4</w:t>
      </w:r>
      <w:r w:rsidR="00086CBF">
        <w:rPr>
          <w:bCs/>
        </w:rPr>
        <w:t xml:space="preserve"> million to $</w:t>
      </w:r>
      <w:r w:rsidR="00AB0D09" w:rsidRPr="001419A0">
        <w:rPr>
          <w:bCs/>
        </w:rPr>
        <w:t>46.</w:t>
      </w:r>
      <w:r w:rsidR="00114C09">
        <w:rPr>
          <w:bCs/>
        </w:rPr>
        <w:t>0</w:t>
      </w:r>
      <w:r w:rsidR="00086CBF">
        <w:rPr>
          <w:bCs/>
        </w:rPr>
        <w:t xml:space="preserve"> million</w:t>
      </w:r>
      <w:r w:rsidR="00AB0D09">
        <w:rPr>
          <w:bCs/>
        </w:rPr>
        <w:t>.</w:t>
      </w:r>
      <w:r w:rsidR="00086CBF">
        <w:rPr>
          <w:bCs/>
        </w:rPr>
        <w:t xml:space="preserve"> </w:t>
      </w:r>
      <w:r w:rsidR="00AB0D09">
        <w:rPr>
          <w:bCs/>
        </w:rPr>
        <w:t xml:space="preserve">This means that the </w:t>
      </w:r>
      <w:r w:rsidR="00BA15B6">
        <w:rPr>
          <w:bCs/>
        </w:rPr>
        <w:t xml:space="preserve">total </w:t>
      </w:r>
      <w:r w:rsidR="00C5127F">
        <w:rPr>
          <w:bCs/>
        </w:rPr>
        <w:t>weighted score</w:t>
      </w:r>
      <w:r w:rsidR="00BA15B6">
        <w:rPr>
          <w:bCs/>
        </w:rPr>
        <w:t xml:space="preserve"> across all cost and benefit criteria)</w:t>
      </w:r>
      <w:r w:rsidR="00C5127F">
        <w:rPr>
          <w:bCs/>
        </w:rPr>
        <w:t xml:space="preserve"> for Option 1 </w:t>
      </w:r>
      <w:r w:rsidR="00AB0D09">
        <w:rPr>
          <w:bCs/>
        </w:rPr>
        <w:t>increases from +</w:t>
      </w:r>
      <w:r w:rsidR="002F7F85">
        <w:rPr>
          <w:bCs/>
        </w:rPr>
        <w:t>0.</w:t>
      </w:r>
      <w:r w:rsidR="00AB0D09">
        <w:rPr>
          <w:bCs/>
        </w:rPr>
        <w:t xml:space="preserve">5 to </w:t>
      </w:r>
      <w:r w:rsidR="00AB0D09" w:rsidRPr="001419A0">
        <w:rPr>
          <w:bCs/>
        </w:rPr>
        <w:t>+1.3</w:t>
      </w:r>
      <w:r w:rsidR="00AB0D09">
        <w:rPr>
          <w:bCs/>
        </w:rPr>
        <w:t>, strengthening Option 1 relative to the Base Case</w:t>
      </w:r>
      <w:r w:rsidR="00DA1440">
        <w:t>.</w:t>
      </w:r>
      <w:r w:rsidR="00AB0D09">
        <w:t xml:space="preserve"> This is expected to represent a lower bound estimate of maintenance costs while the estimate presented in Chapter 4 is expected to be an upper bound estimate.</w:t>
      </w:r>
    </w:p>
    <w:p w14:paraId="3F6C029D" w14:textId="5BB8472E" w:rsidR="003D3AB4" w:rsidRPr="008B30F9" w:rsidRDefault="00AB0D09" w:rsidP="003D3AB4">
      <w:pPr>
        <w:rPr>
          <w:color w:val="FF0000"/>
        </w:rPr>
      </w:pPr>
      <w:r>
        <w:rPr>
          <w:bCs/>
        </w:rPr>
        <w:t>Under the scenario where the proportion of businesses not undertaking adequate maintenance under the Base Case is assumed to double, the NPV of costs increase by $</w:t>
      </w:r>
      <w:r w:rsidR="00017825" w:rsidRPr="001419A0">
        <w:rPr>
          <w:bCs/>
        </w:rPr>
        <w:t>32.</w:t>
      </w:r>
      <w:r w:rsidR="00114C09">
        <w:rPr>
          <w:bCs/>
        </w:rPr>
        <w:t>7</w:t>
      </w:r>
      <w:r>
        <w:rPr>
          <w:bCs/>
        </w:rPr>
        <w:t xml:space="preserve"> million from $62.</w:t>
      </w:r>
      <w:r w:rsidR="00114C09">
        <w:rPr>
          <w:bCs/>
        </w:rPr>
        <w:t>4</w:t>
      </w:r>
      <w:r>
        <w:rPr>
          <w:bCs/>
        </w:rPr>
        <w:t xml:space="preserve"> million to $</w:t>
      </w:r>
      <w:r w:rsidR="00017825" w:rsidRPr="001419A0">
        <w:rPr>
          <w:bCs/>
        </w:rPr>
        <w:t>95.</w:t>
      </w:r>
      <w:r w:rsidR="00114C09">
        <w:rPr>
          <w:bCs/>
        </w:rPr>
        <w:t>1</w:t>
      </w:r>
      <w:r>
        <w:rPr>
          <w:bCs/>
        </w:rPr>
        <w:t xml:space="preserve">million. This means that the total weighted score across for Option 1 falls from +0.5 to </w:t>
      </w:r>
      <w:r w:rsidRPr="001419A0">
        <w:t>-0.7</w:t>
      </w:r>
      <w:r>
        <w:rPr>
          <w:bCs/>
        </w:rPr>
        <w:t xml:space="preserve">. </w:t>
      </w:r>
      <w:r>
        <w:t xml:space="preserve">However this scenario is considered very unlikely as maintenance costs used in the RIS are </w:t>
      </w:r>
      <w:r w:rsidR="00C77342">
        <w:t xml:space="preserve">already </w:t>
      </w:r>
      <w:r>
        <w:t>considered to be upper bound estimates.</w:t>
      </w:r>
    </w:p>
    <w:p w14:paraId="2CA601FA" w14:textId="23F5512D" w:rsidR="005450AE" w:rsidRPr="001419A0" w:rsidRDefault="003D3AB4" w:rsidP="001B35DC">
      <w:pPr>
        <w:spacing w:after="0"/>
        <w:rPr>
          <w:b/>
        </w:rPr>
      </w:pPr>
      <w:bookmarkStart w:id="234" w:name="_Toc463002439"/>
      <w:bookmarkStart w:id="235" w:name="_Toc472586353"/>
      <w:bookmarkStart w:id="236" w:name="_Toc482168131"/>
      <w:bookmarkStart w:id="237" w:name="_Toc482174916"/>
      <w:bookmarkStart w:id="238" w:name="_Toc10111316"/>
      <w:bookmarkStart w:id="239" w:name="_Toc17892147"/>
      <w:bookmarkEnd w:id="227"/>
      <w:r w:rsidRPr="001419A0">
        <w:rPr>
          <w:b/>
        </w:rPr>
        <w:t>Varying</w:t>
      </w:r>
      <w:r w:rsidR="00851982" w:rsidRPr="001419A0">
        <w:rPr>
          <w:b/>
        </w:rPr>
        <w:t xml:space="preserve"> </w:t>
      </w:r>
      <w:r w:rsidR="009A7425" w:rsidRPr="001419A0">
        <w:rPr>
          <w:b/>
        </w:rPr>
        <w:t>the n</w:t>
      </w:r>
      <w:r w:rsidR="005450AE" w:rsidRPr="001419A0">
        <w:rPr>
          <w:b/>
        </w:rPr>
        <w:t xml:space="preserve">umber of prescribed accommodation facilities and occupancy </w:t>
      </w:r>
    </w:p>
    <w:p w14:paraId="293A9155" w14:textId="5091FC62" w:rsidR="00A633EA" w:rsidRDefault="00A633EA" w:rsidP="00A633EA">
      <w:r>
        <w:t xml:space="preserve">This sensitivity test demonstrates the impact on costs if </w:t>
      </w:r>
      <w:r w:rsidR="00B8278A">
        <w:t>the</w:t>
      </w:r>
      <w:r>
        <w:t xml:space="preserve"> assumption</w:t>
      </w:r>
      <w:r w:rsidR="006972F2">
        <w:t>s about</w:t>
      </w:r>
      <w:r w:rsidR="00AE572B">
        <w:t xml:space="preserve"> the number of</w:t>
      </w:r>
      <w:r w:rsidR="006972F2">
        <w:t xml:space="preserve"> </w:t>
      </w:r>
      <w:r w:rsidR="00AE572B">
        <w:t xml:space="preserve">prescribed accommodation facilities and occupancy </w:t>
      </w:r>
      <w:r w:rsidR="00A26546">
        <w:t>rates</w:t>
      </w:r>
      <w:r w:rsidR="00B8278A">
        <w:t xml:space="preserve"> are varied</w:t>
      </w:r>
      <w:r w:rsidR="00A26546">
        <w:t>.</w:t>
      </w:r>
      <w:r w:rsidR="00992EA5">
        <w:t xml:space="preserve"> Adjustments to these assumptions affect all costs quantified in Chapter 4. </w:t>
      </w:r>
      <w:r w:rsidR="00A26546">
        <w:t xml:space="preserve"> </w:t>
      </w:r>
    </w:p>
    <w:p w14:paraId="6A839A4A" w14:textId="26B634E4" w:rsidR="00D33AAA" w:rsidRDefault="00D33AAA" w:rsidP="005450AE">
      <w:r>
        <w:t xml:space="preserve">For Scenario </w:t>
      </w:r>
      <w:r w:rsidR="00DA1440">
        <w:t>1</w:t>
      </w:r>
      <w:r>
        <w:t>, it is assumed that</w:t>
      </w:r>
      <w:r w:rsidR="00220010">
        <w:t>:</w:t>
      </w:r>
    </w:p>
    <w:p w14:paraId="660B798A" w14:textId="6C8949C4" w:rsidR="00362973" w:rsidRDefault="00C72134" w:rsidP="001419A0">
      <w:pPr>
        <w:pStyle w:val="ListParagraph"/>
        <w:numPr>
          <w:ilvl w:val="0"/>
          <w:numId w:val="164"/>
        </w:numPr>
      </w:pPr>
      <w:r>
        <w:t>Zero</w:t>
      </w:r>
      <w:r w:rsidR="005450AE">
        <w:t xml:space="preserve"> growth in the number of prescribed accommodation facilities over the life of the Regulations. </w:t>
      </w:r>
      <w:r w:rsidR="002D0AEC">
        <w:t>This compares to</w:t>
      </w:r>
      <w:r w:rsidR="002D0AEC" w:rsidRPr="002D0AEC">
        <w:t xml:space="preserve"> </w:t>
      </w:r>
      <w:r w:rsidR="002D0AEC">
        <w:t>growth rates used in the Chapter 4 MCA analysis</w:t>
      </w:r>
      <w:r w:rsidR="002D0AEC" w:rsidRPr="002D0AEC">
        <w:t xml:space="preserve"> </w:t>
      </w:r>
      <w:r w:rsidR="003F0443">
        <w:t>as follows:</w:t>
      </w:r>
      <w:r w:rsidR="002D0AEC" w:rsidRPr="002D0AEC">
        <w:t xml:space="preserve"> residential accommodation and rooming houses 3% </w:t>
      </w:r>
      <w:r w:rsidR="006E5715">
        <w:t xml:space="preserve">growth </w:t>
      </w:r>
      <w:r w:rsidR="002D0AEC" w:rsidRPr="002D0AEC">
        <w:t xml:space="preserve">p.a.; hotels, models and student dormitories 2% </w:t>
      </w:r>
      <w:r w:rsidR="006E5715">
        <w:t xml:space="preserve">growth </w:t>
      </w:r>
      <w:r w:rsidR="002D0AEC" w:rsidRPr="002D0AEC">
        <w:t xml:space="preserve">p.a.; hostels 1% </w:t>
      </w:r>
      <w:r w:rsidR="006E5715">
        <w:t xml:space="preserve">growth </w:t>
      </w:r>
      <w:r w:rsidR="002D0AEC" w:rsidRPr="002D0AEC">
        <w:t>p.a.</w:t>
      </w:r>
      <w:r w:rsidR="006E5715">
        <w:t xml:space="preserve">; </w:t>
      </w:r>
      <w:r w:rsidR="002D0AEC" w:rsidRPr="002D0AEC">
        <w:t xml:space="preserve">holiday camps 0% p.a. </w:t>
      </w:r>
      <w:r w:rsidR="008065D0">
        <w:t>growth.</w:t>
      </w:r>
    </w:p>
    <w:p w14:paraId="4F03D51F" w14:textId="5E287854" w:rsidR="00191A2E" w:rsidRDefault="00220010" w:rsidP="003A607C">
      <w:pPr>
        <w:pStyle w:val="ListParagraph"/>
        <w:numPr>
          <w:ilvl w:val="0"/>
          <w:numId w:val="164"/>
        </w:numPr>
      </w:pPr>
      <w:r>
        <w:t>T</w:t>
      </w:r>
      <w:r w:rsidR="005450AE">
        <w:t>ourism-based accommodation have 50% of their pre-</w:t>
      </w:r>
      <w:r w:rsidR="009C74F2">
        <w:t xml:space="preserve">COVID-19 </w:t>
      </w:r>
      <w:r w:rsidR="005450AE">
        <w:t xml:space="preserve">occupancy </w:t>
      </w:r>
      <w:r w:rsidR="00BA7328">
        <w:t>for the first five years and th</w:t>
      </w:r>
      <w:r w:rsidR="002315F5">
        <w:t>en</w:t>
      </w:r>
      <w:r w:rsidR="00BA7328">
        <w:t xml:space="preserve"> gradually increases to reach pre-C</w:t>
      </w:r>
      <w:r w:rsidR="009C74F2">
        <w:t>OVID-19</w:t>
      </w:r>
      <w:r w:rsidR="00BA7328">
        <w:t xml:space="preserve"> levels by 2030. </w:t>
      </w:r>
      <w:r w:rsidR="00191A2E">
        <w:t>The revised assumptions mean that:</w:t>
      </w:r>
    </w:p>
    <w:p w14:paraId="6113F77A" w14:textId="1EB83750" w:rsidR="00191A2E" w:rsidRDefault="00191A2E" w:rsidP="00191A2E">
      <w:pPr>
        <w:pStyle w:val="ListParagraph"/>
        <w:numPr>
          <w:ilvl w:val="1"/>
          <w:numId w:val="164"/>
        </w:numPr>
      </w:pPr>
      <w:r>
        <w:t>Residential accommodation</w:t>
      </w:r>
      <w:r w:rsidR="005F3269">
        <w:t>:</w:t>
      </w:r>
      <w:r>
        <w:t xml:space="preserve"> occup</w:t>
      </w:r>
      <w:r w:rsidR="000D65FD">
        <w:t xml:space="preserve">ancy of </w:t>
      </w:r>
      <w:r>
        <w:t>33% between 2021-2025, and gradually increased to 65% occupancy in 2030</w:t>
      </w:r>
    </w:p>
    <w:p w14:paraId="5609EEC4" w14:textId="1C2EB68E" w:rsidR="00191A2E" w:rsidRDefault="00191A2E" w:rsidP="00191A2E">
      <w:pPr>
        <w:pStyle w:val="ListParagraph"/>
        <w:numPr>
          <w:ilvl w:val="1"/>
          <w:numId w:val="164"/>
        </w:numPr>
      </w:pPr>
      <w:r>
        <w:t>Hotels and motels</w:t>
      </w:r>
      <w:r w:rsidR="000D65FD">
        <w:t>:</w:t>
      </w:r>
      <w:r>
        <w:t xml:space="preserve"> </w:t>
      </w:r>
      <w:r w:rsidR="004B78E6">
        <w:t>occupancy of</w:t>
      </w:r>
      <w:r>
        <w:t xml:space="preserve"> 36% between 2021-2025, and gradually increased to 73% occupancy in 2030</w:t>
      </w:r>
    </w:p>
    <w:p w14:paraId="5619C12C" w14:textId="471E2BCB" w:rsidR="00191A2E" w:rsidRDefault="00191A2E" w:rsidP="00191A2E">
      <w:pPr>
        <w:pStyle w:val="ListParagraph"/>
        <w:numPr>
          <w:ilvl w:val="1"/>
          <w:numId w:val="164"/>
        </w:numPr>
      </w:pPr>
      <w:r>
        <w:t>Hostels</w:t>
      </w:r>
      <w:r w:rsidR="004B78E6">
        <w:t xml:space="preserve">: occupancy of </w:t>
      </w:r>
      <w:r>
        <w:t>46% between 2021-2025, and gradually increased to 92% occupancy in 2030</w:t>
      </w:r>
    </w:p>
    <w:p w14:paraId="3514AB5F" w14:textId="28834766" w:rsidR="00191A2E" w:rsidRDefault="00191A2E" w:rsidP="00191A2E">
      <w:pPr>
        <w:pStyle w:val="ListParagraph"/>
        <w:numPr>
          <w:ilvl w:val="1"/>
          <w:numId w:val="164"/>
        </w:numPr>
      </w:pPr>
      <w:r>
        <w:t>Holiday camps</w:t>
      </w:r>
      <w:r w:rsidR="004B78E6">
        <w:t>: occupancy of</w:t>
      </w:r>
      <w:r>
        <w:t xml:space="preserve"> 12% between 2021-2025, and gradually increased to 23% occupancy in 2030</w:t>
      </w:r>
    </w:p>
    <w:p w14:paraId="02B02EB3" w14:textId="4416BDA7" w:rsidR="00AD1D42" w:rsidRDefault="00191A2E" w:rsidP="001419A0">
      <w:pPr>
        <w:pStyle w:val="ListParagraph"/>
        <w:numPr>
          <w:ilvl w:val="1"/>
          <w:numId w:val="164"/>
        </w:numPr>
      </w:pPr>
      <w:r>
        <w:t>Student dormitories and rooming houses</w:t>
      </w:r>
      <w:r w:rsidR="004B78E6">
        <w:t>:</w:t>
      </w:r>
      <w:r>
        <w:t xml:space="preserve"> 100% occupancy as per Chapter 4 because it is assumed that they are not impacted by tourism </w:t>
      </w:r>
      <w:r w:rsidR="00C72134">
        <w:t>forces</w:t>
      </w:r>
      <w:r>
        <w:t>.</w:t>
      </w:r>
    </w:p>
    <w:p w14:paraId="03054CF1" w14:textId="6FB3C2A1" w:rsidR="005450AE" w:rsidRDefault="003A607C" w:rsidP="001419A0">
      <w:r>
        <w:t xml:space="preserve">These rates can be compared to </w:t>
      </w:r>
      <w:r w:rsidR="00992EA5">
        <w:t xml:space="preserve">the occupancy rates used of the MCA analysis set out in section 4.2.3. </w:t>
      </w:r>
    </w:p>
    <w:p w14:paraId="3982D9F7" w14:textId="6F70DA5E" w:rsidR="00F96401" w:rsidRDefault="00F96401" w:rsidP="00F96401">
      <w:pPr>
        <w:pStyle w:val="Bullet1"/>
        <w:numPr>
          <w:ilvl w:val="0"/>
          <w:numId w:val="0"/>
        </w:numPr>
      </w:pPr>
      <w:r>
        <w:t>For scenario 2, it is assumed that:</w:t>
      </w:r>
    </w:p>
    <w:p w14:paraId="482E0CDA" w14:textId="7D1332A7" w:rsidR="00220010" w:rsidRDefault="00220010" w:rsidP="00220010">
      <w:pPr>
        <w:pStyle w:val="ListParagraph"/>
        <w:numPr>
          <w:ilvl w:val="0"/>
          <w:numId w:val="164"/>
        </w:numPr>
      </w:pPr>
      <w:r>
        <w:t xml:space="preserve">The </w:t>
      </w:r>
      <w:r w:rsidR="003F1FF2">
        <w:t xml:space="preserve">number of prescribed accommodation facilities grows at double the growth </w:t>
      </w:r>
      <w:r w:rsidR="00C307EC">
        <w:t>compared to what is assumed in Chapter 4.</w:t>
      </w:r>
    </w:p>
    <w:p w14:paraId="5EE06727" w14:textId="002028F2" w:rsidR="003F1FF2" w:rsidRDefault="00220010" w:rsidP="001419A0">
      <w:pPr>
        <w:pStyle w:val="ListParagraph"/>
        <w:numPr>
          <w:ilvl w:val="0"/>
          <w:numId w:val="164"/>
        </w:numPr>
      </w:pPr>
      <w:r>
        <w:t>T</w:t>
      </w:r>
      <w:r w:rsidR="003F1FF2">
        <w:t xml:space="preserve">ourism-based accommodation </w:t>
      </w:r>
      <w:r w:rsidR="00F406F4">
        <w:t>including</w:t>
      </w:r>
      <w:r w:rsidR="003F1FF2">
        <w:t xml:space="preserve"> residential accommodation, hotels and motels, hostels and holiday camps have 100% occupancy over the life of the Regulations. </w:t>
      </w:r>
    </w:p>
    <w:p w14:paraId="5EA3B54E" w14:textId="4628DD52" w:rsidR="00467B2F" w:rsidRDefault="00B30DC0" w:rsidP="004411EE">
      <w:pPr>
        <w:rPr>
          <w:rFonts w:ascii="Calibri" w:eastAsia="Times New Roman" w:hAnsi="Calibri" w:cs="Arial"/>
          <w:sz w:val="22"/>
          <w:szCs w:val="20"/>
          <w:lang w:eastAsia="en-AU"/>
        </w:rPr>
      </w:pPr>
      <w:r w:rsidRPr="001419A0">
        <w:rPr>
          <w:rFonts w:ascii="Calibri" w:eastAsia="Times New Roman" w:hAnsi="Calibri" w:cs="Arial"/>
          <w:sz w:val="22"/>
          <w:szCs w:val="20"/>
          <w:lang w:eastAsia="en-AU"/>
        </w:rPr>
        <w:t>The i</w:t>
      </w:r>
      <w:r w:rsidR="007F4262" w:rsidRPr="001419A0">
        <w:rPr>
          <w:rFonts w:ascii="Calibri" w:eastAsia="Times New Roman" w:hAnsi="Calibri" w:cs="Arial"/>
          <w:sz w:val="22"/>
          <w:szCs w:val="20"/>
          <w:lang w:eastAsia="en-AU"/>
        </w:rPr>
        <w:t>mpact of these scenario</w:t>
      </w:r>
      <w:r w:rsidR="006A4540">
        <w:rPr>
          <w:rFonts w:ascii="Calibri" w:eastAsia="Times New Roman" w:hAnsi="Calibri" w:cs="Arial"/>
          <w:sz w:val="22"/>
          <w:szCs w:val="20"/>
          <w:lang w:eastAsia="en-AU"/>
        </w:rPr>
        <w:t xml:space="preserve"> assumptions</w:t>
      </w:r>
      <w:r w:rsidR="007F4262" w:rsidRPr="001419A0">
        <w:rPr>
          <w:rFonts w:ascii="Calibri" w:eastAsia="Times New Roman" w:hAnsi="Calibri" w:cs="Arial"/>
          <w:sz w:val="22"/>
          <w:szCs w:val="20"/>
          <w:lang w:eastAsia="en-AU"/>
        </w:rPr>
        <w:t xml:space="preserve"> on</w:t>
      </w:r>
      <w:r w:rsidR="003963AD">
        <w:rPr>
          <w:rFonts w:ascii="Calibri" w:eastAsia="Times New Roman" w:hAnsi="Calibri" w:cs="Arial"/>
          <w:sz w:val="22"/>
          <w:szCs w:val="20"/>
          <w:lang w:eastAsia="en-AU"/>
        </w:rPr>
        <w:t xml:space="preserve"> the</w:t>
      </w:r>
      <w:r w:rsidR="00444BAB">
        <w:rPr>
          <w:rFonts w:ascii="Calibri" w:eastAsia="Times New Roman" w:hAnsi="Calibri" w:cs="Arial"/>
          <w:sz w:val="22"/>
          <w:szCs w:val="20"/>
          <w:lang w:eastAsia="en-AU"/>
        </w:rPr>
        <w:t xml:space="preserve"> estimated</w:t>
      </w:r>
      <w:r w:rsidR="007F4262" w:rsidRPr="001419A0">
        <w:rPr>
          <w:rFonts w:ascii="Calibri" w:eastAsia="Times New Roman" w:hAnsi="Calibri" w:cs="Arial"/>
          <w:sz w:val="22"/>
          <w:szCs w:val="20"/>
          <w:lang w:eastAsia="en-AU"/>
        </w:rPr>
        <w:t xml:space="preserve"> number of </w:t>
      </w:r>
      <w:r w:rsidR="00677F9D" w:rsidRPr="001419A0">
        <w:rPr>
          <w:rFonts w:ascii="Calibri" w:eastAsia="Times New Roman" w:hAnsi="Calibri" w:cs="Arial"/>
          <w:sz w:val="22"/>
          <w:szCs w:val="20"/>
          <w:lang w:eastAsia="en-AU"/>
        </w:rPr>
        <w:t>total prescribed accommodation facilities and total occupants for 2021-2030 is shown in Table F.</w:t>
      </w:r>
      <w:r w:rsidR="006D32EF">
        <w:rPr>
          <w:rFonts w:ascii="Calibri" w:eastAsia="Times New Roman" w:hAnsi="Calibri" w:cs="Arial"/>
          <w:sz w:val="22"/>
          <w:szCs w:val="20"/>
          <w:lang w:eastAsia="en-AU"/>
        </w:rPr>
        <w:t>2</w:t>
      </w:r>
      <w:r w:rsidR="00677F9D" w:rsidRPr="001419A0">
        <w:rPr>
          <w:rFonts w:ascii="Calibri" w:eastAsia="Times New Roman" w:hAnsi="Calibri" w:cs="Arial"/>
          <w:sz w:val="22"/>
          <w:szCs w:val="20"/>
          <w:lang w:eastAsia="en-AU"/>
        </w:rPr>
        <w:t>.</w:t>
      </w:r>
    </w:p>
    <w:p w14:paraId="4F89992A" w14:textId="67B2DA93" w:rsidR="00467B2F" w:rsidRDefault="00467B2F">
      <w:pPr>
        <w:spacing w:after="0"/>
        <w:rPr>
          <w:rFonts w:ascii="Calibri" w:eastAsia="Times New Roman" w:hAnsi="Calibri" w:cs="Arial"/>
          <w:sz w:val="22"/>
          <w:szCs w:val="20"/>
          <w:lang w:eastAsia="en-AU"/>
        </w:rPr>
      </w:pPr>
      <w:r>
        <w:rPr>
          <w:rFonts w:ascii="Calibri" w:eastAsia="Times New Roman" w:hAnsi="Calibri" w:cs="Arial"/>
          <w:sz w:val="22"/>
          <w:szCs w:val="20"/>
          <w:lang w:eastAsia="en-AU"/>
        </w:rPr>
        <w:br w:type="page"/>
      </w:r>
      <w:r w:rsidR="00D25A82">
        <w:rPr>
          <w:rFonts w:ascii="Calibri" w:eastAsia="Times New Roman" w:hAnsi="Calibri" w:cs="Arial"/>
          <w:sz w:val="22"/>
          <w:szCs w:val="20"/>
          <w:lang w:eastAsia="en-AU"/>
        </w:rPr>
        <w:t xml:space="preserve"> </w:t>
      </w:r>
    </w:p>
    <w:p w14:paraId="6980839B" w14:textId="08C1FD04" w:rsidR="00C863EB" w:rsidRDefault="009A7425" w:rsidP="00EF2AB7">
      <w:pPr>
        <w:pStyle w:val="CaptionChart"/>
      </w:pPr>
      <w:r w:rsidRPr="000A704B">
        <w:rPr>
          <w:color w:val="000000" w:themeColor="text1"/>
        </w:rPr>
        <w:t>Table F.</w:t>
      </w:r>
      <w:r w:rsidR="006D32EF" w:rsidRPr="000A704B">
        <w:rPr>
          <w:color w:val="000000" w:themeColor="text1"/>
        </w:rPr>
        <w:t>2</w:t>
      </w:r>
      <w:r w:rsidRPr="000A704B">
        <w:rPr>
          <w:color w:val="000000" w:themeColor="text1"/>
        </w:rPr>
        <w:t xml:space="preserve">: Sensitivity test </w:t>
      </w:r>
      <w:r w:rsidR="00EA3230" w:rsidRPr="000A704B">
        <w:rPr>
          <w:color w:val="000000" w:themeColor="text1"/>
        </w:rPr>
        <w:t xml:space="preserve">inputs </w:t>
      </w:r>
      <w:r w:rsidRPr="000A704B">
        <w:rPr>
          <w:color w:val="000000" w:themeColor="text1"/>
        </w:rPr>
        <w:t xml:space="preserve">– </w:t>
      </w:r>
      <w:r w:rsidR="004335F8" w:rsidRPr="000A704B">
        <w:rPr>
          <w:color w:val="000000" w:themeColor="text1"/>
        </w:rPr>
        <w:t>varying</w:t>
      </w:r>
      <w:r w:rsidRPr="000A704B">
        <w:rPr>
          <w:color w:val="000000" w:themeColor="text1"/>
        </w:rPr>
        <w:t xml:space="preserve"> prescribed accommodation facilities and occupancy</w:t>
      </w:r>
    </w:p>
    <w:tbl>
      <w:tblPr>
        <w:tblStyle w:val="Deloittetable"/>
        <w:tblW w:w="5000" w:type="pct"/>
        <w:tblLook w:val="04A0" w:firstRow="1" w:lastRow="0" w:firstColumn="1" w:lastColumn="0" w:noHBand="0" w:noVBand="1"/>
      </w:tblPr>
      <w:tblGrid>
        <w:gridCol w:w="3544"/>
        <w:gridCol w:w="3278"/>
        <w:gridCol w:w="2204"/>
      </w:tblGrid>
      <w:tr w:rsidR="002A39F3" w:rsidRPr="003D5D1B" w14:paraId="73447D87" w14:textId="7F8F4763" w:rsidTr="001419A0">
        <w:trPr>
          <w:cnfStyle w:val="100000000000" w:firstRow="1" w:lastRow="0" w:firstColumn="0" w:lastColumn="0" w:oddVBand="0" w:evenVBand="0" w:oddHBand="0" w:evenHBand="0" w:firstRowFirstColumn="0" w:firstRowLastColumn="0" w:lastRowFirstColumn="0" w:lastRowLastColumn="0"/>
          <w:trHeight w:val="209"/>
        </w:trPr>
        <w:tc>
          <w:tcPr>
            <w:tcW w:w="1963" w:type="pct"/>
            <w:noWrap/>
            <w:hideMark/>
          </w:tcPr>
          <w:p w14:paraId="05A33A7E" w14:textId="77777777" w:rsidR="002A39F3" w:rsidRPr="001419A0" w:rsidRDefault="002A39F3" w:rsidP="00111FB0">
            <w:pPr>
              <w:spacing w:after="0" w:line="240" w:lineRule="auto"/>
              <w:rPr>
                <w:rFonts w:asciiTheme="majorHAnsi" w:eastAsia="Times New Roman" w:hAnsiTheme="majorHAnsi" w:cs="Times New Roman"/>
                <w:b/>
                <w:color w:val="000000"/>
                <w:sz w:val="14"/>
                <w:szCs w:val="14"/>
                <w:lang w:eastAsia="en-AU"/>
              </w:rPr>
            </w:pPr>
          </w:p>
        </w:tc>
        <w:tc>
          <w:tcPr>
            <w:tcW w:w="1816" w:type="pct"/>
          </w:tcPr>
          <w:p w14:paraId="2BD3B145" w14:textId="08B1DC1F" w:rsidR="002A39F3" w:rsidRPr="001419A0" w:rsidRDefault="002A39F3" w:rsidP="00111FB0">
            <w:pPr>
              <w:spacing w:after="0" w:line="240" w:lineRule="auto"/>
              <w:rPr>
                <w:rFonts w:asciiTheme="majorHAnsi" w:eastAsia="Times New Roman" w:hAnsiTheme="majorHAnsi" w:cs="Times New Roman"/>
                <w:b/>
                <w:color w:val="000000"/>
                <w:sz w:val="14"/>
                <w:szCs w:val="14"/>
                <w:lang w:eastAsia="en-AU"/>
              </w:rPr>
            </w:pPr>
            <w:r w:rsidRPr="001419A0">
              <w:rPr>
                <w:rFonts w:asciiTheme="majorHAnsi" w:eastAsia="Times New Roman" w:hAnsiTheme="majorHAnsi" w:cs="Times New Roman"/>
                <w:b/>
                <w:color w:val="000000"/>
                <w:sz w:val="14"/>
                <w:szCs w:val="14"/>
                <w:lang w:eastAsia="en-AU"/>
              </w:rPr>
              <w:t>Total prescribed accommodation facilities 2021-2030</w:t>
            </w:r>
          </w:p>
        </w:tc>
        <w:tc>
          <w:tcPr>
            <w:tcW w:w="1221" w:type="pct"/>
          </w:tcPr>
          <w:p w14:paraId="5F15E77D" w14:textId="7037A8FC" w:rsidR="002A39F3" w:rsidRPr="001419A0" w:rsidRDefault="002A39F3">
            <w:pPr>
              <w:spacing w:after="0" w:line="240" w:lineRule="auto"/>
              <w:rPr>
                <w:rFonts w:asciiTheme="majorHAnsi" w:eastAsia="Times New Roman" w:hAnsiTheme="majorHAnsi" w:cs="Times New Roman"/>
                <w:b/>
                <w:color w:val="000000"/>
                <w:sz w:val="14"/>
                <w:szCs w:val="14"/>
                <w:lang w:eastAsia="en-AU"/>
              </w:rPr>
            </w:pPr>
            <w:r w:rsidRPr="001419A0">
              <w:rPr>
                <w:rFonts w:asciiTheme="majorHAnsi" w:eastAsia="Times New Roman" w:hAnsiTheme="majorHAnsi" w:cs="Times New Roman"/>
                <w:b/>
                <w:color w:val="000000"/>
                <w:sz w:val="14"/>
                <w:szCs w:val="14"/>
                <w:lang w:eastAsia="en-AU"/>
              </w:rPr>
              <w:t>Total occupants 2021-2030</w:t>
            </w:r>
          </w:p>
        </w:tc>
      </w:tr>
      <w:tr w:rsidR="002A39F3" w:rsidRPr="003D5D1B" w14:paraId="17E7B226" w14:textId="72AD3554" w:rsidTr="001419A0">
        <w:trPr>
          <w:trHeight w:val="209"/>
        </w:trPr>
        <w:tc>
          <w:tcPr>
            <w:tcW w:w="1963" w:type="pct"/>
            <w:noWrap/>
          </w:tcPr>
          <w:p w14:paraId="5AB0EDE3" w14:textId="147C8812" w:rsidR="002A39F3" w:rsidRPr="001419A0" w:rsidRDefault="002A39F3" w:rsidP="00EF2AB7">
            <w:pPr>
              <w:spacing w:after="0" w:line="240" w:lineRule="auto"/>
              <w:rPr>
                <w:rFonts w:asciiTheme="majorHAnsi" w:eastAsia="Times New Roman" w:hAnsiTheme="majorHAnsi" w:cs="Times New Roman"/>
                <w:b/>
                <w:sz w:val="14"/>
                <w:szCs w:val="14"/>
                <w:lang w:eastAsia="en-AU"/>
              </w:rPr>
            </w:pPr>
            <w:r w:rsidRPr="001419A0">
              <w:rPr>
                <w:rFonts w:asciiTheme="majorHAnsi" w:eastAsia="Times New Roman" w:hAnsiTheme="majorHAnsi" w:cs="Times New Roman"/>
                <w:b/>
                <w:sz w:val="14"/>
                <w:szCs w:val="14"/>
                <w:lang w:eastAsia="en-AU"/>
              </w:rPr>
              <w:t>Total facilities (10 years)</w:t>
            </w:r>
          </w:p>
        </w:tc>
        <w:tc>
          <w:tcPr>
            <w:tcW w:w="1816" w:type="pct"/>
          </w:tcPr>
          <w:p w14:paraId="50A2FD99" w14:textId="4F97853E" w:rsidR="002A39F3" w:rsidRPr="001419A0" w:rsidRDefault="002A39F3" w:rsidP="00C863EB">
            <w:pPr>
              <w:spacing w:after="0" w:line="240" w:lineRule="auto"/>
              <w:rPr>
                <w:rFonts w:asciiTheme="majorHAnsi" w:hAnsiTheme="majorHAnsi"/>
                <w:sz w:val="14"/>
                <w:szCs w:val="14"/>
              </w:rPr>
            </w:pPr>
            <w:r w:rsidRPr="001419A0">
              <w:rPr>
                <w:rFonts w:asciiTheme="majorHAnsi" w:hAnsiTheme="majorHAnsi"/>
                <w:b/>
                <w:sz w:val="14"/>
                <w:szCs w:val="14"/>
              </w:rPr>
              <w:t>56,968</w:t>
            </w:r>
          </w:p>
        </w:tc>
        <w:tc>
          <w:tcPr>
            <w:tcW w:w="1221" w:type="pct"/>
          </w:tcPr>
          <w:p w14:paraId="68305A24" w14:textId="6405F6F9" w:rsidR="002A39F3" w:rsidRPr="001419A0" w:rsidRDefault="002A39F3" w:rsidP="00C863EB">
            <w:pPr>
              <w:spacing w:after="0" w:line="240" w:lineRule="auto"/>
              <w:rPr>
                <w:rFonts w:asciiTheme="majorHAnsi" w:hAnsiTheme="majorHAnsi"/>
                <w:b/>
                <w:sz w:val="14"/>
                <w:szCs w:val="14"/>
              </w:rPr>
            </w:pPr>
            <w:r w:rsidRPr="001419A0">
              <w:rPr>
                <w:rFonts w:asciiTheme="majorHAnsi" w:hAnsiTheme="majorHAnsi"/>
                <w:b/>
                <w:sz w:val="14"/>
                <w:szCs w:val="14"/>
              </w:rPr>
              <w:t>142 million</w:t>
            </w:r>
          </w:p>
        </w:tc>
      </w:tr>
      <w:tr w:rsidR="002A39F3" w:rsidRPr="003D5D1B" w14:paraId="1CF9132D" w14:textId="77777777" w:rsidTr="001419A0">
        <w:trPr>
          <w:trHeight w:val="209"/>
        </w:trPr>
        <w:tc>
          <w:tcPr>
            <w:tcW w:w="1963" w:type="pct"/>
            <w:noWrap/>
          </w:tcPr>
          <w:p w14:paraId="0FA3D7DB" w14:textId="5C8B6A30" w:rsidR="002A39F3" w:rsidRPr="001419A0" w:rsidRDefault="002A39F3" w:rsidP="00EF2AB7">
            <w:pPr>
              <w:spacing w:after="0" w:line="240" w:lineRule="auto"/>
              <w:rPr>
                <w:rFonts w:asciiTheme="majorHAnsi" w:eastAsia="Times New Roman" w:hAnsiTheme="majorHAnsi" w:cs="Times New Roman"/>
                <w:b/>
                <w:sz w:val="14"/>
                <w:szCs w:val="14"/>
                <w:lang w:eastAsia="en-AU"/>
              </w:rPr>
            </w:pPr>
            <w:r w:rsidRPr="001419A0">
              <w:rPr>
                <w:rFonts w:asciiTheme="majorHAnsi" w:eastAsia="Times New Roman" w:hAnsiTheme="majorHAnsi" w:cs="Times New Roman"/>
                <w:b/>
                <w:sz w:val="14"/>
                <w:szCs w:val="14"/>
                <w:lang w:eastAsia="en-AU"/>
              </w:rPr>
              <w:t>Scenario 1 Decreased</w:t>
            </w:r>
          </w:p>
        </w:tc>
        <w:tc>
          <w:tcPr>
            <w:tcW w:w="1816" w:type="pct"/>
          </w:tcPr>
          <w:p w14:paraId="1B9CA31C" w14:textId="53E09136" w:rsidR="002A39F3" w:rsidRPr="001419A0" w:rsidRDefault="006678A2" w:rsidP="00C863EB">
            <w:pPr>
              <w:spacing w:after="0" w:line="240" w:lineRule="auto"/>
              <w:rPr>
                <w:rFonts w:asciiTheme="majorHAnsi" w:hAnsiTheme="majorHAnsi"/>
                <w:b/>
                <w:sz w:val="14"/>
                <w:szCs w:val="14"/>
              </w:rPr>
            </w:pPr>
            <w:r w:rsidRPr="001419A0">
              <w:rPr>
                <w:rFonts w:asciiTheme="majorHAnsi" w:hAnsiTheme="majorHAnsi"/>
                <w:b/>
                <w:sz w:val="14"/>
                <w:szCs w:val="14"/>
              </w:rPr>
              <w:t>48,230</w:t>
            </w:r>
          </w:p>
        </w:tc>
        <w:tc>
          <w:tcPr>
            <w:tcW w:w="1221" w:type="pct"/>
          </w:tcPr>
          <w:p w14:paraId="62F2CE75" w14:textId="692FADE4" w:rsidR="002A39F3" w:rsidRPr="001419A0" w:rsidRDefault="006678A2" w:rsidP="00C863EB">
            <w:pPr>
              <w:spacing w:after="0" w:line="240" w:lineRule="auto"/>
              <w:rPr>
                <w:rFonts w:asciiTheme="majorHAnsi" w:hAnsiTheme="majorHAnsi"/>
                <w:b/>
                <w:sz w:val="14"/>
                <w:szCs w:val="14"/>
              </w:rPr>
            </w:pPr>
            <w:r w:rsidRPr="001419A0">
              <w:rPr>
                <w:rFonts w:asciiTheme="majorHAnsi" w:hAnsiTheme="majorHAnsi"/>
                <w:b/>
                <w:sz w:val="14"/>
                <w:szCs w:val="14"/>
              </w:rPr>
              <w:t>81</w:t>
            </w:r>
            <w:r w:rsidR="002A39F3" w:rsidRPr="001419A0">
              <w:rPr>
                <w:rFonts w:asciiTheme="majorHAnsi" w:hAnsiTheme="majorHAnsi"/>
                <w:b/>
                <w:sz w:val="14"/>
                <w:szCs w:val="14"/>
              </w:rPr>
              <w:t xml:space="preserve"> million</w:t>
            </w:r>
          </w:p>
        </w:tc>
      </w:tr>
      <w:tr w:rsidR="002A39F3" w:rsidRPr="003D5D1B" w14:paraId="0B8AE053" w14:textId="77777777" w:rsidTr="001419A0">
        <w:trPr>
          <w:trHeight w:val="209"/>
        </w:trPr>
        <w:tc>
          <w:tcPr>
            <w:tcW w:w="1963" w:type="pct"/>
            <w:noWrap/>
          </w:tcPr>
          <w:p w14:paraId="175ABAC8" w14:textId="5F084C9F" w:rsidR="002A39F3" w:rsidRPr="001419A0" w:rsidRDefault="002A39F3" w:rsidP="00EF2AB7">
            <w:pPr>
              <w:spacing w:after="0" w:line="240" w:lineRule="auto"/>
              <w:rPr>
                <w:rFonts w:asciiTheme="majorHAnsi" w:eastAsia="Times New Roman" w:hAnsiTheme="majorHAnsi" w:cs="Times New Roman"/>
                <w:b/>
                <w:sz w:val="14"/>
                <w:szCs w:val="14"/>
                <w:lang w:eastAsia="en-AU"/>
              </w:rPr>
            </w:pPr>
            <w:r w:rsidRPr="001419A0">
              <w:rPr>
                <w:rFonts w:asciiTheme="majorHAnsi" w:eastAsia="Times New Roman" w:hAnsiTheme="majorHAnsi" w:cs="Times New Roman"/>
                <w:b/>
                <w:sz w:val="14"/>
                <w:szCs w:val="14"/>
                <w:lang w:eastAsia="en-AU"/>
              </w:rPr>
              <w:t>Scenario 2 Increased</w:t>
            </w:r>
          </w:p>
        </w:tc>
        <w:tc>
          <w:tcPr>
            <w:tcW w:w="1816" w:type="pct"/>
          </w:tcPr>
          <w:p w14:paraId="0EBC55AA" w14:textId="55BE45A7" w:rsidR="002A39F3" w:rsidRPr="001419A0" w:rsidRDefault="004D4CD6" w:rsidP="00C863EB">
            <w:pPr>
              <w:spacing w:after="0" w:line="240" w:lineRule="auto"/>
              <w:rPr>
                <w:rFonts w:asciiTheme="majorHAnsi" w:hAnsiTheme="majorHAnsi"/>
                <w:b/>
                <w:color w:val="FF0000"/>
                <w:sz w:val="14"/>
                <w:szCs w:val="14"/>
              </w:rPr>
            </w:pPr>
            <w:r w:rsidRPr="001419A0">
              <w:rPr>
                <w:rFonts w:asciiTheme="majorHAnsi" w:hAnsiTheme="majorHAnsi"/>
                <w:b/>
                <w:sz w:val="14"/>
                <w:szCs w:val="14"/>
              </w:rPr>
              <w:t>70,</w:t>
            </w:r>
            <w:r w:rsidR="0009778E" w:rsidRPr="001419A0">
              <w:rPr>
                <w:rFonts w:asciiTheme="majorHAnsi" w:hAnsiTheme="majorHAnsi"/>
                <w:b/>
                <w:sz w:val="14"/>
                <w:szCs w:val="14"/>
              </w:rPr>
              <w:t>341</w:t>
            </w:r>
          </w:p>
        </w:tc>
        <w:tc>
          <w:tcPr>
            <w:tcW w:w="1221" w:type="pct"/>
          </w:tcPr>
          <w:p w14:paraId="293C513D" w14:textId="3BB4317D" w:rsidR="002A39F3" w:rsidRPr="001419A0" w:rsidRDefault="004D4CD6" w:rsidP="00C863EB">
            <w:pPr>
              <w:spacing w:after="0" w:line="240" w:lineRule="auto"/>
              <w:rPr>
                <w:rFonts w:asciiTheme="majorHAnsi" w:hAnsiTheme="majorHAnsi"/>
                <w:b/>
                <w:sz w:val="14"/>
                <w:szCs w:val="14"/>
              </w:rPr>
            </w:pPr>
            <w:r w:rsidRPr="001419A0">
              <w:rPr>
                <w:rFonts w:asciiTheme="majorHAnsi" w:hAnsiTheme="majorHAnsi"/>
                <w:b/>
                <w:sz w:val="14"/>
                <w:szCs w:val="14"/>
              </w:rPr>
              <w:t xml:space="preserve">239 </w:t>
            </w:r>
            <w:r w:rsidR="0009778E" w:rsidRPr="001419A0">
              <w:rPr>
                <w:rFonts w:asciiTheme="majorHAnsi" w:hAnsiTheme="majorHAnsi"/>
                <w:b/>
                <w:sz w:val="14"/>
                <w:szCs w:val="14"/>
              </w:rPr>
              <w:t>million</w:t>
            </w:r>
          </w:p>
        </w:tc>
      </w:tr>
    </w:tbl>
    <w:p w14:paraId="4E638C57" w14:textId="44C3A882" w:rsidR="002577E9" w:rsidRDefault="002577E9" w:rsidP="00E87FCD">
      <w:pPr>
        <w:rPr>
          <w:b/>
          <w:sz w:val="16"/>
          <w:szCs w:val="16"/>
        </w:rPr>
      </w:pPr>
    </w:p>
    <w:p w14:paraId="2EF88B6C" w14:textId="2A5B2E8A" w:rsidR="002577E9" w:rsidRDefault="006B7242">
      <w:r w:rsidDel="00340D49">
        <w:t xml:space="preserve">The </w:t>
      </w:r>
      <w:r w:rsidR="00F33A6C">
        <w:t>impact on costs of the different scenario</w:t>
      </w:r>
      <w:r w:rsidR="00444BAB">
        <w:t>s</w:t>
      </w:r>
      <w:r w:rsidR="00F33A6C">
        <w:t xml:space="preserve"> is shown in Table F.4. </w:t>
      </w:r>
    </w:p>
    <w:p w14:paraId="6CEBF4D2" w14:textId="50334B21" w:rsidR="009A7425" w:rsidRDefault="009A7425" w:rsidP="006F49C0">
      <w:pPr>
        <w:pStyle w:val="CaptionChart"/>
      </w:pPr>
      <w:r w:rsidRPr="000A704B">
        <w:rPr>
          <w:color w:val="000000" w:themeColor="text1"/>
        </w:rPr>
        <w:t>Table F.</w:t>
      </w:r>
      <w:r w:rsidR="006D32EF" w:rsidRPr="000A704B">
        <w:rPr>
          <w:color w:val="000000" w:themeColor="text1"/>
        </w:rPr>
        <w:t>3</w:t>
      </w:r>
      <w:r w:rsidRPr="000A704B">
        <w:rPr>
          <w:color w:val="000000" w:themeColor="text1"/>
        </w:rPr>
        <w:t xml:space="preserve">: Sensitivity test – </w:t>
      </w:r>
      <w:r w:rsidR="00EA3230" w:rsidRPr="000A704B">
        <w:rPr>
          <w:color w:val="000000" w:themeColor="text1"/>
        </w:rPr>
        <w:t>costs for different</w:t>
      </w:r>
      <w:r>
        <w:t xml:space="preserve"> </w:t>
      </w:r>
      <w:r w:rsidR="00EA3230" w:rsidRPr="000A704B">
        <w:rPr>
          <w:color w:val="000000" w:themeColor="text1"/>
        </w:rPr>
        <w:t>scenario results</w:t>
      </w:r>
    </w:p>
    <w:tbl>
      <w:tblPr>
        <w:tblStyle w:val="Deloittetable"/>
        <w:tblW w:w="9072" w:type="dxa"/>
        <w:tblLayout w:type="fixed"/>
        <w:tblLook w:val="04A0" w:firstRow="1" w:lastRow="0" w:firstColumn="1" w:lastColumn="0" w:noHBand="0" w:noVBand="1"/>
      </w:tblPr>
      <w:tblGrid>
        <w:gridCol w:w="1252"/>
        <w:gridCol w:w="1121"/>
        <w:gridCol w:w="1171"/>
        <w:gridCol w:w="992"/>
        <w:gridCol w:w="993"/>
        <w:gridCol w:w="1134"/>
        <w:gridCol w:w="1275"/>
        <w:gridCol w:w="1134"/>
      </w:tblGrid>
      <w:tr w:rsidR="00A72683" w14:paraId="2D28EF63" w14:textId="2099C12D" w:rsidTr="001419A0">
        <w:trPr>
          <w:cnfStyle w:val="100000000000" w:firstRow="1" w:lastRow="0" w:firstColumn="0" w:lastColumn="0" w:oddVBand="0" w:evenVBand="0" w:oddHBand="0" w:evenHBand="0" w:firstRowFirstColumn="0" w:firstRowLastColumn="0" w:lastRowFirstColumn="0" w:lastRowLastColumn="0"/>
          <w:trHeight w:val="555"/>
        </w:trPr>
        <w:tc>
          <w:tcPr>
            <w:tcW w:w="1252" w:type="dxa"/>
          </w:tcPr>
          <w:p w14:paraId="04255A05" w14:textId="77777777" w:rsidR="00492F54" w:rsidRDefault="001C7456" w:rsidP="00240DD0">
            <w:pPr>
              <w:spacing w:after="0"/>
              <w:rPr>
                <w:b/>
                <w:sz w:val="14"/>
                <w:szCs w:val="14"/>
              </w:rPr>
            </w:pPr>
            <w:r w:rsidRPr="001419A0" w:rsidDel="00EE2EE9">
              <w:rPr>
                <w:b/>
                <w:sz w:val="14"/>
                <w:szCs w:val="14"/>
              </w:rPr>
              <w:t xml:space="preserve"> </w:t>
            </w:r>
            <w:r w:rsidRPr="001419A0" w:rsidDel="000D099D">
              <w:rPr>
                <w:b/>
                <w:sz w:val="14"/>
                <w:szCs w:val="14"/>
              </w:rPr>
              <w:t>Total cost 2021-2030</w:t>
            </w:r>
            <w:r w:rsidRPr="001419A0">
              <w:rPr>
                <w:b/>
                <w:sz w:val="14"/>
                <w:szCs w:val="14"/>
              </w:rPr>
              <w:t xml:space="preserve"> </w:t>
            </w:r>
          </w:p>
          <w:p w14:paraId="3CEC13B0" w14:textId="61C95742" w:rsidR="001C7456" w:rsidRPr="001419A0" w:rsidRDefault="006678A2" w:rsidP="00F138E8">
            <w:pPr>
              <w:spacing w:after="0"/>
              <w:rPr>
                <w:b/>
                <w:color w:val="62B5E5" w:themeColor="accent3"/>
                <w:sz w:val="14"/>
                <w:szCs w:val="14"/>
              </w:rPr>
            </w:pPr>
            <w:r w:rsidRPr="001419A0">
              <w:rPr>
                <w:b/>
                <w:sz w:val="14"/>
                <w:szCs w:val="14"/>
              </w:rPr>
              <w:t>NPV</w:t>
            </w:r>
          </w:p>
        </w:tc>
        <w:tc>
          <w:tcPr>
            <w:tcW w:w="1121" w:type="dxa"/>
          </w:tcPr>
          <w:p w14:paraId="47BC2293" w14:textId="77777777" w:rsidR="001C7456" w:rsidRPr="001419A0" w:rsidRDefault="001C7456" w:rsidP="001419A0">
            <w:pPr>
              <w:spacing w:after="0"/>
              <w:rPr>
                <w:b/>
                <w:sz w:val="14"/>
                <w:szCs w:val="14"/>
              </w:rPr>
            </w:pPr>
            <w:r w:rsidRPr="001419A0">
              <w:rPr>
                <w:b/>
                <w:sz w:val="14"/>
                <w:szCs w:val="14"/>
              </w:rPr>
              <w:t>Registration</w:t>
            </w:r>
          </w:p>
          <w:p w14:paraId="178740DD" w14:textId="77777777" w:rsidR="001C7456" w:rsidRPr="001419A0" w:rsidRDefault="001C7456" w:rsidP="001419A0">
            <w:pPr>
              <w:spacing w:after="0"/>
              <w:rPr>
                <w:b/>
                <w:sz w:val="14"/>
                <w:szCs w:val="14"/>
              </w:rPr>
            </w:pPr>
          </w:p>
        </w:tc>
        <w:tc>
          <w:tcPr>
            <w:tcW w:w="1171" w:type="dxa"/>
          </w:tcPr>
          <w:p w14:paraId="3AD0217F" w14:textId="39E33C80" w:rsidR="001C7456" w:rsidRPr="001419A0" w:rsidRDefault="001C7456" w:rsidP="00F138E8">
            <w:pPr>
              <w:spacing w:after="0"/>
              <w:ind w:right="149"/>
              <w:rPr>
                <w:b/>
                <w:sz w:val="14"/>
                <w:szCs w:val="14"/>
              </w:rPr>
            </w:pPr>
            <w:r w:rsidRPr="001419A0">
              <w:rPr>
                <w:b/>
                <w:sz w:val="14"/>
                <w:szCs w:val="14"/>
              </w:rPr>
              <w:t xml:space="preserve">Attend inspections </w:t>
            </w:r>
          </w:p>
        </w:tc>
        <w:tc>
          <w:tcPr>
            <w:tcW w:w="992" w:type="dxa"/>
          </w:tcPr>
          <w:p w14:paraId="5DA1DC5A" w14:textId="5D94BB29" w:rsidR="001C7456" w:rsidRPr="001419A0" w:rsidRDefault="001C7456" w:rsidP="007B4414">
            <w:pPr>
              <w:spacing w:after="0"/>
              <w:rPr>
                <w:b/>
                <w:sz w:val="14"/>
                <w:szCs w:val="14"/>
              </w:rPr>
            </w:pPr>
            <w:r w:rsidRPr="001419A0">
              <w:rPr>
                <w:b/>
                <w:sz w:val="14"/>
                <w:szCs w:val="14"/>
              </w:rPr>
              <w:t>Keep register</w:t>
            </w:r>
          </w:p>
        </w:tc>
        <w:tc>
          <w:tcPr>
            <w:tcW w:w="993" w:type="dxa"/>
          </w:tcPr>
          <w:p w14:paraId="258F5305" w14:textId="77777777" w:rsidR="001C7456" w:rsidRPr="001419A0" w:rsidRDefault="001C7456" w:rsidP="001419A0">
            <w:pPr>
              <w:spacing w:after="0"/>
              <w:rPr>
                <w:b/>
                <w:sz w:val="14"/>
                <w:szCs w:val="14"/>
              </w:rPr>
            </w:pPr>
            <w:r w:rsidRPr="001419A0">
              <w:rPr>
                <w:b/>
                <w:sz w:val="14"/>
                <w:szCs w:val="14"/>
              </w:rPr>
              <w:t>Maximum occupation</w:t>
            </w:r>
          </w:p>
        </w:tc>
        <w:tc>
          <w:tcPr>
            <w:tcW w:w="1134" w:type="dxa"/>
          </w:tcPr>
          <w:p w14:paraId="0670B6FE" w14:textId="77777777" w:rsidR="001C7456" w:rsidRPr="001419A0" w:rsidRDefault="001C7456" w:rsidP="001419A0">
            <w:pPr>
              <w:spacing w:after="0"/>
              <w:rPr>
                <w:b/>
                <w:sz w:val="14"/>
                <w:szCs w:val="14"/>
              </w:rPr>
            </w:pPr>
            <w:r w:rsidRPr="001419A0">
              <w:rPr>
                <w:b/>
                <w:sz w:val="14"/>
                <w:szCs w:val="14"/>
              </w:rPr>
              <w:t>Maintenance</w:t>
            </w:r>
          </w:p>
        </w:tc>
        <w:tc>
          <w:tcPr>
            <w:tcW w:w="1275" w:type="dxa"/>
          </w:tcPr>
          <w:p w14:paraId="68C547A4" w14:textId="332F0B50" w:rsidR="001C7456" w:rsidRPr="001419A0" w:rsidRDefault="001C7456" w:rsidP="001419A0">
            <w:pPr>
              <w:spacing w:after="0"/>
              <w:ind w:right="148"/>
              <w:rPr>
                <w:b/>
                <w:sz w:val="14"/>
                <w:szCs w:val="14"/>
              </w:rPr>
            </w:pPr>
            <w:r w:rsidRPr="001419A0">
              <w:rPr>
                <w:b/>
                <w:sz w:val="14"/>
                <w:szCs w:val="14"/>
              </w:rPr>
              <w:t>Council fees</w:t>
            </w:r>
          </w:p>
        </w:tc>
        <w:tc>
          <w:tcPr>
            <w:tcW w:w="1134" w:type="dxa"/>
          </w:tcPr>
          <w:p w14:paraId="3C78FD55" w14:textId="4F356460" w:rsidR="001C7456" w:rsidRPr="001419A0" w:rsidRDefault="001C7456" w:rsidP="001419A0">
            <w:pPr>
              <w:spacing w:after="0"/>
              <w:rPr>
                <w:b/>
                <w:sz w:val="14"/>
                <w:szCs w:val="14"/>
              </w:rPr>
            </w:pPr>
            <w:r w:rsidRPr="001419A0">
              <w:rPr>
                <w:b/>
                <w:sz w:val="14"/>
                <w:szCs w:val="14"/>
              </w:rPr>
              <w:t>Total costs</w:t>
            </w:r>
          </w:p>
        </w:tc>
      </w:tr>
      <w:tr w:rsidR="000C156F" w14:paraId="2919E22A" w14:textId="26C0FA3E" w:rsidTr="001419A0">
        <w:tc>
          <w:tcPr>
            <w:tcW w:w="1252" w:type="dxa"/>
          </w:tcPr>
          <w:p w14:paraId="32518B88" w14:textId="13B8EA0B" w:rsidR="000C156F" w:rsidRPr="001419A0" w:rsidRDefault="000C156F" w:rsidP="000C156F">
            <w:pPr>
              <w:spacing w:after="0"/>
              <w:rPr>
                <w:b/>
                <w:sz w:val="14"/>
                <w:szCs w:val="14"/>
              </w:rPr>
            </w:pPr>
            <w:r w:rsidRPr="001419A0">
              <w:rPr>
                <w:b/>
                <w:bCs/>
                <w:sz w:val="14"/>
                <w:szCs w:val="14"/>
              </w:rPr>
              <w:t>MCA</w:t>
            </w:r>
          </w:p>
          <w:p w14:paraId="16747CE3" w14:textId="5A88FEA8" w:rsidR="000C156F" w:rsidRPr="001419A0" w:rsidRDefault="000C156F" w:rsidP="000C156F">
            <w:pPr>
              <w:spacing w:after="0"/>
              <w:rPr>
                <w:b/>
                <w:sz w:val="14"/>
                <w:szCs w:val="14"/>
              </w:rPr>
            </w:pPr>
            <w:r w:rsidRPr="001419A0">
              <w:rPr>
                <w:b/>
                <w:sz w:val="14"/>
                <w:szCs w:val="14"/>
              </w:rPr>
              <w:t>assumption</w:t>
            </w:r>
          </w:p>
        </w:tc>
        <w:tc>
          <w:tcPr>
            <w:tcW w:w="1121" w:type="dxa"/>
          </w:tcPr>
          <w:p w14:paraId="0DE7D4BA" w14:textId="0134CCE1" w:rsidR="000C156F" w:rsidRPr="001419A0" w:rsidRDefault="000C156F" w:rsidP="000C156F">
            <w:pPr>
              <w:spacing w:after="0"/>
              <w:rPr>
                <w:sz w:val="14"/>
                <w:szCs w:val="14"/>
              </w:rPr>
            </w:pPr>
            <w:r w:rsidRPr="001419A0">
              <w:rPr>
                <w:sz w:val="14"/>
                <w:szCs w:val="14"/>
              </w:rPr>
              <w:t>$3.0 million</w:t>
            </w:r>
          </w:p>
        </w:tc>
        <w:tc>
          <w:tcPr>
            <w:tcW w:w="1171" w:type="dxa"/>
          </w:tcPr>
          <w:p w14:paraId="11D8A942" w14:textId="61A47707" w:rsidR="000C156F" w:rsidRPr="001419A0" w:rsidRDefault="000C156F" w:rsidP="000C156F">
            <w:pPr>
              <w:spacing w:after="0"/>
              <w:ind w:right="149"/>
              <w:rPr>
                <w:sz w:val="14"/>
                <w:szCs w:val="14"/>
              </w:rPr>
            </w:pPr>
            <w:r w:rsidRPr="001419A0">
              <w:rPr>
                <w:sz w:val="14"/>
                <w:szCs w:val="14"/>
              </w:rPr>
              <w:t>$3.7 m</w:t>
            </w:r>
            <w:r w:rsidRPr="001419A0" w:rsidDel="0079681E">
              <w:rPr>
                <w:sz w:val="14"/>
                <w:szCs w:val="14"/>
              </w:rPr>
              <w:t>illion</w:t>
            </w:r>
            <w:r w:rsidRPr="001419A0" w:rsidDel="00B52621">
              <w:rPr>
                <w:sz w:val="14"/>
                <w:szCs w:val="14"/>
              </w:rPr>
              <w:t xml:space="preserve"> </w:t>
            </w:r>
          </w:p>
        </w:tc>
        <w:tc>
          <w:tcPr>
            <w:tcW w:w="992" w:type="dxa"/>
          </w:tcPr>
          <w:p w14:paraId="3FE1F99B" w14:textId="7D773696" w:rsidR="000C156F" w:rsidRPr="001419A0" w:rsidRDefault="000C156F" w:rsidP="000C156F">
            <w:pPr>
              <w:spacing w:after="0"/>
              <w:rPr>
                <w:sz w:val="14"/>
                <w:szCs w:val="14"/>
              </w:rPr>
            </w:pPr>
            <w:r w:rsidRPr="001419A0">
              <w:rPr>
                <w:sz w:val="14"/>
                <w:szCs w:val="14"/>
              </w:rPr>
              <w:t>$3.3 m</w:t>
            </w:r>
            <w:r w:rsidRPr="001419A0" w:rsidDel="0079681E">
              <w:rPr>
                <w:sz w:val="14"/>
                <w:szCs w:val="14"/>
              </w:rPr>
              <w:t>illion</w:t>
            </w:r>
            <w:r w:rsidRPr="001419A0" w:rsidDel="00B52621">
              <w:rPr>
                <w:sz w:val="14"/>
                <w:szCs w:val="14"/>
              </w:rPr>
              <w:t xml:space="preserve"> </w:t>
            </w:r>
          </w:p>
        </w:tc>
        <w:tc>
          <w:tcPr>
            <w:tcW w:w="993" w:type="dxa"/>
          </w:tcPr>
          <w:p w14:paraId="5B3184BA" w14:textId="6017D0D4" w:rsidR="000C156F" w:rsidRPr="000C156F" w:rsidRDefault="000C156F" w:rsidP="000C156F">
            <w:pPr>
              <w:spacing w:after="0"/>
              <w:rPr>
                <w:sz w:val="14"/>
                <w:szCs w:val="14"/>
              </w:rPr>
            </w:pPr>
            <w:r w:rsidRPr="000C156F">
              <w:rPr>
                <w:sz w:val="14"/>
                <w:szCs w:val="14"/>
                <w:lang w:val="en-GB"/>
              </w:rPr>
              <w:t xml:space="preserve"> $7.5 million </w:t>
            </w:r>
          </w:p>
        </w:tc>
        <w:tc>
          <w:tcPr>
            <w:tcW w:w="1134" w:type="dxa"/>
          </w:tcPr>
          <w:p w14:paraId="15BDB01C" w14:textId="07AFF83E" w:rsidR="000C156F" w:rsidRPr="001419A0" w:rsidRDefault="000C156F" w:rsidP="000C156F">
            <w:pPr>
              <w:spacing w:after="0"/>
              <w:rPr>
                <w:sz w:val="14"/>
                <w:szCs w:val="14"/>
              </w:rPr>
            </w:pPr>
            <w:r w:rsidRPr="001419A0">
              <w:rPr>
                <w:sz w:val="14"/>
                <w:szCs w:val="14"/>
              </w:rPr>
              <w:t>$32.8 million</w:t>
            </w:r>
          </w:p>
        </w:tc>
        <w:tc>
          <w:tcPr>
            <w:tcW w:w="1275" w:type="dxa"/>
          </w:tcPr>
          <w:p w14:paraId="6963B952" w14:textId="04D324EA" w:rsidR="000C156F" w:rsidRPr="001419A0" w:rsidRDefault="000C156F" w:rsidP="000C156F">
            <w:pPr>
              <w:spacing w:after="0"/>
              <w:ind w:right="148"/>
              <w:rPr>
                <w:sz w:val="14"/>
                <w:szCs w:val="14"/>
              </w:rPr>
            </w:pPr>
            <w:r w:rsidRPr="001419A0">
              <w:rPr>
                <w:sz w:val="14"/>
                <w:szCs w:val="14"/>
              </w:rPr>
              <w:t>$12.1 m</w:t>
            </w:r>
            <w:r w:rsidRPr="001419A0" w:rsidDel="0079681E">
              <w:rPr>
                <w:sz w:val="14"/>
                <w:szCs w:val="14"/>
              </w:rPr>
              <w:t>illion</w:t>
            </w:r>
          </w:p>
        </w:tc>
        <w:tc>
          <w:tcPr>
            <w:tcW w:w="1134" w:type="dxa"/>
          </w:tcPr>
          <w:p w14:paraId="3DFF3FDF" w14:textId="1C628BFD" w:rsidR="000C156F" w:rsidRPr="001419A0" w:rsidRDefault="000C156F" w:rsidP="000C156F">
            <w:pPr>
              <w:spacing w:after="0"/>
              <w:rPr>
                <w:b/>
                <w:sz w:val="14"/>
                <w:szCs w:val="14"/>
              </w:rPr>
            </w:pPr>
            <w:r w:rsidRPr="001419A0">
              <w:rPr>
                <w:b/>
                <w:bCs/>
                <w:sz w:val="14"/>
                <w:szCs w:val="14"/>
              </w:rPr>
              <w:t>$</w:t>
            </w:r>
            <w:r>
              <w:rPr>
                <w:b/>
                <w:bCs/>
                <w:sz w:val="14"/>
                <w:szCs w:val="14"/>
              </w:rPr>
              <w:t>62.4</w:t>
            </w:r>
            <w:r w:rsidRPr="001419A0">
              <w:rPr>
                <w:b/>
                <w:bCs/>
                <w:sz w:val="14"/>
                <w:szCs w:val="14"/>
              </w:rPr>
              <w:t xml:space="preserve"> m</w:t>
            </w:r>
            <w:r>
              <w:rPr>
                <w:b/>
                <w:bCs/>
                <w:sz w:val="14"/>
                <w:szCs w:val="14"/>
              </w:rPr>
              <w:t>illion</w:t>
            </w:r>
          </w:p>
        </w:tc>
      </w:tr>
      <w:tr w:rsidR="000C156F" w14:paraId="12399C21" w14:textId="0BB0E4C4" w:rsidTr="001419A0">
        <w:tc>
          <w:tcPr>
            <w:tcW w:w="1252" w:type="dxa"/>
          </w:tcPr>
          <w:p w14:paraId="61061D61" w14:textId="7CAEBD2D" w:rsidR="000C156F" w:rsidRPr="001419A0" w:rsidRDefault="000C156F" w:rsidP="000C156F">
            <w:pPr>
              <w:spacing w:after="0"/>
              <w:rPr>
                <w:b/>
                <w:sz w:val="14"/>
                <w:szCs w:val="14"/>
              </w:rPr>
            </w:pPr>
            <w:r w:rsidRPr="001419A0">
              <w:rPr>
                <w:b/>
                <w:bCs/>
                <w:sz w:val="14"/>
                <w:szCs w:val="14"/>
              </w:rPr>
              <w:t>Scenario 1</w:t>
            </w:r>
            <w:r>
              <w:rPr>
                <w:b/>
                <w:bCs/>
                <w:sz w:val="14"/>
                <w:szCs w:val="14"/>
              </w:rPr>
              <w:t>: decrease tourism</w:t>
            </w:r>
          </w:p>
        </w:tc>
        <w:tc>
          <w:tcPr>
            <w:tcW w:w="1121" w:type="dxa"/>
          </w:tcPr>
          <w:p w14:paraId="32CD578F" w14:textId="77777777" w:rsidR="000C156F" w:rsidRDefault="000C156F" w:rsidP="000C156F">
            <w:pPr>
              <w:spacing w:after="0"/>
              <w:rPr>
                <w:sz w:val="14"/>
                <w:szCs w:val="14"/>
              </w:rPr>
            </w:pPr>
            <w:r w:rsidRPr="00152DB9">
              <w:rPr>
                <w:sz w:val="14"/>
                <w:szCs w:val="14"/>
              </w:rPr>
              <w:t>$</w:t>
            </w:r>
            <w:r w:rsidRPr="001419A0">
              <w:rPr>
                <w:sz w:val="14"/>
                <w:szCs w:val="14"/>
              </w:rPr>
              <w:t>2.5</w:t>
            </w:r>
            <w:r w:rsidRPr="00152DB9">
              <w:rPr>
                <w:sz w:val="14"/>
                <w:szCs w:val="14"/>
              </w:rPr>
              <w:t xml:space="preserve"> m</w:t>
            </w:r>
            <w:r w:rsidRPr="00152DB9" w:rsidDel="0079681E">
              <w:rPr>
                <w:sz w:val="14"/>
                <w:szCs w:val="14"/>
              </w:rPr>
              <w:t>illion</w:t>
            </w:r>
          </w:p>
          <w:p w14:paraId="42A1EDF3" w14:textId="198B231E" w:rsidR="000C156F" w:rsidRPr="001419A0" w:rsidRDefault="000C156F" w:rsidP="000C156F">
            <w:pPr>
              <w:spacing w:after="0"/>
              <w:rPr>
                <w:sz w:val="14"/>
                <w:szCs w:val="14"/>
              </w:rPr>
            </w:pPr>
            <w:r>
              <w:rPr>
                <w:sz w:val="14"/>
                <w:szCs w:val="14"/>
              </w:rPr>
              <w:t>-18%</w:t>
            </w:r>
          </w:p>
        </w:tc>
        <w:tc>
          <w:tcPr>
            <w:tcW w:w="1171" w:type="dxa"/>
          </w:tcPr>
          <w:p w14:paraId="522724D2" w14:textId="77777777" w:rsidR="000C156F" w:rsidRDefault="000C156F" w:rsidP="000C156F">
            <w:pPr>
              <w:spacing w:after="0"/>
              <w:rPr>
                <w:sz w:val="14"/>
                <w:szCs w:val="14"/>
              </w:rPr>
            </w:pPr>
            <w:r w:rsidRPr="00152DB9">
              <w:rPr>
                <w:sz w:val="14"/>
                <w:szCs w:val="14"/>
              </w:rPr>
              <w:t>$3.</w:t>
            </w:r>
            <w:r w:rsidRPr="001419A0">
              <w:rPr>
                <w:sz w:val="14"/>
                <w:szCs w:val="14"/>
              </w:rPr>
              <w:t>0</w:t>
            </w:r>
            <w:r w:rsidRPr="00152DB9">
              <w:rPr>
                <w:sz w:val="14"/>
                <w:szCs w:val="14"/>
              </w:rPr>
              <w:t xml:space="preserve"> m</w:t>
            </w:r>
            <w:r w:rsidRPr="00152DB9" w:rsidDel="0079681E">
              <w:rPr>
                <w:sz w:val="14"/>
                <w:szCs w:val="14"/>
              </w:rPr>
              <w:t>illion</w:t>
            </w:r>
          </w:p>
          <w:p w14:paraId="593269B4" w14:textId="09CF01F4" w:rsidR="000C156F" w:rsidRPr="001419A0" w:rsidRDefault="000C156F" w:rsidP="000C156F">
            <w:pPr>
              <w:spacing w:after="0"/>
              <w:rPr>
                <w:sz w:val="14"/>
                <w:szCs w:val="14"/>
              </w:rPr>
            </w:pPr>
            <w:r>
              <w:rPr>
                <w:sz w:val="14"/>
                <w:szCs w:val="14"/>
              </w:rPr>
              <w:t>-20%</w:t>
            </w:r>
            <w:r w:rsidRPr="00152DB9" w:rsidDel="00B52621">
              <w:rPr>
                <w:sz w:val="14"/>
                <w:szCs w:val="14"/>
              </w:rPr>
              <w:t xml:space="preserve"> </w:t>
            </w:r>
          </w:p>
        </w:tc>
        <w:tc>
          <w:tcPr>
            <w:tcW w:w="992" w:type="dxa"/>
          </w:tcPr>
          <w:p w14:paraId="44E7840D" w14:textId="77777777" w:rsidR="000C156F" w:rsidRDefault="000C156F" w:rsidP="000C156F">
            <w:pPr>
              <w:spacing w:after="0"/>
              <w:rPr>
                <w:sz w:val="14"/>
                <w:szCs w:val="14"/>
              </w:rPr>
            </w:pPr>
            <w:r w:rsidRPr="00152DB9">
              <w:rPr>
                <w:sz w:val="14"/>
                <w:szCs w:val="14"/>
              </w:rPr>
              <w:t>$</w:t>
            </w:r>
            <w:r w:rsidRPr="001419A0">
              <w:rPr>
                <w:sz w:val="14"/>
                <w:szCs w:val="14"/>
              </w:rPr>
              <w:t>1.9</w:t>
            </w:r>
            <w:r w:rsidRPr="00152DB9">
              <w:rPr>
                <w:sz w:val="14"/>
                <w:szCs w:val="14"/>
              </w:rPr>
              <w:t xml:space="preserve"> million</w:t>
            </w:r>
            <w:r w:rsidRPr="00152DB9" w:rsidDel="00B52621">
              <w:rPr>
                <w:sz w:val="14"/>
                <w:szCs w:val="14"/>
              </w:rPr>
              <w:t xml:space="preserve"> </w:t>
            </w:r>
          </w:p>
          <w:p w14:paraId="7E0E03D7" w14:textId="146D5564" w:rsidR="000C156F" w:rsidRPr="001419A0" w:rsidRDefault="000C156F" w:rsidP="000C156F">
            <w:pPr>
              <w:spacing w:after="0"/>
              <w:rPr>
                <w:sz w:val="14"/>
                <w:szCs w:val="14"/>
              </w:rPr>
            </w:pPr>
            <w:r>
              <w:rPr>
                <w:sz w:val="14"/>
                <w:szCs w:val="14"/>
              </w:rPr>
              <w:t>-42%</w:t>
            </w:r>
          </w:p>
        </w:tc>
        <w:tc>
          <w:tcPr>
            <w:tcW w:w="993" w:type="dxa"/>
          </w:tcPr>
          <w:p w14:paraId="3AEDA53F" w14:textId="77777777" w:rsidR="000C156F" w:rsidRPr="000C156F" w:rsidRDefault="000C156F" w:rsidP="000C156F">
            <w:pPr>
              <w:spacing w:after="0"/>
              <w:rPr>
                <w:sz w:val="14"/>
                <w:szCs w:val="14"/>
                <w:lang w:val="en-GB"/>
              </w:rPr>
            </w:pPr>
            <w:r w:rsidRPr="000C156F">
              <w:rPr>
                <w:sz w:val="14"/>
                <w:szCs w:val="14"/>
                <w:lang w:val="en-GB"/>
              </w:rPr>
              <w:t xml:space="preserve"> $5.8 million </w:t>
            </w:r>
          </w:p>
          <w:p w14:paraId="7AB64D0F" w14:textId="49E92B3E" w:rsidR="000C156F" w:rsidRPr="000C156F" w:rsidRDefault="000C156F" w:rsidP="000C156F">
            <w:pPr>
              <w:spacing w:after="0"/>
              <w:rPr>
                <w:sz w:val="14"/>
                <w:szCs w:val="14"/>
              </w:rPr>
            </w:pPr>
            <w:r w:rsidRPr="000C156F">
              <w:rPr>
                <w:sz w:val="14"/>
                <w:szCs w:val="14"/>
                <w:lang w:val="en-GB"/>
              </w:rPr>
              <w:t>-25%</w:t>
            </w:r>
          </w:p>
        </w:tc>
        <w:tc>
          <w:tcPr>
            <w:tcW w:w="1134" w:type="dxa"/>
          </w:tcPr>
          <w:p w14:paraId="6C238DE9" w14:textId="77777777" w:rsidR="000C156F" w:rsidRDefault="000C156F" w:rsidP="000C156F">
            <w:pPr>
              <w:spacing w:after="0"/>
              <w:rPr>
                <w:sz w:val="14"/>
                <w:szCs w:val="14"/>
              </w:rPr>
            </w:pPr>
            <w:r w:rsidRPr="00152DB9">
              <w:rPr>
                <w:sz w:val="14"/>
                <w:szCs w:val="14"/>
              </w:rPr>
              <w:t>$</w:t>
            </w:r>
            <w:r w:rsidRPr="001419A0">
              <w:rPr>
                <w:sz w:val="14"/>
                <w:szCs w:val="14"/>
              </w:rPr>
              <w:t>29.7</w:t>
            </w:r>
            <w:r w:rsidRPr="00152DB9">
              <w:rPr>
                <w:sz w:val="14"/>
                <w:szCs w:val="14"/>
              </w:rPr>
              <w:t xml:space="preserve"> m</w:t>
            </w:r>
            <w:r w:rsidRPr="00152DB9" w:rsidDel="0079681E">
              <w:rPr>
                <w:sz w:val="14"/>
                <w:szCs w:val="14"/>
              </w:rPr>
              <w:t>illion</w:t>
            </w:r>
          </w:p>
          <w:p w14:paraId="3EB71F54" w14:textId="3C3A671B" w:rsidR="000C156F" w:rsidRPr="001419A0" w:rsidRDefault="000C156F" w:rsidP="000C156F">
            <w:pPr>
              <w:spacing w:after="0"/>
              <w:rPr>
                <w:sz w:val="14"/>
                <w:szCs w:val="14"/>
              </w:rPr>
            </w:pPr>
            <w:r>
              <w:rPr>
                <w:sz w:val="14"/>
                <w:szCs w:val="14"/>
              </w:rPr>
              <w:t>-10%</w:t>
            </w:r>
          </w:p>
        </w:tc>
        <w:tc>
          <w:tcPr>
            <w:tcW w:w="1275" w:type="dxa"/>
          </w:tcPr>
          <w:p w14:paraId="1C01B76A" w14:textId="77777777" w:rsidR="000C156F" w:rsidRDefault="000C156F" w:rsidP="000C156F">
            <w:pPr>
              <w:spacing w:after="0"/>
              <w:ind w:right="148"/>
              <w:rPr>
                <w:sz w:val="14"/>
                <w:szCs w:val="14"/>
              </w:rPr>
            </w:pPr>
            <w:r w:rsidRPr="00152DB9">
              <w:rPr>
                <w:sz w:val="14"/>
                <w:szCs w:val="14"/>
              </w:rPr>
              <w:t>$</w:t>
            </w:r>
            <w:r w:rsidRPr="001419A0">
              <w:rPr>
                <w:sz w:val="14"/>
                <w:szCs w:val="14"/>
              </w:rPr>
              <w:t>10.0</w:t>
            </w:r>
            <w:r w:rsidRPr="00152DB9">
              <w:rPr>
                <w:sz w:val="14"/>
                <w:szCs w:val="14"/>
              </w:rPr>
              <w:t xml:space="preserve"> m</w:t>
            </w:r>
            <w:r w:rsidRPr="00152DB9" w:rsidDel="0079681E">
              <w:rPr>
                <w:sz w:val="14"/>
                <w:szCs w:val="14"/>
              </w:rPr>
              <w:t>illion</w:t>
            </w:r>
          </w:p>
          <w:p w14:paraId="1A58E51A" w14:textId="27923C32" w:rsidR="000C156F" w:rsidRPr="001419A0" w:rsidRDefault="000C156F" w:rsidP="000C156F">
            <w:pPr>
              <w:spacing w:after="0"/>
              <w:ind w:right="148"/>
              <w:rPr>
                <w:sz w:val="14"/>
                <w:szCs w:val="14"/>
              </w:rPr>
            </w:pPr>
            <w:r>
              <w:rPr>
                <w:sz w:val="14"/>
                <w:szCs w:val="14"/>
              </w:rPr>
              <w:t>-18%</w:t>
            </w:r>
          </w:p>
        </w:tc>
        <w:tc>
          <w:tcPr>
            <w:tcW w:w="1134" w:type="dxa"/>
          </w:tcPr>
          <w:p w14:paraId="3AD8407D" w14:textId="77777777" w:rsidR="000C156F" w:rsidRDefault="000C156F" w:rsidP="000C156F">
            <w:pPr>
              <w:spacing w:after="0"/>
              <w:rPr>
                <w:b/>
                <w:bCs/>
                <w:sz w:val="14"/>
                <w:szCs w:val="14"/>
              </w:rPr>
            </w:pPr>
            <w:r w:rsidRPr="00152DB9">
              <w:rPr>
                <w:b/>
                <w:bCs/>
                <w:sz w:val="14"/>
                <w:szCs w:val="14"/>
              </w:rPr>
              <w:t>$</w:t>
            </w:r>
            <w:r w:rsidRPr="001419A0">
              <w:rPr>
                <w:b/>
                <w:bCs/>
                <w:sz w:val="14"/>
                <w:szCs w:val="14"/>
              </w:rPr>
              <w:t>52.7</w:t>
            </w:r>
            <w:r w:rsidRPr="00152DB9">
              <w:rPr>
                <w:b/>
                <w:bCs/>
                <w:sz w:val="14"/>
                <w:szCs w:val="14"/>
              </w:rPr>
              <w:t xml:space="preserve"> million</w:t>
            </w:r>
          </w:p>
          <w:p w14:paraId="14D2596D" w14:textId="301C0549" w:rsidR="000C156F" w:rsidRPr="001419A0" w:rsidRDefault="000C156F" w:rsidP="000C156F">
            <w:pPr>
              <w:spacing w:after="0"/>
              <w:rPr>
                <w:b/>
                <w:sz w:val="14"/>
                <w:szCs w:val="14"/>
              </w:rPr>
            </w:pPr>
            <w:r>
              <w:rPr>
                <w:b/>
                <w:bCs/>
                <w:sz w:val="14"/>
                <w:szCs w:val="14"/>
              </w:rPr>
              <w:t>-16%</w:t>
            </w:r>
          </w:p>
        </w:tc>
      </w:tr>
      <w:tr w:rsidR="000C156F" w14:paraId="741EF3B0" w14:textId="7DDB5CCB" w:rsidTr="001419A0">
        <w:tc>
          <w:tcPr>
            <w:tcW w:w="1252" w:type="dxa"/>
          </w:tcPr>
          <w:p w14:paraId="5EC19696" w14:textId="1116FD61" w:rsidR="000C156F" w:rsidRPr="001419A0" w:rsidDel="00AA28B1" w:rsidRDefault="000C156F" w:rsidP="000C156F">
            <w:pPr>
              <w:spacing w:after="0"/>
              <w:rPr>
                <w:b/>
                <w:sz w:val="14"/>
                <w:szCs w:val="14"/>
              </w:rPr>
            </w:pPr>
            <w:r w:rsidRPr="001419A0">
              <w:rPr>
                <w:b/>
                <w:bCs/>
                <w:sz w:val="14"/>
                <w:szCs w:val="14"/>
              </w:rPr>
              <w:t>Scenario 2</w:t>
            </w:r>
            <w:r>
              <w:rPr>
                <w:b/>
                <w:bCs/>
                <w:sz w:val="14"/>
                <w:szCs w:val="14"/>
              </w:rPr>
              <w:t>: increase tourism</w:t>
            </w:r>
          </w:p>
        </w:tc>
        <w:tc>
          <w:tcPr>
            <w:tcW w:w="1121" w:type="dxa"/>
          </w:tcPr>
          <w:p w14:paraId="0B52112A" w14:textId="3E03810F" w:rsidR="000C156F" w:rsidRPr="001419A0" w:rsidRDefault="000C156F" w:rsidP="000C156F">
            <w:pPr>
              <w:spacing w:after="0"/>
              <w:rPr>
                <w:sz w:val="14"/>
                <w:szCs w:val="14"/>
              </w:rPr>
            </w:pPr>
            <w:r w:rsidRPr="004D4CD6">
              <w:rPr>
                <w:sz w:val="14"/>
                <w:szCs w:val="14"/>
              </w:rPr>
              <w:t>$3.</w:t>
            </w:r>
            <w:r w:rsidRPr="001419A0">
              <w:rPr>
                <w:sz w:val="14"/>
                <w:szCs w:val="14"/>
              </w:rPr>
              <w:t>9</w:t>
            </w:r>
            <w:r w:rsidRPr="004D4CD6">
              <w:rPr>
                <w:sz w:val="14"/>
                <w:szCs w:val="14"/>
              </w:rPr>
              <w:t xml:space="preserve"> million</w:t>
            </w:r>
          </w:p>
          <w:p w14:paraId="43BADAA6" w14:textId="34D12D3A" w:rsidR="000C156F" w:rsidRPr="001419A0" w:rsidRDefault="000C156F" w:rsidP="000C156F">
            <w:pPr>
              <w:spacing w:after="0"/>
              <w:rPr>
                <w:sz w:val="14"/>
                <w:szCs w:val="14"/>
              </w:rPr>
            </w:pPr>
            <w:r w:rsidRPr="001419A0">
              <w:rPr>
                <w:sz w:val="14"/>
                <w:szCs w:val="14"/>
              </w:rPr>
              <w:t>+29%</w:t>
            </w:r>
          </w:p>
        </w:tc>
        <w:tc>
          <w:tcPr>
            <w:tcW w:w="1171" w:type="dxa"/>
          </w:tcPr>
          <w:p w14:paraId="7E9B33FB" w14:textId="57C0DE4A" w:rsidR="000C156F" w:rsidRPr="001419A0" w:rsidRDefault="000C156F" w:rsidP="000C156F">
            <w:pPr>
              <w:spacing w:after="0"/>
              <w:rPr>
                <w:sz w:val="14"/>
                <w:szCs w:val="14"/>
              </w:rPr>
            </w:pPr>
            <w:r w:rsidRPr="004D4CD6">
              <w:rPr>
                <w:sz w:val="14"/>
                <w:szCs w:val="14"/>
              </w:rPr>
              <w:t>$</w:t>
            </w:r>
            <w:r w:rsidRPr="001419A0">
              <w:rPr>
                <w:sz w:val="14"/>
                <w:szCs w:val="14"/>
              </w:rPr>
              <w:t>4.9</w:t>
            </w:r>
            <w:r w:rsidRPr="004D4CD6">
              <w:rPr>
                <w:sz w:val="14"/>
                <w:szCs w:val="14"/>
              </w:rPr>
              <w:t xml:space="preserve"> million</w:t>
            </w:r>
            <w:r w:rsidRPr="004D4CD6" w:rsidDel="00B52621">
              <w:rPr>
                <w:sz w:val="14"/>
                <w:szCs w:val="14"/>
              </w:rPr>
              <w:t xml:space="preserve"> </w:t>
            </w:r>
          </w:p>
          <w:p w14:paraId="7262EA31" w14:textId="0CAF37F2" w:rsidR="000C156F" w:rsidRPr="001419A0" w:rsidRDefault="000C156F" w:rsidP="000C156F">
            <w:pPr>
              <w:spacing w:after="0"/>
              <w:rPr>
                <w:sz w:val="14"/>
                <w:szCs w:val="14"/>
              </w:rPr>
            </w:pPr>
            <w:r w:rsidRPr="001419A0">
              <w:rPr>
                <w:sz w:val="14"/>
                <w:szCs w:val="14"/>
              </w:rPr>
              <w:t>+33%</w:t>
            </w:r>
          </w:p>
        </w:tc>
        <w:tc>
          <w:tcPr>
            <w:tcW w:w="992" w:type="dxa"/>
          </w:tcPr>
          <w:p w14:paraId="143D0635" w14:textId="39020652" w:rsidR="000C156F" w:rsidRPr="001419A0" w:rsidRDefault="000C156F" w:rsidP="000C156F">
            <w:pPr>
              <w:spacing w:after="0"/>
              <w:rPr>
                <w:sz w:val="14"/>
                <w:szCs w:val="14"/>
              </w:rPr>
            </w:pPr>
            <w:r w:rsidRPr="004D4CD6">
              <w:rPr>
                <w:sz w:val="14"/>
                <w:szCs w:val="14"/>
              </w:rPr>
              <w:t>$</w:t>
            </w:r>
            <w:r w:rsidRPr="001419A0">
              <w:rPr>
                <w:sz w:val="14"/>
                <w:szCs w:val="14"/>
              </w:rPr>
              <w:t>5.9</w:t>
            </w:r>
            <w:r w:rsidRPr="004D4CD6">
              <w:rPr>
                <w:sz w:val="14"/>
                <w:szCs w:val="14"/>
              </w:rPr>
              <w:t xml:space="preserve"> million</w:t>
            </w:r>
            <w:r w:rsidRPr="004D4CD6" w:rsidDel="00B52621">
              <w:rPr>
                <w:sz w:val="14"/>
                <w:szCs w:val="14"/>
              </w:rPr>
              <w:t xml:space="preserve"> </w:t>
            </w:r>
          </w:p>
          <w:p w14:paraId="57BF5C79" w14:textId="5E4C6D7D" w:rsidR="000C156F" w:rsidRPr="001419A0" w:rsidRDefault="000C156F" w:rsidP="000C156F">
            <w:pPr>
              <w:spacing w:after="0"/>
              <w:rPr>
                <w:sz w:val="14"/>
                <w:szCs w:val="14"/>
              </w:rPr>
            </w:pPr>
            <w:r w:rsidRPr="001419A0">
              <w:rPr>
                <w:sz w:val="14"/>
                <w:szCs w:val="14"/>
              </w:rPr>
              <w:t>+78%</w:t>
            </w:r>
          </w:p>
        </w:tc>
        <w:tc>
          <w:tcPr>
            <w:tcW w:w="993" w:type="dxa"/>
          </w:tcPr>
          <w:p w14:paraId="7C4FC3F7" w14:textId="77777777" w:rsidR="000C156F" w:rsidRPr="000C156F" w:rsidRDefault="000C156F" w:rsidP="000C156F">
            <w:pPr>
              <w:spacing w:after="0"/>
              <w:rPr>
                <w:sz w:val="14"/>
                <w:szCs w:val="14"/>
                <w:lang w:val="en-GB"/>
              </w:rPr>
            </w:pPr>
            <w:r w:rsidRPr="000C156F">
              <w:rPr>
                <w:sz w:val="14"/>
                <w:szCs w:val="14"/>
                <w:lang w:val="en-GB"/>
              </w:rPr>
              <w:t xml:space="preserve"> $10.0 million </w:t>
            </w:r>
          </w:p>
          <w:p w14:paraId="634B85C4" w14:textId="1B1DC9A0" w:rsidR="000C156F" w:rsidRPr="000C156F" w:rsidRDefault="000C156F" w:rsidP="000C156F">
            <w:pPr>
              <w:spacing w:after="0"/>
              <w:rPr>
                <w:sz w:val="14"/>
                <w:szCs w:val="14"/>
              </w:rPr>
            </w:pPr>
            <w:r w:rsidRPr="000C156F">
              <w:rPr>
                <w:sz w:val="14"/>
                <w:szCs w:val="14"/>
                <w:lang w:val="en-GB"/>
              </w:rPr>
              <w:t>+32%</w:t>
            </w:r>
          </w:p>
        </w:tc>
        <w:tc>
          <w:tcPr>
            <w:tcW w:w="1134" w:type="dxa"/>
          </w:tcPr>
          <w:p w14:paraId="2CFD8801" w14:textId="1E163B69" w:rsidR="000C156F" w:rsidRPr="001419A0" w:rsidRDefault="000C156F" w:rsidP="000C156F">
            <w:pPr>
              <w:spacing w:after="0"/>
              <w:rPr>
                <w:sz w:val="14"/>
                <w:szCs w:val="14"/>
              </w:rPr>
            </w:pPr>
            <w:r w:rsidRPr="004D4CD6">
              <w:rPr>
                <w:sz w:val="14"/>
                <w:szCs w:val="14"/>
              </w:rPr>
              <w:t>$3</w:t>
            </w:r>
            <w:r w:rsidRPr="001419A0">
              <w:rPr>
                <w:sz w:val="14"/>
                <w:szCs w:val="14"/>
              </w:rPr>
              <w:t>8</w:t>
            </w:r>
            <w:r w:rsidRPr="004D4CD6">
              <w:rPr>
                <w:sz w:val="14"/>
                <w:szCs w:val="14"/>
              </w:rPr>
              <w:t>.</w:t>
            </w:r>
            <w:r w:rsidRPr="001419A0">
              <w:rPr>
                <w:sz w:val="14"/>
                <w:szCs w:val="14"/>
              </w:rPr>
              <w:t>7</w:t>
            </w:r>
            <w:r w:rsidRPr="004D4CD6">
              <w:rPr>
                <w:sz w:val="14"/>
                <w:szCs w:val="14"/>
              </w:rPr>
              <w:t xml:space="preserve"> million</w:t>
            </w:r>
          </w:p>
          <w:p w14:paraId="63579B0D" w14:textId="28FBDD91" w:rsidR="000C156F" w:rsidRPr="001419A0" w:rsidRDefault="000C156F" w:rsidP="000C156F">
            <w:pPr>
              <w:spacing w:after="0"/>
              <w:rPr>
                <w:sz w:val="14"/>
                <w:szCs w:val="14"/>
              </w:rPr>
            </w:pPr>
            <w:r w:rsidRPr="001419A0">
              <w:rPr>
                <w:sz w:val="14"/>
                <w:szCs w:val="14"/>
              </w:rPr>
              <w:t>+18%</w:t>
            </w:r>
          </w:p>
        </w:tc>
        <w:tc>
          <w:tcPr>
            <w:tcW w:w="1275" w:type="dxa"/>
          </w:tcPr>
          <w:p w14:paraId="62CACF4A" w14:textId="1B3E8661" w:rsidR="000C156F" w:rsidRPr="001419A0" w:rsidRDefault="000C156F" w:rsidP="000C156F">
            <w:pPr>
              <w:spacing w:after="0"/>
              <w:ind w:right="148"/>
              <w:rPr>
                <w:sz w:val="14"/>
                <w:szCs w:val="14"/>
              </w:rPr>
            </w:pPr>
            <w:r w:rsidRPr="004D4CD6">
              <w:rPr>
                <w:sz w:val="14"/>
                <w:szCs w:val="14"/>
              </w:rPr>
              <w:t>$1</w:t>
            </w:r>
            <w:r w:rsidRPr="001419A0">
              <w:rPr>
                <w:sz w:val="14"/>
                <w:szCs w:val="14"/>
              </w:rPr>
              <w:t>5</w:t>
            </w:r>
            <w:r w:rsidRPr="004D4CD6">
              <w:rPr>
                <w:sz w:val="14"/>
                <w:szCs w:val="14"/>
              </w:rPr>
              <w:t>.</w:t>
            </w:r>
            <w:r w:rsidRPr="001419A0">
              <w:rPr>
                <w:sz w:val="14"/>
                <w:szCs w:val="14"/>
              </w:rPr>
              <w:t>3</w:t>
            </w:r>
            <w:r w:rsidRPr="004D4CD6">
              <w:rPr>
                <w:sz w:val="14"/>
                <w:szCs w:val="14"/>
              </w:rPr>
              <w:t xml:space="preserve"> million</w:t>
            </w:r>
          </w:p>
          <w:p w14:paraId="32E41C50" w14:textId="410FDDC3" w:rsidR="000C156F" w:rsidRPr="001419A0" w:rsidRDefault="000C156F" w:rsidP="000C156F">
            <w:pPr>
              <w:spacing w:after="0"/>
              <w:ind w:right="148"/>
              <w:rPr>
                <w:sz w:val="14"/>
                <w:szCs w:val="14"/>
              </w:rPr>
            </w:pPr>
            <w:r w:rsidRPr="001419A0">
              <w:rPr>
                <w:sz w:val="14"/>
                <w:szCs w:val="14"/>
              </w:rPr>
              <w:t>+27%</w:t>
            </w:r>
          </w:p>
        </w:tc>
        <w:tc>
          <w:tcPr>
            <w:tcW w:w="1134" w:type="dxa"/>
          </w:tcPr>
          <w:p w14:paraId="26C1A60A" w14:textId="40B771F5" w:rsidR="000C156F" w:rsidRPr="001419A0" w:rsidRDefault="000C156F" w:rsidP="000C156F">
            <w:pPr>
              <w:spacing w:after="0"/>
              <w:rPr>
                <w:b/>
                <w:bCs/>
                <w:sz w:val="14"/>
                <w:szCs w:val="14"/>
              </w:rPr>
            </w:pPr>
            <w:r w:rsidRPr="004D4CD6">
              <w:rPr>
                <w:b/>
                <w:bCs/>
                <w:sz w:val="14"/>
                <w:szCs w:val="14"/>
              </w:rPr>
              <w:t>$</w:t>
            </w:r>
            <w:r w:rsidRPr="001419A0">
              <w:rPr>
                <w:b/>
                <w:bCs/>
                <w:sz w:val="14"/>
                <w:szCs w:val="14"/>
              </w:rPr>
              <w:t>7</w:t>
            </w:r>
            <w:r>
              <w:rPr>
                <w:b/>
                <w:bCs/>
                <w:sz w:val="14"/>
                <w:szCs w:val="14"/>
              </w:rPr>
              <w:t>8</w:t>
            </w:r>
            <w:r w:rsidRPr="004D4CD6">
              <w:rPr>
                <w:b/>
                <w:bCs/>
                <w:sz w:val="14"/>
                <w:szCs w:val="14"/>
              </w:rPr>
              <w:t>.</w:t>
            </w:r>
            <w:r>
              <w:rPr>
                <w:b/>
                <w:bCs/>
                <w:sz w:val="14"/>
                <w:szCs w:val="14"/>
              </w:rPr>
              <w:t>7</w:t>
            </w:r>
            <w:r w:rsidRPr="004D4CD6">
              <w:rPr>
                <w:b/>
                <w:bCs/>
                <w:sz w:val="14"/>
                <w:szCs w:val="14"/>
              </w:rPr>
              <w:t xml:space="preserve"> million</w:t>
            </w:r>
          </w:p>
          <w:p w14:paraId="5D402D32" w14:textId="42B27E77" w:rsidR="000C156F" w:rsidRPr="001419A0" w:rsidRDefault="000C156F" w:rsidP="000C156F">
            <w:pPr>
              <w:spacing w:after="0"/>
              <w:rPr>
                <w:b/>
                <w:sz w:val="14"/>
                <w:szCs w:val="14"/>
              </w:rPr>
            </w:pPr>
            <w:r w:rsidRPr="001419A0">
              <w:rPr>
                <w:b/>
                <w:bCs/>
                <w:sz w:val="14"/>
                <w:szCs w:val="14"/>
              </w:rPr>
              <w:t>+26%</w:t>
            </w:r>
          </w:p>
        </w:tc>
      </w:tr>
    </w:tbl>
    <w:p w14:paraId="13D4F7FF" w14:textId="5D9A3505" w:rsidR="00E87FCD" w:rsidRDefault="00E87FCD" w:rsidP="001419A0">
      <w:pPr>
        <w:spacing w:after="0"/>
      </w:pPr>
    </w:p>
    <w:p w14:paraId="6180E58A" w14:textId="074D3704" w:rsidR="007F27FD" w:rsidRDefault="00BC5851" w:rsidP="00EF2AB7">
      <w:r>
        <w:t>Table F.</w:t>
      </w:r>
      <w:r w:rsidR="006D32EF">
        <w:t>4</w:t>
      </w:r>
      <w:r>
        <w:t xml:space="preserve"> shows the scores assigned to Scenarios 1 and 2 compared to the </w:t>
      </w:r>
      <w:r w:rsidR="00213A15">
        <w:t xml:space="preserve">MCA analysis undertaken to determine the preferred option in Chapter 4. </w:t>
      </w:r>
    </w:p>
    <w:p w14:paraId="31FF0CE0" w14:textId="7AF8F673" w:rsidR="007F27FD" w:rsidRDefault="007F27FD" w:rsidP="00EF2AB7">
      <w:pPr>
        <w:rPr>
          <w:bCs/>
        </w:rPr>
      </w:pPr>
      <w:r>
        <w:rPr>
          <w:bCs/>
        </w:rPr>
        <w:t xml:space="preserve">In the scenario where the tourism </w:t>
      </w:r>
      <w:r w:rsidR="00BD4512">
        <w:rPr>
          <w:bCs/>
        </w:rPr>
        <w:t xml:space="preserve">level </w:t>
      </w:r>
      <w:r>
        <w:rPr>
          <w:bCs/>
        </w:rPr>
        <w:t xml:space="preserve">decreases in response to </w:t>
      </w:r>
      <w:r w:rsidR="009B1AF6">
        <w:rPr>
          <w:bCs/>
        </w:rPr>
        <w:t>COVID</w:t>
      </w:r>
      <w:r>
        <w:rPr>
          <w:bCs/>
        </w:rPr>
        <w:t>-19, the total costs decline by $9.</w:t>
      </w:r>
      <w:r w:rsidR="000C156F">
        <w:rPr>
          <w:bCs/>
        </w:rPr>
        <w:t>7</w:t>
      </w:r>
      <w:r>
        <w:rPr>
          <w:bCs/>
        </w:rPr>
        <w:t xml:space="preserve"> million with the largest falls in the costs to keeping a register which declines </w:t>
      </w:r>
      <w:r w:rsidR="00DF0579">
        <w:rPr>
          <w:bCs/>
        </w:rPr>
        <w:t xml:space="preserve">by </w:t>
      </w:r>
      <w:r>
        <w:rPr>
          <w:bCs/>
        </w:rPr>
        <w:t>just less than half. This is largely driven by both the decline in the number of accommodation businesses and a decline in occupancy. Holding all else equal, the weighted score i</w:t>
      </w:r>
      <w:r w:rsidR="00DF0579">
        <w:rPr>
          <w:bCs/>
        </w:rPr>
        <w:t>ncreases</w:t>
      </w:r>
      <w:r>
        <w:rPr>
          <w:bCs/>
        </w:rPr>
        <w:t xml:space="preserve"> from +0.5 </w:t>
      </w:r>
      <w:r w:rsidR="00DF0579">
        <w:rPr>
          <w:bCs/>
        </w:rPr>
        <w:t xml:space="preserve">to </w:t>
      </w:r>
      <w:r>
        <w:rPr>
          <w:bCs/>
        </w:rPr>
        <w:t>+0.9 in this scenario.</w:t>
      </w:r>
    </w:p>
    <w:p w14:paraId="25F092C2" w14:textId="2C42F6AC" w:rsidR="007F27FD" w:rsidRDefault="007F27FD" w:rsidP="007F27FD">
      <w:pPr>
        <w:rPr>
          <w:bCs/>
        </w:rPr>
      </w:pPr>
      <w:r>
        <w:rPr>
          <w:bCs/>
        </w:rPr>
        <w:t xml:space="preserve">In the scenario where the tourism </w:t>
      </w:r>
      <w:r w:rsidR="00BD4512">
        <w:rPr>
          <w:bCs/>
        </w:rPr>
        <w:t xml:space="preserve">level </w:t>
      </w:r>
      <w:r>
        <w:rPr>
          <w:bCs/>
        </w:rPr>
        <w:t>increases relative to levels in 2018-19, the total costs increase by $16.</w:t>
      </w:r>
      <w:r w:rsidR="000C156F">
        <w:rPr>
          <w:bCs/>
        </w:rPr>
        <w:t>3</w:t>
      </w:r>
      <w:r>
        <w:rPr>
          <w:bCs/>
        </w:rPr>
        <w:t xml:space="preserve"> million with the costs increases largely driven by the increase in costs to keep a register and higher maintenance costs. The costs to keep a register increase in response to more accommodation businesses and higher occupation while the maintenance costs increase in response to more businesses incurring these </w:t>
      </w:r>
      <w:r w:rsidR="000102C6">
        <w:rPr>
          <w:bCs/>
        </w:rPr>
        <w:t>costs. Holding</w:t>
      </w:r>
      <w:r>
        <w:rPr>
          <w:bCs/>
        </w:rPr>
        <w:t xml:space="preserve"> all else equal, the weighted score </w:t>
      </w:r>
      <w:r w:rsidR="000102C6">
        <w:rPr>
          <w:bCs/>
        </w:rPr>
        <w:t>dec</w:t>
      </w:r>
      <w:r w:rsidR="00BD4512">
        <w:rPr>
          <w:bCs/>
        </w:rPr>
        <w:t>reases</w:t>
      </w:r>
      <w:r>
        <w:rPr>
          <w:bCs/>
        </w:rPr>
        <w:t xml:space="preserve"> from +0.5 to </w:t>
      </w:r>
      <w:r w:rsidR="000102C6">
        <w:rPr>
          <w:bCs/>
        </w:rPr>
        <w:t>-0.3</w:t>
      </w:r>
      <w:r>
        <w:rPr>
          <w:bCs/>
        </w:rPr>
        <w:t xml:space="preserve"> </w:t>
      </w:r>
      <w:r w:rsidR="000102C6">
        <w:rPr>
          <w:bCs/>
        </w:rPr>
        <w:t xml:space="preserve">meaning that the Base Case is preferred relative to Option 1 in this scenario. This </w:t>
      </w:r>
      <w:r w:rsidR="000102C6">
        <w:t>scenario is considered very unlikely, particularly given the COVID-19 health emergency, and only included for completeness.</w:t>
      </w:r>
    </w:p>
    <w:p w14:paraId="1D319392" w14:textId="60B4F553" w:rsidR="00EA3230" w:rsidRDefault="004335F8" w:rsidP="00EA3230">
      <w:pPr>
        <w:pStyle w:val="CaptionChart"/>
      </w:pPr>
      <w:r w:rsidRPr="000A704B">
        <w:rPr>
          <w:color w:val="000000" w:themeColor="text1"/>
        </w:rPr>
        <w:t>Table F.</w:t>
      </w:r>
      <w:r w:rsidR="006D32EF" w:rsidRPr="000A704B">
        <w:rPr>
          <w:color w:val="000000" w:themeColor="text1"/>
        </w:rPr>
        <w:t>4</w:t>
      </w:r>
      <w:r w:rsidRPr="000A704B">
        <w:rPr>
          <w:color w:val="000000" w:themeColor="text1"/>
        </w:rPr>
        <w:t xml:space="preserve">: </w:t>
      </w:r>
      <w:r w:rsidR="00EA3230" w:rsidRPr="000A704B">
        <w:rPr>
          <w:color w:val="000000" w:themeColor="text1"/>
        </w:rPr>
        <w:t>Sensitivity test – MCA scoring for different scenario results</w:t>
      </w:r>
    </w:p>
    <w:tbl>
      <w:tblPr>
        <w:tblStyle w:val="Deloittetable"/>
        <w:tblW w:w="5000" w:type="pct"/>
        <w:tblLook w:val="04A0" w:firstRow="1" w:lastRow="0" w:firstColumn="1" w:lastColumn="0" w:noHBand="0" w:noVBand="1"/>
      </w:tblPr>
      <w:tblGrid>
        <w:gridCol w:w="2410"/>
        <w:gridCol w:w="3625"/>
        <w:gridCol w:w="1650"/>
        <w:gridCol w:w="1341"/>
      </w:tblGrid>
      <w:tr w:rsidR="00355C36" w14:paraId="7BABDD2B" w14:textId="77777777" w:rsidTr="001419A0">
        <w:trPr>
          <w:cnfStyle w:val="100000000000" w:firstRow="1" w:lastRow="0" w:firstColumn="0" w:lastColumn="0" w:oddVBand="0" w:evenVBand="0" w:oddHBand="0" w:evenHBand="0" w:firstRowFirstColumn="0" w:firstRowLastColumn="0" w:lastRowFirstColumn="0" w:lastRowLastColumn="0"/>
          <w:trHeight w:val="280"/>
        </w:trPr>
        <w:tc>
          <w:tcPr>
            <w:tcW w:w="1335" w:type="pct"/>
          </w:tcPr>
          <w:p w14:paraId="1DC71582" w14:textId="77777777" w:rsidR="00355C36" w:rsidRPr="001419A0" w:rsidRDefault="00355C36" w:rsidP="00F138E8">
            <w:pPr>
              <w:spacing w:after="0"/>
              <w:rPr>
                <w:rFonts w:asciiTheme="majorHAnsi" w:hAnsiTheme="majorHAnsi"/>
                <w:b/>
                <w:sz w:val="14"/>
                <w:szCs w:val="14"/>
              </w:rPr>
            </w:pPr>
            <w:r w:rsidRPr="001419A0">
              <w:rPr>
                <w:rFonts w:asciiTheme="majorHAnsi" w:hAnsiTheme="majorHAnsi"/>
                <w:b/>
                <w:sz w:val="14"/>
                <w:szCs w:val="14"/>
              </w:rPr>
              <w:t xml:space="preserve">Type of </w:t>
            </w:r>
          </w:p>
          <w:p w14:paraId="7990E966" w14:textId="77777777" w:rsidR="00355C36" w:rsidRPr="001419A0" w:rsidRDefault="00355C36" w:rsidP="007B4414">
            <w:pPr>
              <w:spacing w:after="0"/>
              <w:rPr>
                <w:rFonts w:asciiTheme="majorHAnsi" w:hAnsiTheme="majorHAnsi"/>
                <w:b/>
                <w:sz w:val="14"/>
                <w:szCs w:val="14"/>
              </w:rPr>
            </w:pPr>
            <w:r w:rsidRPr="001419A0">
              <w:rPr>
                <w:rFonts w:asciiTheme="majorHAnsi" w:hAnsiTheme="majorHAnsi"/>
                <w:b/>
                <w:sz w:val="14"/>
                <w:szCs w:val="14"/>
              </w:rPr>
              <w:t>prescribed accommodation</w:t>
            </w:r>
          </w:p>
        </w:tc>
        <w:tc>
          <w:tcPr>
            <w:tcW w:w="2008" w:type="pct"/>
          </w:tcPr>
          <w:p w14:paraId="6D8365C6" w14:textId="719F1EBD" w:rsidR="00355C36" w:rsidRPr="001419A0" w:rsidRDefault="00355C36" w:rsidP="001419A0">
            <w:pPr>
              <w:spacing w:after="0"/>
              <w:ind w:left="148" w:right="409"/>
              <w:rPr>
                <w:rFonts w:asciiTheme="majorHAnsi" w:hAnsiTheme="majorHAnsi"/>
                <w:b/>
                <w:sz w:val="14"/>
                <w:szCs w:val="14"/>
              </w:rPr>
            </w:pPr>
            <w:r w:rsidRPr="001419A0">
              <w:rPr>
                <w:rFonts w:asciiTheme="majorHAnsi" w:hAnsiTheme="majorHAnsi"/>
                <w:b/>
                <w:sz w:val="14"/>
                <w:szCs w:val="14"/>
              </w:rPr>
              <w:t>MCA assumption</w:t>
            </w:r>
            <w:r w:rsidR="00BA6D1F" w:rsidRPr="001419A0">
              <w:rPr>
                <w:rFonts w:asciiTheme="majorHAnsi" w:hAnsiTheme="majorHAnsi"/>
                <w:b/>
                <w:sz w:val="14"/>
                <w:szCs w:val="14"/>
              </w:rPr>
              <w:t xml:space="preserve"> (Chapter 4) for number of prescribed accommodation facilities and occupa</w:t>
            </w:r>
            <w:r w:rsidR="00A27883" w:rsidRPr="001419A0">
              <w:rPr>
                <w:rFonts w:asciiTheme="majorHAnsi" w:hAnsiTheme="majorHAnsi"/>
                <w:b/>
                <w:sz w:val="14"/>
                <w:szCs w:val="14"/>
              </w:rPr>
              <w:t>ncy level</w:t>
            </w:r>
          </w:p>
        </w:tc>
        <w:tc>
          <w:tcPr>
            <w:tcW w:w="914" w:type="pct"/>
          </w:tcPr>
          <w:p w14:paraId="64E43F89" w14:textId="4E1AB0B6" w:rsidR="00355C36" w:rsidRPr="001419A0" w:rsidRDefault="00355C36" w:rsidP="001419A0">
            <w:pPr>
              <w:spacing w:after="0"/>
              <w:ind w:right="301"/>
              <w:rPr>
                <w:rFonts w:asciiTheme="majorHAnsi" w:hAnsiTheme="majorHAnsi"/>
                <w:b/>
                <w:sz w:val="14"/>
                <w:szCs w:val="14"/>
              </w:rPr>
            </w:pPr>
            <w:r w:rsidRPr="001419A0">
              <w:rPr>
                <w:rFonts w:asciiTheme="majorHAnsi" w:hAnsiTheme="majorHAnsi"/>
                <w:b/>
                <w:sz w:val="14"/>
                <w:szCs w:val="14"/>
              </w:rPr>
              <w:t xml:space="preserve">Scenario 1 </w:t>
            </w:r>
            <w:r w:rsidR="00A27883" w:rsidRPr="001419A0">
              <w:rPr>
                <w:rFonts w:asciiTheme="majorHAnsi" w:hAnsiTheme="majorHAnsi"/>
                <w:b/>
                <w:sz w:val="14"/>
                <w:szCs w:val="14"/>
              </w:rPr>
              <w:t>Decreased</w:t>
            </w:r>
          </w:p>
        </w:tc>
        <w:tc>
          <w:tcPr>
            <w:tcW w:w="743" w:type="pct"/>
          </w:tcPr>
          <w:p w14:paraId="2366461C" w14:textId="77777777" w:rsidR="00355C36" w:rsidRPr="001419A0" w:rsidRDefault="00355C36" w:rsidP="00F138E8">
            <w:pPr>
              <w:spacing w:after="0"/>
              <w:rPr>
                <w:rFonts w:asciiTheme="majorHAnsi" w:hAnsiTheme="majorHAnsi"/>
                <w:b/>
                <w:sz w:val="14"/>
                <w:szCs w:val="14"/>
              </w:rPr>
            </w:pPr>
            <w:r w:rsidRPr="001419A0">
              <w:rPr>
                <w:rFonts w:asciiTheme="majorHAnsi" w:hAnsiTheme="majorHAnsi"/>
                <w:b/>
                <w:sz w:val="14"/>
                <w:szCs w:val="14"/>
              </w:rPr>
              <w:t>Scenario 2</w:t>
            </w:r>
          </w:p>
          <w:p w14:paraId="259C63C2" w14:textId="202D3FAA" w:rsidR="00355C36" w:rsidRPr="001419A0" w:rsidRDefault="00A27883" w:rsidP="007B4414">
            <w:pPr>
              <w:spacing w:after="0"/>
              <w:rPr>
                <w:rFonts w:asciiTheme="majorHAnsi" w:hAnsiTheme="majorHAnsi"/>
                <w:b/>
                <w:sz w:val="14"/>
                <w:szCs w:val="14"/>
              </w:rPr>
            </w:pPr>
            <w:r w:rsidRPr="001419A0">
              <w:rPr>
                <w:rFonts w:asciiTheme="majorHAnsi" w:hAnsiTheme="majorHAnsi"/>
                <w:b/>
                <w:sz w:val="14"/>
                <w:szCs w:val="14"/>
              </w:rPr>
              <w:t>Increased</w:t>
            </w:r>
          </w:p>
        </w:tc>
      </w:tr>
      <w:tr w:rsidR="00355C36" w14:paraId="3CD603DB" w14:textId="77777777" w:rsidTr="001419A0">
        <w:trPr>
          <w:trHeight w:val="84"/>
        </w:trPr>
        <w:tc>
          <w:tcPr>
            <w:tcW w:w="1335" w:type="pct"/>
          </w:tcPr>
          <w:p w14:paraId="3E20E044" w14:textId="77777777" w:rsidR="00355C36" w:rsidRPr="001419A0" w:rsidRDefault="00355C36" w:rsidP="00CD27C7">
            <w:pPr>
              <w:spacing w:after="0"/>
              <w:rPr>
                <w:rFonts w:asciiTheme="majorHAnsi" w:hAnsiTheme="majorHAnsi"/>
                <w:b/>
                <w:sz w:val="14"/>
                <w:szCs w:val="14"/>
              </w:rPr>
            </w:pPr>
            <w:r w:rsidRPr="001419A0">
              <w:rPr>
                <w:rFonts w:asciiTheme="majorHAnsi" w:hAnsiTheme="majorHAnsi"/>
                <w:b/>
                <w:sz w:val="14"/>
                <w:szCs w:val="14"/>
              </w:rPr>
              <w:t>Total costs</w:t>
            </w:r>
          </w:p>
        </w:tc>
        <w:tc>
          <w:tcPr>
            <w:tcW w:w="2008" w:type="pct"/>
          </w:tcPr>
          <w:p w14:paraId="0E4868E6" w14:textId="12DB803B" w:rsidR="00355C36" w:rsidRPr="001419A0" w:rsidRDefault="00355C36" w:rsidP="000C156F">
            <w:pPr>
              <w:spacing w:after="0"/>
              <w:jc w:val="center"/>
              <w:rPr>
                <w:rFonts w:asciiTheme="majorHAnsi" w:hAnsiTheme="majorHAnsi"/>
                <w:b/>
                <w:sz w:val="14"/>
                <w:szCs w:val="14"/>
              </w:rPr>
            </w:pPr>
            <w:r w:rsidRPr="001419A0">
              <w:rPr>
                <w:rFonts w:asciiTheme="majorHAnsi" w:hAnsiTheme="majorHAnsi"/>
                <w:b/>
                <w:sz w:val="14"/>
                <w:szCs w:val="14"/>
              </w:rPr>
              <w:t>$</w:t>
            </w:r>
            <w:r w:rsidR="006678A2" w:rsidRPr="001419A0">
              <w:rPr>
                <w:rFonts w:asciiTheme="majorHAnsi" w:hAnsiTheme="majorHAnsi"/>
                <w:b/>
                <w:bCs/>
                <w:sz w:val="14"/>
                <w:szCs w:val="14"/>
              </w:rPr>
              <w:t>62.</w:t>
            </w:r>
            <w:r w:rsidR="000C156F">
              <w:rPr>
                <w:rFonts w:asciiTheme="majorHAnsi" w:hAnsiTheme="majorHAnsi"/>
                <w:b/>
                <w:bCs/>
                <w:sz w:val="14"/>
                <w:szCs w:val="14"/>
              </w:rPr>
              <w:t>4</w:t>
            </w:r>
            <w:r w:rsidRPr="001419A0">
              <w:rPr>
                <w:rFonts w:asciiTheme="majorHAnsi" w:hAnsiTheme="majorHAnsi"/>
                <w:b/>
                <w:sz w:val="14"/>
                <w:szCs w:val="14"/>
              </w:rPr>
              <w:t xml:space="preserve"> million</w:t>
            </w:r>
          </w:p>
        </w:tc>
        <w:tc>
          <w:tcPr>
            <w:tcW w:w="914" w:type="pct"/>
          </w:tcPr>
          <w:p w14:paraId="0AECEB04" w14:textId="4FBFE308" w:rsidR="00355C36" w:rsidRPr="001419A0" w:rsidRDefault="00355C36" w:rsidP="00CD27C7">
            <w:pPr>
              <w:spacing w:after="0"/>
              <w:jc w:val="center"/>
              <w:rPr>
                <w:rFonts w:asciiTheme="majorHAnsi" w:hAnsiTheme="majorHAnsi"/>
                <w:b/>
                <w:color w:val="FF0000"/>
                <w:sz w:val="14"/>
                <w:szCs w:val="14"/>
              </w:rPr>
            </w:pPr>
            <w:r w:rsidRPr="001419A0">
              <w:rPr>
                <w:rFonts w:asciiTheme="majorHAnsi" w:hAnsiTheme="majorHAnsi"/>
                <w:b/>
                <w:sz w:val="14"/>
                <w:szCs w:val="14"/>
              </w:rPr>
              <w:t>$</w:t>
            </w:r>
            <w:r w:rsidR="004D4CD6" w:rsidRPr="001419A0">
              <w:rPr>
                <w:rFonts w:asciiTheme="majorHAnsi" w:hAnsiTheme="majorHAnsi"/>
                <w:b/>
                <w:bCs/>
                <w:sz w:val="14"/>
                <w:szCs w:val="14"/>
              </w:rPr>
              <w:t>52.7</w:t>
            </w:r>
            <w:r w:rsidRPr="001419A0">
              <w:rPr>
                <w:rFonts w:asciiTheme="majorHAnsi" w:hAnsiTheme="majorHAnsi"/>
                <w:b/>
                <w:sz w:val="14"/>
                <w:szCs w:val="14"/>
              </w:rPr>
              <w:t xml:space="preserve"> million</w:t>
            </w:r>
          </w:p>
        </w:tc>
        <w:tc>
          <w:tcPr>
            <w:tcW w:w="743" w:type="pct"/>
          </w:tcPr>
          <w:p w14:paraId="3E00B96B" w14:textId="0247CA1B" w:rsidR="00355C36" w:rsidRPr="001419A0" w:rsidRDefault="00355C36" w:rsidP="000C156F">
            <w:pPr>
              <w:spacing w:after="0"/>
              <w:jc w:val="center"/>
              <w:rPr>
                <w:rFonts w:asciiTheme="majorHAnsi" w:hAnsiTheme="majorHAnsi"/>
                <w:b/>
                <w:color w:val="FF0000"/>
                <w:sz w:val="14"/>
                <w:szCs w:val="14"/>
              </w:rPr>
            </w:pPr>
            <w:r w:rsidRPr="001419A0">
              <w:rPr>
                <w:rFonts w:asciiTheme="majorHAnsi" w:hAnsiTheme="majorHAnsi"/>
                <w:b/>
                <w:sz w:val="14"/>
                <w:szCs w:val="14"/>
              </w:rPr>
              <w:t>$</w:t>
            </w:r>
            <w:r w:rsidR="00E93D10" w:rsidRPr="001419A0">
              <w:rPr>
                <w:rFonts w:asciiTheme="majorHAnsi" w:hAnsiTheme="majorHAnsi"/>
                <w:b/>
                <w:bCs/>
                <w:sz w:val="14"/>
                <w:szCs w:val="14"/>
              </w:rPr>
              <w:t>7</w:t>
            </w:r>
            <w:r w:rsidR="000C156F">
              <w:rPr>
                <w:rFonts w:asciiTheme="majorHAnsi" w:hAnsiTheme="majorHAnsi"/>
                <w:b/>
                <w:bCs/>
                <w:sz w:val="14"/>
                <w:szCs w:val="14"/>
              </w:rPr>
              <w:t>8</w:t>
            </w:r>
            <w:r w:rsidR="00E93D10" w:rsidRPr="001419A0">
              <w:rPr>
                <w:rFonts w:asciiTheme="majorHAnsi" w:hAnsiTheme="majorHAnsi"/>
                <w:b/>
                <w:bCs/>
                <w:sz w:val="14"/>
                <w:szCs w:val="14"/>
              </w:rPr>
              <w:t>.</w:t>
            </w:r>
            <w:r w:rsidR="000C156F">
              <w:rPr>
                <w:rFonts w:asciiTheme="majorHAnsi" w:hAnsiTheme="majorHAnsi"/>
                <w:b/>
                <w:bCs/>
                <w:sz w:val="14"/>
                <w:szCs w:val="14"/>
              </w:rPr>
              <w:t>7</w:t>
            </w:r>
            <w:r w:rsidRPr="001419A0">
              <w:rPr>
                <w:rFonts w:asciiTheme="majorHAnsi" w:hAnsiTheme="majorHAnsi"/>
                <w:b/>
                <w:sz w:val="14"/>
                <w:szCs w:val="14"/>
              </w:rPr>
              <w:t xml:space="preserve"> million</w:t>
            </w:r>
          </w:p>
        </w:tc>
      </w:tr>
      <w:tr w:rsidR="00355C36" w14:paraId="01180FE9" w14:textId="77777777" w:rsidTr="001419A0">
        <w:trPr>
          <w:trHeight w:val="84"/>
        </w:trPr>
        <w:tc>
          <w:tcPr>
            <w:tcW w:w="1335" w:type="pct"/>
          </w:tcPr>
          <w:p w14:paraId="795EB50F" w14:textId="77777777" w:rsidR="00355C36" w:rsidRPr="001419A0" w:rsidRDefault="00355C36" w:rsidP="00CD27C7">
            <w:pPr>
              <w:spacing w:after="0"/>
              <w:rPr>
                <w:rFonts w:asciiTheme="majorHAnsi" w:hAnsiTheme="majorHAnsi"/>
                <w:b/>
                <w:sz w:val="14"/>
                <w:szCs w:val="14"/>
              </w:rPr>
            </w:pPr>
            <w:r w:rsidRPr="001419A0">
              <w:rPr>
                <w:rFonts w:asciiTheme="majorHAnsi" w:hAnsiTheme="majorHAnsi"/>
                <w:b/>
                <w:sz w:val="14"/>
                <w:szCs w:val="14"/>
              </w:rPr>
              <w:t>Unweighted score –</w:t>
            </w:r>
          </w:p>
          <w:p w14:paraId="4154EBBF" w14:textId="34595A1A" w:rsidR="00355C36" w:rsidRPr="001419A0" w:rsidRDefault="00355C36" w:rsidP="00CD27C7">
            <w:pPr>
              <w:spacing w:after="0"/>
              <w:rPr>
                <w:rFonts w:asciiTheme="majorHAnsi" w:hAnsiTheme="majorHAnsi"/>
                <w:b/>
                <w:sz w:val="14"/>
                <w:szCs w:val="14"/>
              </w:rPr>
            </w:pPr>
            <w:r w:rsidRPr="001419A0">
              <w:rPr>
                <w:rFonts w:asciiTheme="majorHAnsi" w:hAnsiTheme="majorHAnsi"/>
                <w:b/>
                <w:sz w:val="14"/>
                <w:szCs w:val="14"/>
              </w:rPr>
              <w:t>business criteria</w:t>
            </w:r>
          </w:p>
        </w:tc>
        <w:tc>
          <w:tcPr>
            <w:tcW w:w="2008" w:type="pct"/>
          </w:tcPr>
          <w:p w14:paraId="71E4DC6B" w14:textId="77777777" w:rsidR="00355C36" w:rsidRPr="001419A0" w:rsidRDefault="00355C36" w:rsidP="00CD27C7">
            <w:pPr>
              <w:spacing w:after="0"/>
              <w:jc w:val="center"/>
              <w:rPr>
                <w:rFonts w:asciiTheme="majorHAnsi" w:hAnsiTheme="majorHAnsi"/>
                <w:b/>
                <w:sz w:val="14"/>
                <w:szCs w:val="14"/>
              </w:rPr>
            </w:pPr>
            <w:r w:rsidRPr="001419A0">
              <w:rPr>
                <w:rFonts w:asciiTheme="majorHAnsi" w:hAnsiTheme="majorHAnsi"/>
                <w:b/>
                <w:sz w:val="14"/>
                <w:szCs w:val="14"/>
              </w:rPr>
              <w:t>-7</w:t>
            </w:r>
          </w:p>
        </w:tc>
        <w:tc>
          <w:tcPr>
            <w:tcW w:w="914" w:type="pct"/>
          </w:tcPr>
          <w:p w14:paraId="73E8F37F" w14:textId="113DAB45" w:rsidR="00355C36" w:rsidRPr="001419A0" w:rsidRDefault="00355C36" w:rsidP="00CD27C7">
            <w:pPr>
              <w:spacing w:after="0"/>
              <w:jc w:val="center"/>
              <w:rPr>
                <w:rFonts w:asciiTheme="majorHAnsi" w:hAnsiTheme="majorHAnsi"/>
                <w:b/>
                <w:color w:val="FF0000"/>
                <w:sz w:val="14"/>
                <w:szCs w:val="14"/>
              </w:rPr>
            </w:pPr>
            <w:r w:rsidRPr="001419A0">
              <w:rPr>
                <w:rFonts w:asciiTheme="majorHAnsi" w:hAnsiTheme="majorHAnsi"/>
                <w:b/>
                <w:sz w:val="14"/>
                <w:szCs w:val="14"/>
              </w:rPr>
              <w:t>-</w:t>
            </w:r>
            <w:r w:rsidR="00F057BD" w:rsidRPr="001419A0">
              <w:rPr>
                <w:rFonts w:asciiTheme="majorHAnsi" w:hAnsiTheme="majorHAnsi"/>
                <w:b/>
                <w:sz w:val="14"/>
                <w:szCs w:val="14"/>
              </w:rPr>
              <w:t>6</w:t>
            </w:r>
          </w:p>
        </w:tc>
        <w:tc>
          <w:tcPr>
            <w:tcW w:w="743" w:type="pct"/>
          </w:tcPr>
          <w:p w14:paraId="4AD24E71" w14:textId="0AF94446" w:rsidR="00355C36" w:rsidRPr="001419A0" w:rsidRDefault="00355C36" w:rsidP="00CD27C7">
            <w:pPr>
              <w:spacing w:after="0"/>
              <w:jc w:val="center"/>
              <w:rPr>
                <w:rFonts w:asciiTheme="majorHAnsi" w:hAnsiTheme="majorHAnsi"/>
                <w:b/>
                <w:sz w:val="14"/>
                <w:szCs w:val="14"/>
              </w:rPr>
            </w:pPr>
            <w:r w:rsidRPr="001419A0">
              <w:rPr>
                <w:rFonts w:asciiTheme="majorHAnsi" w:hAnsiTheme="majorHAnsi"/>
                <w:b/>
                <w:sz w:val="14"/>
                <w:szCs w:val="14"/>
              </w:rPr>
              <w:t>-</w:t>
            </w:r>
            <w:r w:rsidR="00C01377" w:rsidRPr="001419A0">
              <w:rPr>
                <w:rFonts w:asciiTheme="majorHAnsi" w:hAnsiTheme="majorHAnsi"/>
                <w:b/>
                <w:sz w:val="14"/>
                <w:szCs w:val="14"/>
              </w:rPr>
              <w:t>9</w:t>
            </w:r>
          </w:p>
        </w:tc>
      </w:tr>
      <w:tr w:rsidR="00355C36" w14:paraId="77A40FCC" w14:textId="77777777" w:rsidTr="001419A0">
        <w:trPr>
          <w:trHeight w:val="84"/>
        </w:trPr>
        <w:tc>
          <w:tcPr>
            <w:tcW w:w="1335" w:type="pct"/>
          </w:tcPr>
          <w:p w14:paraId="1326FC5E" w14:textId="77777777" w:rsidR="00355C36" w:rsidRPr="001419A0" w:rsidRDefault="00355C36" w:rsidP="00CD27C7">
            <w:pPr>
              <w:spacing w:after="0"/>
              <w:rPr>
                <w:rFonts w:asciiTheme="majorHAnsi" w:hAnsiTheme="majorHAnsi"/>
                <w:b/>
                <w:sz w:val="14"/>
                <w:szCs w:val="14"/>
              </w:rPr>
            </w:pPr>
            <w:r w:rsidRPr="001419A0">
              <w:rPr>
                <w:rFonts w:asciiTheme="majorHAnsi" w:hAnsiTheme="majorHAnsi"/>
                <w:b/>
                <w:sz w:val="14"/>
                <w:szCs w:val="14"/>
              </w:rPr>
              <w:t xml:space="preserve">Total weighted score – </w:t>
            </w:r>
          </w:p>
          <w:p w14:paraId="59AC67C2" w14:textId="77777777" w:rsidR="00355C36" w:rsidRPr="001419A0" w:rsidRDefault="00355C36" w:rsidP="00CD27C7">
            <w:pPr>
              <w:spacing w:after="0"/>
              <w:rPr>
                <w:rFonts w:asciiTheme="majorHAnsi" w:hAnsiTheme="majorHAnsi"/>
                <w:b/>
                <w:sz w:val="14"/>
                <w:szCs w:val="14"/>
              </w:rPr>
            </w:pPr>
            <w:r w:rsidRPr="001419A0">
              <w:rPr>
                <w:rFonts w:asciiTheme="majorHAnsi" w:hAnsiTheme="majorHAnsi"/>
                <w:b/>
                <w:sz w:val="14"/>
                <w:szCs w:val="14"/>
              </w:rPr>
              <w:t>all criteria</w:t>
            </w:r>
          </w:p>
        </w:tc>
        <w:tc>
          <w:tcPr>
            <w:tcW w:w="2008" w:type="pct"/>
          </w:tcPr>
          <w:p w14:paraId="46155900" w14:textId="77777777" w:rsidR="00355C36" w:rsidRPr="001419A0" w:rsidRDefault="00355C36" w:rsidP="00CD27C7">
            <w:pPr>
              <w:spacing w:after="0"/>
              <w:jc w:val="center"/>
              <w:rPr>
                <w:rFonts w:asciiTheme="majorHAnsi" w:hAnsiTheme="majorHAnsi"/>
                <w:b/>
                <w:sz w:val="14"/>
                <w:szCs w:val="14"/>
              </w:rPr>
            </w:pPr>
            <w:r w:rsidRPr="001419A0">
              <w:rPr>
                <w:rFonts w:asciiTheme="majorHAnsi" w:hAnsiTheme="majorHAnsi"/>
                <w:b/>
                <w:sz w:val="14"/>
                <w:szCs w:val="14"/>
              </w:rPr>
              <w:t>+0.5</w:t>
            </w:r>
          </w:p>
        </w:tc>
        <w:tc>
          <w:tcPr>
            <w:tcW w:w="914" w:type="pct"/>
          </w:tcPr>
          <w:p w14:paraId="3C043D27" w14:textId="336DDB24" w:rsidR="00355C36" w:rsidRPr="001419A0" w:rsidRDefault="00355C36" w:rsidP="00CD27C7">
            <w:pPr>
              <w:spacing w:after="0"/>
              <w:jc w:val="center"/>
              <w:rPr>
                <w:rFonts w:asciiTheme="majorHAnsi" w:hAnsiTheme="majorHAnsi"/>
                <w:b/>
                <w:color w:val="FF0000"/>
                <w:sz w:val="14"/>
                <w:szCs w:val="14"/>
              </w:rPr>
            </w:pPr>
            <w:r w:rsidRPr="001419A0">
              <w:rPr>
                <w:rFonts w:asciiTheme="majorHAnsi" w:hAnsiTheme="majorHAnsi"/>
                <w:b/>
                <w:sz w:val="14"/>
                <w:szCs w:val="14"/>
              </w:rPr>
              <w:t>+</w:t>
            </w:r>
            <w:r w:rsidR="00846B63" w:rsidRPr="001419A0">
              <w:rPr>
                <w:rFonts w:asciiTheme="majorHAnsi" w:hAnsiTheme="majorHAnsi"/>
                <w:b/>
                <w:sz w:val="14"/>
                <w:szCs w:val="14"/>
              </w:rPr>
              <w:t>0.9</w:t>
            </w:r>
          </w:p>
        </w:tc>
        <w:tc>
          <w:tcPr>
            <w:tcW w:w="743" w:type="pct"/>
          </w:tcPr>
          <w:p w14:paraId="09AAC714" w14:textId="44083C2C" w:rsidR="00355C36" w:rsidRPr="001419A0" w:rsidRDefault="00355C36" w:rsidP="00CD27C7">
            <w:pPr>
              <w:spacing w:after="0"/>
              <w:jc w:val="center"/>
              <w:rPr>
                <w:rFonts w:asciiTheme="majorHAnsi" w:hAnsiTheme="majorHAnsi"/>
                <w:b/>
                <w:sz w:val="14"/>
                <w:szCs w:val="14"/>
              </w:rPr>
            </w:pPr>
            <w:r w:rsidRPr="001419A0">
              <w:rPr>
                <w:rFonts w:asciiTheme="majorHAnsi" w:hAnsiTheme="majorHAnsi"/>
                <w:b/>
                <w:sz w:val="14"/>
                <w:szCs w:val="14"/>
              </w:rPr>
              <w:t>-0.</w:t>
            </w:r>
            <w:r w:rsidR="00C01377" w:rsidRPr="001419A0">
              <w:rPr>
                <w:rFonts w:asciiTheme="majorHAnsi" w:hAnsiTheme="majorHAnsi"/>
                <w:b/>
                <w:sz w:val="14"/>
                <w:szCs w:val="14"/>
              </w:rPr>
              <w:t>3</w:t>
            </w:r>
          </w:p>
        </w:tc>
      </w:tr>
    </w:tbl>
    <w:p w14:paraId="377D35FD" w14:textId="6C7DD6FA" w:rsidR="005B00B8" w:rsidRPr="009306DA" w:rsidRDefault="00BF4216" w:rsidP="00876F66">
      <w:pPr>
        <w:pStyle w:val="Heading1un-numbered"/>
      </w:pPr>
      <w:bookmarkStart w:id="240" w:name="_Toc49460316"/>
      <w:r w:rsidRPr="009306DA">
        <w:t>Limitation of our work</w:t>
      </w:r>
      <w:bookmarkEnd w:id="234"/>
      <w:bookmarkEnd w:id="235"/>
      <w:bookmarkEnd w:id="236"/>
      <w:bookmarkEnd w:id="237"/>
      <w:bookmarkEnd w:id="238"/>
      <w:bookmarkEnd w:id="239"/>
      <w:bookmarkEnd w:id="240"/>
    </w:p>
    <w:p w14:paraId="2A9224AC" w14:textId="77777777" w:rsidR="00BF4216" w:rsidRPr="004C4947" w:rsidRDefault="00BF4216" w:rsidP="00D7650C">
      <w:pPr>
        <w:pStyle w:val="Heading2"/>
        <w:numPr>
          <w:ilvl w:val="0"/>
          <w:numId w:val="0"/>
        </w:numPr>
        <w:ind w:left="576" w:hanging="576"/>
      </w:pPr>
      <w:bookmarkStart w:id="241" w:name="_Toc463002440"/>
      <w:bookmarkStart w:id="242" w:name="_Toc472586354"/>
      <w:bookmarkStart w:id="243" w:name="_Toc482168132"/>
      <w:bookmarkStart w:id="244" w:name="_Toc482174917"/>
      <w:bookmarkStart w:id="245" w:name="_Toc10111317"/>
      <w:bookmarkStart w:id="246" w:name="_Toc17892148"/>
      <w:bookmarkStart w:id="247" w:name="_Toc49460317"/>
      <w:r w:rsidRPr="009306DA">
        <w:t>General use restriction</w:t>
      </w:r>
      <w:bookmarkEnd w:id="241"/>
      <w:bookmarkEnd w:id="242"/>
      <w:bookmarkEnd w:id="243"/>
      <w:bookmarkEnd w:id="244"/>
      <w:bookmarkEnd w:id="245"/>
      <w:bookmarkEnd w:id="246"/>
      <w:bookmarkEnd w:id="247"/>
    </w:p>
    <w:p w14:paraId="2A9224AD" w14:textId="23B4331C" w:rsidR="00DF06E9" w:rsidRPr="00806743" w:rsidRDefault="00BF4216">
      <w:r w:rsidRPr="004C4947">
        <w:t xml:space="preserve">This report is prepared solely for the internal use of </w:t>
      </w:r>
      <w:r w:rsidR="008D72BB">
        <w:t>the Department of Health and Human Services</w:t>
      </w:r>
      <w:r w:rsidRPr="009306DA">
        <w:t xml:space="preserve">. This report is not intended to and should not be used or relied upon by anyone else and we accept no duty of care to any other person or entity. The report has been prepared for the purpose </w:t>
      </w:r>
      <w:r w:rsidR="004D21C7" w:rsidRPr="009306DA">
        <w:t xml:space="preserve">set out in our </w:t>
      </w:r>
      <w:r w:rsidR="004D21C7" w:rsidRPr="00C07963">
        <w:t>contract</w:t>
      </w:r>
      <w:r w:rsidR="004D21C7" w:rsidRPr="009306DA">
        <w:t xml:space="preserve"> dated </w:t>
      </w:r>
      <w:r w:rsidR="00D65C4B">
        <w:t>22 July 2020</w:t>
      </w:r>
      <w:r w:rsidRPr="009306DA">
        <w:t>. You should not refer to or use our name or the advice for any other purpose</w:t>
      </w:r>
      <w:r w:rsidR="003C49C5">
        <w:t xml:space="preserve">. </w:t>
      </w:r>
    </w:p>
    <w:p w14:paraId="2A9224AE" w14:textId="77777777" w:rsidR="00983929" w:rsidRPr="00806743" w:rsidRDefault="00983929" w:rsidP="00983929">
      <w:pPr>
        <w:pageBreakBefore/>
        <w:rPr>
          <w:rFonts w:asciiTheme="majorHAnsi" w:hAnsiTheme="majorHAnsi"/>
          <w:sz w:val="17"/>
          <w:szCs w:val="17"/>
        </w:rPr>
      </w:pPr>
    </w:p>
    <w:p w14:paraId="2A9224AF" w14:textId="77777777" w:rsidR="00D01239" w:rsidRPr="00806743" w:rsidRDefault="00D01239" w:rsidP="00983929">
      <w:pPr>
        <w:rPr>
          <w:rFonts w:asciiTheme="majorHAnsi" w:hAnsiTheme="majorHAnsi"/>
          <w:sz w:val="17"/>
          <w:szCs w:val="17"/>
        </w:rPr>
      </w:pPr>
    </w:p>
    <w:p w14:paraId="2A9224B0" w14:textId="77777777" w:rsidR="00BF6F8B" w:rsidRPr="00806743" w:rsidRDefault="00BF6F8B" w:rsidP="009B139F">
      <w:pPr>
        <w:rPr>
          <w:rFonts w:asciiTheme="majorHAnsi" w:hAnsiTheme="majorHAnsi"/>
          <w:sz w:val="17"/>
          <w:szCs w:val="17"/>
        </w:rPr>
      </w:pPr>
    </w:p>
    <w:tbl>
      <w:tblPr>
        <w:tblStyle w:val="TableGrid"/>
        <w:tblpPr w:vertAnchor="page" w:horzAnchor="margin" w:tblpY="3254"/>
        <w:tblOverlap w:val="never"/>
        <w:tblW w:w="9185" w:type="dxa"/>
        <w:tblLook w:val="04A0" w:firstRow="1" w:lastRow="0" w:firstColumn="1" w:lastColumn="0" w:noHBand="0" w:noVBand="1"/>
      </w:tblPr>
      <w:tblGrid>
        <w:gridCol w:w="9185"/>
      </w:tblGrid>
      <w:tr w:rsidR="00876F66" w:rsidRPr="00806743" w14:paraId="2A9224C3" w14:textId="77777777" w:rsidTr="00876F66">
        <w:trPr>
          <w:cnfStyle w:val="100000000000" w:firstRow="1" w:lastRow="0" w:firstColumn="0" w:lastColumn="0" w:oddVBand="0" w:evenVBand="0" w:oddHBand="0" w:evenHBand="0" w:firstRowFirstColumn="0" w:firstRowLastColumn="0" w:lastRowFirstColumn="0" w:lastRowLastColumn="0"/>
          <w:trHeight w:val="6379"/>
        </w:trPr>
        <w:tc>
          <w:tcPr>
            <w:tcW w:w="9185" w:type="dxa"/>
            <w:vAlign w:val="bottom"/>
          </w:tcPr>
          <w:p w14:paraId="2A9224B1" w14:textId="77777777" w:rsidR="00876F66" w:rsidRPr="00806743" w:rsidRDefault="00876F66" w:rsidP="00876F66">
            <w:pPr>
              <w:pStyle w:val="Legaltext"/>
              <w:rPr>
                <w:rFonts w:asciiTheme="majorHAnsi" w:hAnsiTheme="majorHAnsi"/>
                <w:sz w:val="17"/>
                <w:szCs w:val="17"/>
              </w:rPr>
            </w:pPr>
            <w:r w:rsidRPr="00806743">
              <w:rPr>
                <w:rFonts w:asciiTheme="majorHAnsi" w:hAnsiTheme="majorHAnsi"/>
                <w:noProof/>
                <w:sz w:val="17"/>
                <w:szCs w:val="17"/>
                <w:lang w:eastAsia="en-AU"/>
              </w:rPr>
              <w:drawing>
                <wp:inline distT="0" distB="0" distL="0" distR="0" wp14:anchorId="2A9224DD" wp14:editId="2712FAC6">
                  <wp:extent cx="2086118" cy="914400"/>
                  <wp:effectExtent l="0" t="0" r="0" b="0"/>
                  <wp:docPr id="266776721" name="Frontpage_Logo_Positiv" descr="Deloitte"/>
                  <wp:cNvGraphicFramePr/>
                  <a:graphic xmlns:a="http://schemas.openxmlformats.org/drawingml/2006/main">
                    <a:graphicData uri="http://schemas.openxmlformats.org/drawingml/2006/picture">
                      <pic:pic xmlns:pic="http://schemas.openxmlformats.org/drawingml/2006/picture">
                        <pic:nvPicPr>
                          <pic:cNvPr id="266776721" name="Frontpage_Logo_Positiv"/>
                          <pic:cNvPicPr/>
                        </pic:nvPicPr>
                        <pic:blipFill>
                          <a:blip r:embed="rId91"/>
                          <a:srcRect/>
                          <a:stretch/>
                        </pic:blipFill>
                        <pic:spPr>
                          <a:xfrm>
                            <a:off x="0" y="0"/>
                            <a:ext cx="2086118" cy="914400"/>
                          </a:xfrm>
                          <a:prstGeom prst="rect">
                            <a:avLst/>
                          </a:prstGeom>
                        </pic:spPr>
                      </pic:pic>
                    </a:graphicData>
                  </a:graphic>
                </wp:inline>
              </w:drawing>
            </w:r>
          </w:p>
          <w:p w14:paraId="2A9224B2" w14:textId="77777777" w:rsidR="00876F66" w:rsidRPr="00806743" w:rsidRDefault="00876F66" w:rsidP="00876F66">
            <w:pPr>
              <w:pStyle w:val="Legaltext"/>
              <w:rPr>
                <w:rFonts w:asciiTheme="majorHAnsi" w:hAnsiTheme="majorHAnsi"/>
                <w:sz w:val="17"/>
                <w:szCs w:val="17"/>
              </w:rPr>
            </w:pPr>
          </w:p>
          <w:p w14:paraId="2A9224B3" w14:textId="77777777" w:rsidR="00876F66" w:rsidRPr="00806743" w:rsidRDefault="00876F66" w:rsidP="00876F66">
            <w:pPr>
              <w:pStyle w:val="Legaltext"/>
              <w:rPr>
                <w:rFonts w:asciiTheme="majorHAnsi" w:hAnsiTheme="majorHAnsi"/>
                <w:sz w:val="17"/>
                <w:szCs w:val="17"/>
              </w:rPr>
            </w:pPr>
            <w:bookmarkStart w:id="248" w:name="OFF_Phone_1"/>
            <w:bookmarkStart w:id="249" w:name="OFF_Fax_1"/>
            <w:bookmarkEnd w:id="248"/>
            <w:bookmarkEnd w:id="249"/>
            <w:r w:rsidRPr="00806743">
              <w:rPr>
                <w:rFonts w:asciiTheme="majorHAnsi" w:hAnsiTheme="majorHAnsi"/>
                <w:sz w:val="17"/>
                <w:szCs w:val="17"/>
              </w:rPr>
              <w:t xml:space="preserve">Deloitte Access Economics is Australia’s pre-eminent economics advisory practice and a member of Deloitte's global economics group. For more information, please visit our website: </w:t>
            </w:r>
            <w:hyperlink r:id="rId92" w:history="1">
              <w:r w:rsidRPr="000A704B">
                <w:rPr>
                  <w:rStyle w:val="Hyperlink"/>
                  <w:rFonts w:asciiTheme="majorHAnsi" w:hAnsiTheme="majorHAnsi"/>
                  <w:color w:val="002060"/>
                  <w:sz w:val="17"/>
                  <w:szCs w:val="17"/>
                </w:rPr>
                <w:t>www.deloitte.com/au/deloitte-access-economics</w:t>
              </w:r>
            </w:hyperlink>
            <w:r w:rsidRPr="00806743">
              <w:rPr>
                <w:rFonts w:asciiTheme="majorHAnsi" w:hAnsiTheme="majorHAnsi"/>
                <w:sz w:val="17"/>
                <w:szCs w:val="17"/>
              </w:rPr>
              <w:t xml:space="preserve"> </w:t>
            </w:r>
          </w:p>
          <w:p w14:paraId="2A9224B4" w14:textId="77777777" w:rsidR="00876F66" w:rsidRPr="00806743" w:rsidRDefault="00876F66" w:rsidP="00876F66">
            <w:pPr>
              <w:pStyle w:val="Legaltext"/>
              <w:rPr>
                <w:rFonts w:asciiTheme="majorHAnsi" w:hAnsiTheme="majorHAnsi"/>
                <w:sz w:val="17"/>
                <w:szCs w:val="17"/>
              </w:rPr>
            </w:pPr>
          </w:p>
          <w:p w14:paraId="2A9224B5" w14:textId="77777777" w:rsidR="00876F66" w:rsidRPr="00806743" w:rsidRDefault="00876F66" w:rsidP="00876F66">
            <w:pPr>
              <w:pStyle w:val="Legaltext"/>
              <w:rPr>
                <w:rFonts w:asciiTheme="majorHAnsi" w:hAnsiTheme="majorHAnsi"/>
                <w:sz w:val="17"/>
                <w:szCs w:val="17"/>
              </w:rPr>
            </w:pPr>
            <w:r w:rsidRPr="00806743">
              <w:rPr>
                <w:rFonts w:asciiTheme="majorHAnsi" w:hAnsiTheme="majorHAnsi"/>
                <w:sz w:val="17"/>
                <w:szCs w:val="17"/>
              </w:rPr>
              <w:t>Deloitte refers to one or more of Deloitte Touche Tohmatsu Limited (“DTTL”), its global network of member firms, and their related entities. DTTL (also referred to as “Deloitte Global”) and each of its member firms and their affiliated entities are legally separate and independent entities. DTTL does not provide services to clients. Please see www.deloitte.com/about to learn more.</w:t>
            </w:r>
          </w:p>
          <w:p w14:paraId="2A9224B6" w14:textId="77777777" w:rsidR="00876F66" w:rsidRPr="00806743" w:rsidRDefault="00876F66" w:rsidP="00876F66">
            <w:pPr>
              <w:pStyle w:val="Legaltext"/>
              <w:rPr>
                <w:rFonts w:asciiTheme="majorHAnsi" w:hAnsiTheme="majorHAnsi"/>
                <w:sz w:val="17"/>
                <w:szCs w:val="17"/>
              </w:rPr>
            </w:pPr>
          </w:p>
          <w:p w14:paraId="2A9224B7" w14:textId="77777777" w:rsidR="00876F66" w:rsidRPr="00806743" w:rsidRDefault="00876F66" w:rsidP="00876F66">
            <w:pPr>
              <w:pStyle w:val="Legaltext"/>
              <w:rPr>
                <w:rFonts w:asciiTheme="majorHAnsi" w:hAnsiTheme="majorHAnsi"/>
                <w:sz w:val="17"/>
                <w:szCs w:val="17"/>
              </w:rPr>
            </w:pPr>
            <w:r w:rsidRPr="00806743">
              <w:rPr>
                <w:rFonts w:asciiTheme="majorHAnsi" w:hAnsiTheme="majorHAnsi"/>
                <w:sz w:val="17"/>
                <w:szCs w:val="17"/>
              </w:rPr>
              <w:t>Deloitte is a leading global provider of audit and assurance, consulting, financial advisory, risk advisory, tax and related services. Our network of member firms in more than 150 countries and territories serves four out of five Fortune Global 500®</w:t>
            </w:r>
            <w:r w:rsidR="00EB5181">
              <w:rPr>
                <w:rFonts w:asciiTheme="majorHAnsi" w:hAnsiTheme="majorHAnsi"/>
                <w:sz w:val="17"/>
                <w:szCs w:val="17"/>
              </w:rPr>
              <w:t>businesses</w:t>
            </w:r>
            <w:r w:rsidRPr="00806743">
              <w:rPr>
                <w:rFonts w:asciiTheme="majorHAnsi" w:hAnsiTheme="majorHAnsi"/>
                <w:sz w:val="17"/>
                <w:szCs w:val="17"/>
              </w:rPr>
              <w:t>. Learn how Deloitte’s approximately 286,000 people make an impact that matters at www.deloitte.com.</w:t>
            </w:r>
          </w:p>
          <w:p w14:paraId="2A9224B8" w14:textId="77777777" w:rsidR="00876F66" w:rsidRPr="00806743" w:rsidRDefault="00876F66" w:rsidP="00876F66">
            <w:pPr>
              <w:pStyle w:val="Legaltext"/>
              <w:rPr>
                <w:rFonts w:asciiTheme="majorHAnsi" w:hAnsiTheme="majorHAnsi"/>
                <w:sz w:val="17"/>
                <w:szCs w:val="17"/>
              </w:rPr>
            </w:pPr>
          </w:p>
          <w:p w14:paraId="2A9224B9" w14:textId="77777777" w:rsidR="00876F66" w:rsidRPr="00806743" w:rsidRDefault="00876F66" w:rsidP="00876F66">
            <w:pPr>
              <w:pStyle w:val="Legaltext"/>
              <w:rPr>
                <w:rFonts w:asciiTheme="majorHAnsi" w:hAnsiTheme="majorHAnsi"/>
                <w:b/>
                <w:sz w:val="17"/>
                <w:szCs w:val="17"/>
              </w:rPr>
            </w:pPr>
            <w:r w:rsidRPr="00806743">
              <w:rPr>
                <w:rFonts w:asciiTheme="majorHAnsi" w:hAnsiTheme="majorHAnsi"/>
                <w:b/>
                <w:sz w:val="17"/>
                <w:szCs w:val="17"/>
              </w:rPr>
              <w:t xml:space="preserve">Deloitte Asia Pacific </w:t>
            </w:r>
          </w:p>
          <w:p w14:paraId="2A9224BA" w14:textId="77777777" w:rsidR="00876F66" w:rsidRPr="00806743" w:rsidRDefault="00876F66" w:rsidP="00876F66">
            <w:pPr>
              <w:pStyle w:val="Legaltext"/>
              <w:rPr>
                <w:rFonts w:asciiTheme="majorHAnsi" w:hAnsiTheme="majorHAnsi"/>
                <w:sz w:val="17"/>
                <w:szCs w:val="17"/>
              </w:rPr>
            </w:pPr>
            <w:r w:rsidRPr="00806743">
              <w:rPr>
                <w:rFonts w:asciiTheme="majorHAnsi" w:hAnsiTheme="majorHAnsi"/>
                <w:sz w:val="17"/>
                <w:szCs w:val="17"/>
              </w:rPr>
              <w:t>Deloitte Asia Pacific Limited is a company limited by guarantee and a member firm of DTTL. Members of Deloitte Asia Pacific Limited and their related entities provide services in Australia, Brunei Darussalam, Cambodia, East Timor, Federated States of Micronesia, Guam, Indonesia, Japan, Laos, Malaysia, Mongolia, Myanmar, New Zealand, Palau, Papua New Guinea, Singapore, Thailand, The Marshall Islands, The Northern Mariana Islands, The People’s Republic of China (incl. Hong Kong SAR and Macau SAR), The Philippines and Vietnam, in each of which operations are conducted by separate and independent legal entities.</w:t>
            </w:r>
          </w:p>
          <w:p w14:paraId="2A9224BB" w14:textId="77777777" w:rsidR="00876F66" w:rsidRPr="00806743" w:rsidRDefault="00876F66" w:rsidP="00876F66">
            <w:pPr>
              <w:pStyle w:val="Legaltext"/>
              <w:rPr>
                <w:rFonts w:asciiTheme="majorHAnsi" w:hAnsiTheme="majorHAnsi"/>
                <w:sz w:val="17"/>
                <w:szCs w:val="17"/>
              </w:rPr>
            </w:pPr>
          </w:p>
          <w:p w14:paraId="2A9224BC" w14:textId="77777777" w:rsidR="00876F66" w:rsidRPr="00806743" w:rsidRDefault="00876F66" w:rsidP="00876F66">
            <w:pPr>
              <w:pStyle w:val="Legaltext"/>
              <w:rPr>
                <w:rFonts w:asciiTheme="majorHAnsi" w:hAnsiTheme="majorHAnsi"/>
                <w:b/>
                <w:sz w:val="17"/>
                <w:szCs w:val="17"/>
              </w:rPr>
            </w:pPr>
            <w:r w:rsidRPr="00806743">
              <w:rPr>
                <w:rFonts w:asciiTheme="majorHAnsi" w:hAnsiTheme="majorHAnsi"/>
                <w:b/>
                <w:sz w:val="17"/>
                <w:szCs w:val="17"/>
              </w:rPr>
              <w:t>Deloitte Australia</w:t>
            </w:r>
          </w:p>
          <w:p w14:paraId="2A9224BD" w14:textId="77777777" w:rsidR="00876F66" w:rsidRPr="00806743" w:rsidRDefault="00876F66" w:rsidP="00876F66">
            <w:pPr>
              <w:pStyle w:val="Legaltext"/>
              <w:rPr>
                <w:rFonts w:asciiTheme="majorHAnsi" w:hAnsiTheme="majorHAnsi"/>
                <w:sz w:val="17"/>
                <w:szCs w:val="17"/>
              </w:rPr>
            </w:pPr>
            <w:r w:rsidRPr="00806743">
              <w:rPr>
                <w:rFonts w:asciiTheme="majorHAnsi" w:hAnsiTheme="majorHAnsi"/>
                <w:sz w:val="17"/>
                <w:szCs w:val="17"/>
              </w:rPr>
              <w:t>In Australia, the Deloitte Network member is the Australian partnership of Deloitte Touche Tohmatsu. As one of Australia’s leading professional services firms. Deloitte Touche Tohmatsu and its affiliates provide audit, tax, consulting, and financial advisory services through approximately 8000 people across the country. Focused on the creation of value and growth, and known as an employer of choice for innovative human resources programs, we are dedicated to helping our clients and our people excel. For more information, please visit our web site at https://www2.deloitte.com/au/en.html.</w:t>
            </w:r>
          </w:p>
          <w:p w14:paraId="2A9224BE" w14:textId="77777777" w:rsidR="00876F66" w:rsidRPr="00806743" w:rsidRDefault="00876F66" w:rsidP="00876F66">
            <w:pPr>
              <w:pStyle w:val="Legaltext"/>
              <w:rPr>
                <w:rFonts w:asciiTheme="majorHAnsi" w:hAnsiTheme="majorHAnsi"/>
                <w:sz w:val="17"/>
                <w:szCs w:val="17"/>
              </w:rPr>
            </w:pPr>
          </w:p>
          <w:p w14:paraId="2A9224BF" w14:textId="77777777" w:rsidR="00876F66" w:rsidRPr="00806743" w:rsidRDefault="00876F66" w:rsidP="00876F66">
            <w:pPr>
              <w:pStyle w:val="Legaltext"/>
              <w:rPr>
                <w:rFonts w:asciiTheme="majorHAnsi" w:hAnsiTheme="majorHAnsi"/>
                <w:sz w:val="17"/>
                <w:szCs w:val="17"/>
              </w:rPr>
            </w:pPr>
            <w:r w:rsidRPr="00806743">
              <w:rPr>
                <w:rFonts w:asciiTheme="majorHAnsi" w:hAnsiTheme="majorHAnsi"/>
                <w:sz w:val="17"/>
                <w:szCs w:val="17"/>
              </w:rPr>
              <w:t>Liability limited by a scheme approved under Professional Standards Legislation.</w:t>
            </w:r>
          </w:p>
          <w:p w14:paraId="2A9224C0" w14:textId="77777777" w:rsidR="00876F66" w:rsidRPr="00806743" w:rsidRDefault="00876F66" w:rsidP="00876F66">
            <w:pPr>
              <w:pStyle w:val="Legaltext"/>
              <w:rPr>
                <w:rFonts w:asciiTheme="majorHAnsi" w:hAnsiTheme="majorHAnsi"/>
                <w:sz w:val="17"/>
                <w:szCs w:val="17"/>
              </w:rPr>
            </w:pPr>
            <w:r w:rsidRPr="00806743">
              <w:rPr>
                <w:rFonts w:asciiTheme="majorHAnsi" w:hAnsiTheme="majorHAnsi"/>
                <w:sz w:val="17"/>
                <w:szCs w:val="17"/>
              </w:rPr>
              <w:t>Member of Deloitte Asia Pacific Limited and the Deloitte Network.</w:t>
            </w:r>
          </w:p>
          <w:p w14:paraId="2A9224C1" w14:textId="77777777" w:rsidR="00876F66" w:rsidRPr="00806743" w:rsidRDefault="00876F66" w:rsidP="00876F66">
            <w:pPr>
              <w:pStyle w:val="Legaltext"/>
              <w:rPr>
                <w:rFonts w:asciiTheme="majorHAnsi" w:hAnsiTheme="majorHAnsi"/>
                <w:sz w:val="17"/>
                <w:szCs w:val="17"/>
              </w:rPr>
            </w:pPr>
          </w:p>
          <w:p w14:paraId="2A9224C2" w14:textId="1AC7BC2F" w:rsidR="00876F66" w:rsidRPr="00806743" w:rsidRDefault="00876F66" w:rsidP="00876F66">
            <w:pPr>
              <w:pStyle w:val="Legaltext"/>
              <w:spacing w:line="0" w:lineRule="atLeast"/>
              <w:rPr>
                <w:rFonts w:asciiTheme="majorHAnsi" w:hAnsiTheme="majorHAnsi"/>
                <w:sz w:val="17"/>
                <w:szCs w:val="17"/>
              </w:rPr>
            </w:pPr>
            <w:r w:rsidRPr="00806743">
              <w:rPr>
                <w:rFonts w:asciiTheme="majorHAnsi" w:hAnsiTheme="majorHAnsi"/>
                <w:sz w:val="17"/>
                <w:szCs w:val="17"/>
              </w:rPr>
              <w:t>©20</w:t>
            </w:r>
            <w:r w:rsidR="00974711">
              <w:rPr>
                <w:rFonts w:asciiTheme="majorHAnsi" w:hAnsiTheme="majorHAnsi"/>
                <w:sz w:val="17"/>
                <w:szCs w:val="17"/>
              </w:rPr>
              <w:t>20</w:t>
            </w:r>
            <w:r w:rsidRPr="00806743">
              <w:rPr>
                <w:rFonts w:asciiTheme="majorHAnsi" w:hAnsiTheme="majorHAnsi"/>
                <w:sz w:val="17"/>
                <w:szCs w:val="17"/>
              </w:rPr>
              <w:t xml:space="preserve"> Deloitte Access Economics. Deloitte Touche Tohmatsu</w:t>
            </w:r>
          </w:p>
        </w:tc>
      </w:tr>
    </w:tbl>
    <w:p w14:paraId="2A9224C4" w14:textId="77777777" w:rsidR="007629C6" w:rsidRPr="00806743" w:rsidRDefault="007629C6" w:rsidP="009B139F">
      <w:pPr>
        <w:rPr>
          <w:rFonts w:asciiTheme="majorHAnsi" w:hAnsiTheme="majorHAnsi"/>
          <w:sz w:val="17"/>
          <w:szCs w:val="17"/>
        </w:rPr>
      </w:pPr>
    </w:p>
    <w:sectPr w:rsidR="007629C6" w:rsidRPr="00806743" w:rsidSect="00296DF8">
      <w:pgSz w:w="11906" w:h="16838" w:code="9"/>
      <w:pgMar w:top="1440" w:right="1440" w:bottom="1440" w:left="1440" w:header="680" w:footer="425"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98B00F" w14:textId="77777777" w:rsidR="005A3D82" w:rsidRDefault="005A3D82" w:rsidP="00C702C7">
      <w:pPr>
        <w:spacing w:line="240" w:lineRule="auto"/>
      </w:pPr>
      <w:r>
        <w:separator/>
      </w:r>
    </w:p>
    <w:p w14:paraId="47A6F7D4" w14:textId="77777777" w:rsidR="005A3D82" w:rsidRDefault="005A3D82"/>
  </w:endnote>
  <w:endnote w:type="continuationSeparator" w:id="0">
    <w:p w14:paraId="6BF61973" w14:textId="77777777" w:rsidR="005A3D82" w:rsidRDefault="005A3D82" w:rsidP="00C702C7">
      <w:pPr>
        <w:spacing w:line="240" w:lineRule="auto"/>
      </w:pPr>
      <w:r>
        <w:continuationSeparator/>
      </w:r>
    </w:p>
    <w:p w14:paraId="5B3B3ACD" w14:textId="77777777" w:rsidR="005A3D82" w:rsidRDefault="005A3D82"/>
  </w:endnote>
  <w:endnote w:type="continuationNotice" w:id="1">
    <w:p w14:paraId="130DE12F" w14:textId="77777777" w:rsidR="005A3D82" w:rsidRDefault="005A3D82">
      <w:pPr>
        <w:spacing w:after="0" w:line="240" w:lineRule="auto"/>
      </w:pPr>
    </w:p>
    <w:p w14:paraId="16849661" w14:textId="77777777" w:rsidR="005A3D82" w:rsidRDefault="005A3D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egoe UI Light">
    <w:panose1 w:val="020B0502040204020203"/>
    <w:charset w:val="00"/>
    <w:family w:val="swiss"/>
    <w:pitch w:val="variable"/>
    <w:sig w:usb0="E4002EFF" w:usb1="C000E47F" w:usb2="00000009" w:usb3="00000000" w:csb0="000001FF" w:csb1="00000000"/>
  </w:font>
  <w:font w:name="Gotham Bold">
    <w:altName w:val="Times New Roman"/>
    <w:panose1 w:val="00000000000000000000"/>
    <w:charset w:val="00"/>
    <w:family w:val="modern"/>
    <w:notTrueType/>
    <w:pitch w:val="variable"/>
    <w:sig w:usb0="A10000FF" w:usb1="4000005B" w:usb2="00000000" w:usb3="00000000" w:csb0="0000009B" w:csb1="00000000"/>
  </w:font>
  <w:font w:name="Wingdings 3">
    <w:panose1 w:val="050401020108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OpenSans-Bold">
    <w:altName w:val="Calibri"/>
    <w:panose1 w:val="00000000000000000000"/>
    <w:charset w:val="4D"/>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onsolas">
    <w:panose1 w:val="020B0609020204030204"/>
    <w:charset w:val="00"/>
    <w:family w:val="modern"/>
    <w:pitch w:val="fixed"/>
    <w:sig w:usb0="E10002FF" w:usb1="4000FCFF" w:usb2="00000009" w:usb3="00000000" w:csb0="0000019F" w:csb1="00000000"/>
  </w:font>
  <w:font w:name="Candara">
    <w:panose1 w:val="020E0502030303020204"/>
    <w:charset w:val="00"/>
    <w:family w:val="swiss"/>
    <w:pitch w:val="variable"/>
    <w:sig w:usb0="A00002EF" w:usb1="4000A44B" w:usb2="00000000" w:usb3="00000000" w:csb0="0000019F" w:csb1="00000000"/>
  </w:font>
  <w:font w:name="Times">
    <w:panose1 w:val="02020603050405020304"/>
    <w:charset w:val="00"/>
    <w:family w:val="auto"/>
    <w:pitch w:val="variable"/>
    <w:sig w:usb0="E00002FF" w:usb1="5000205A" w:usb2="00000000" w:usb3="00000000" w:csb0="0000019F" w:csb1="00000000"/>
  </w:font>
  <w:font w:name="HelveticaNeueLT Std Thin">
    <w:altName w:val="Arial"/>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2D9E4" w14:textId="77777777" w:rsidR="00737B12" w:rsidRDefault="00737B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Layout w:type="fixed"/>
      <w:tblLook w:val="04A0" w:firstRow="1" w:lastRow="0" w:firstColumn="1" w:lastColumn="0" w:noHBand="0" w:noVBand="1"/>
    </w:tblPr>
    <w:tblGrid>
      <w:gridCol w:w="3544"/>
      <w:gridCol w:w="7002"/>
    </w:tblGrid>
    <w:tr w:rsidR="00737B12" w14:paraId="2A922512" w14:textId="77777777" w:rsidTr="00137F51">
      <w:trPr>
        <w:cnfStyle w:val="100000000000" w:firstRow="1" w:lastRow="0" w:firstColumn="0" w:lastColumn="0" w:oddVBand="0" w:evenVBand="0" w:oddHBand="0" w:evenHBand="0" w:firstRowFirstColumn="0" w:firstRowLastColumn="0" w:lastRowFirstColumn="0" w:lastRowLastColumn="0"/>
      </w:trPr>
      <w:tc>
        <w:tcPr>
          <w:tcW w:w="3544" w:type="dxa"/>
          <w:vAlign w:val="bottom"/>
        </w:tcPr>
        <w:p w14:paraId="2A922510" w14:textId="15BFA36B" w:rsidR="00737B12" w:rsidRDefault="00737B12" w:rsidP="00536AB8">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855643">
            <w:rPr>
              <w:rStyle w:val="PageNumber"/>
              <w:noProof/>
            </w:rPr>
            <w:t>1</w:t>
          </w:r>
          <w:r w:rsidRPr="006C4F67">
            <w:rPr>
              <w:rStyle w:val="PageNumber"/>
            </w:rPr>
            <w:fldChar w:fldCharType="end"/>
          </w:r>
        </w:p>
      </w:tc>
      <w:tc>
        <w:tcPr>
          <w:tcW w:w="7002" w:type="dxa"/>
          <w:vAlign w:val="bottom"/>
        </w:tcPr>
        <w:p w14:paraId="2A922511" w14:textId="77777777" w:rsidR="00737B12" w:rsidRPr="00904097" w:rsidRDefault="00737B12" w:rsidP="00536AB8">
          <w:pPr>
            <w:pStyle w:val="Footer"/>
            <w:spacing w:line="180" w:lineRule="atLeast"/>
            <w:rPr>
              <w:sz w:val="14"/>
              <w:szCs w:val="14"/>
            </w:rPr>
          </w:pPr>
        </w:p>
      </w:tc>
    </w:tr>
  </w:tbl>
  <w:p w14:paraId="2A922513" w14:textId="77777777" w:rsidR="00737B12" w:rsidRDefault="00737B12" w:rsidP="00536AB8">
    <w:pPr>
      <w:pStyle w:val="Footer"/>
      <w:spacing w:line="14"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C4EEAE" w14:textId="77777777" w:rsidR="00737B12" w:rsidRDefault="00737B1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22518" w14:textId="02B3470D" w:rsidR="00737B12" w:rsidRPr="00FD7D79" w:rsidRDefault="00737B12" w:rsidP="00FD7D7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2251C" w14:textId="35C47C45" w:rsidR="00737B12" w:rsidRPr="00672300" w:rsidRDefault="00737B12" w:rsidP="00672300">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855643">
      <w:rPr>
        <w:rStyle w:val="PageNumber"/>
        <w:noProof/>
      </w:rPr>
      <w:t>i</w:t>
    </w:r>
    <w:r w:rsidRPr="006C4F67">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2251D" w14:textId="32146705" w:rsidR="00737B12" w:rsidRPr="007E7D93" w:rsidRDefault="00737B12" w:rsidP="007E7D93">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855643">
      <w:rPr>
        <w:rStyle w:val="PageNumber"/>
        <w:noProof/>
      </w:rPr>
      <w:t>83</w:t>
    </w:r>
    <w:r w:rsidRPr="006C4F6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89F4B8" w14:textId="77777777" w:rsidR="005A3D82" w:rsidRDefault="005A3D82" w:rsidP="00C702C7">
      <w:pPr>
        <w:spacing w:line="240" w:lineRule="auto"/>
      </w:pPr>
      <w:r>
        <w:separator/>
      </w:r>
    </w:p>
    <w:p w14:paraId="4A7E1195" w14:textId="77777777" w:rsidR="005A3D82" w:rsidRDefault="005A3D82"/>
  </w:footnote>
  <w:footnote w:type="continuationSeparator" w:id="0">
    <w:p w14:paraId="6DFECFF6" w14:textId="77777777" w:rsidR="005A3D82" w:rsidRDefault="005A3D82" w:rsidP="00C702C7">
      <w:pPr>
        <w:spacing w:line="240" w:lineRule="auto"/>
      </w:pPr>
      <w:r>
        <w:continuationSeparator/>
      </w:r>
    </w:p>
    <w:p w14:paraId="637D0973" w14:textId="77777777" w:rsidR="005A3D82" w:rsidRDefault="005A3D82"/>
  </w:footnote>
  <w:footnote w:type="continuationNotice" w:id="1">
    <w:p w14:paraId="130F0DE6" w14:textId="77777777" w:rsidR="005A3D82" w:rsidRDefault="005A3D82">
      <w:pPr>
        <w:spacing w:after="0" w:line="240" w:lineRule="auto"/>
      </w:pPr>
    </w:p>
    <w:p w14:paraId="4394DB30" w14:textId="77777777" w:rsidR="005A3D82" w:rsidRDefault="005A3D82"/>
  </w:footnote>
  <w:footnote w:id="2">
    <w:p w14:paraId="05BCBC87" w14:textId="1DC8B98F" w:rsidR="00737B12" w:rsidRDefault="00737B12">
      <w:pPr>
        <w:pStyle w:val="FootnoteText"/>
      </w:pPr>
      <w:r>
        <w:rPr>
          <w:rStyle w:val="FootnoteReference"/>
        </w:rPr>
        <w:footnoteRef/>
      </w:r>
      <w:r>
        <w:t xml:space="preserve"> It is assumed the costs incurred by Councils in administering the system and monitoring, inspection and enforcement are passed onto businesses via cost recovery fees.</w:t>
      </w:r>
    </w:p>
  </w:footnote>
  <w:footnote w:id="3">
    <w:p w14:paraId="6E9AC5CA" w14:textId="77777777" w:rsidR="00737B12" w:rsidRDefault="00737B12" w:rsidP="00807259">
      <w:pPr>
        <w:pStyle w:val="FootnoteText"/>
      </w:pPr>
      <w:r>
        <w:rPr>
          <w:rStyle w:val="FootnoteReference"/>
        </w:rPr>
        <w:footnoteRef/>
      </w:r>
      <w:r>
        <w:t xml:space="preserve"> Baker M, Keall M, Au EL, Howden-Chapman P. (2007). Home is where the heart is – most of the time. New Zealand Medical Journal.</w:t>
      </w:r>
    </w:p>
  </w:footnote>
  <w:footnote w:id="4">
    <w:p w14:paraId="42A2B9E3" w14:textId="7844D552" w:rsidR="00737B12" w:rsidRPr="00AC7E63" w:rsidRDefault="00737B12" w:rsidP="00807259">
      <w:pPr>
        <w:pStyle w:val="FootnoteText"/>
        <w:rPr>
          <w:iCs/>
        </w:rPr>
      </w:pPr>
      <w:r>
        <w:rPr>
          <w:rStyle w:val="FootnoteReference"/>
        </w:rPr>
        <w:footnoteRef/>
      </w:r>
      <w:r>
        <w:t xml:space="preserve"> World Health Organisation. (2018). </w:t>
      </w:r>
      <w:hyperlink r:id="rId1" w:history="1">
        <w:r w:rsidRPr="005127A6">
          <w:rPr>
            <w:rStyle w:val="Hyperlink"/>
            <w:i/>
            <w:iCs/>
            <w:color w:val="002060"/>
          </w:rPr>
          <w:t>WHO Housing and Health Guidelines.</w:t>
        </w:r>
      </w:hyperlink>
      <w:r w:rsidRPr="00F0077F">
        <w:rPr>
          <w:i/>
        </w:rPr>
        <w:t xml:space="preserve"> </w:t>
      </w:r>
      <w:r w:rsidRPr="005015C6">
        <w:rPr>
          <w:iCs/>
          <w:szCs w:val="16"/>
        </w:rPr>
        <w:t>&lt;</w:t>
      </w:r>
      <w:r w:rsidRPr="00404C40">
        <w:rPr>
          <w:szCs w:val="16"/>
        </w:rPr>
        <w:t>https://www.who.int/publications/i/item/who-housing-and-health-guidelines&gt;</w:t>
      </w:r>
    </w:p>
  </w:footnote>
  <w:footnote w:id="5">
    <w:p w14:paraId="16350DA2" w14:textId="6F396251" w:rsidR="00737B12" w:rsidRDefault="00737B12" w:rsidP="005C5801">
      <w:pPr>
        <w:pStyle w:val="FootnoteText"/>
      </w:pPr>
      <w:r>
        <w:rPr>
          <w:rStyle w:val="FootnoteReference"/>
        </w:rPr>
        <w:footnoteRef/>
      </w:r>
      <w:r>
        <w:t xml:space="preserve"> Australian Research Data Commons (2020). </w:t>
      </w:r>
      <w:hyperlink r:id="rId2" w:history="1">
        <w:r w:rsidRPr="003506F9">
          <w:rPr>
            <w:rStyle w:val="Hyperlink"/>
            <w:i/>
            <w:iCs/>
            <w:color w:val="002060"/>
          </w:rPr>
          <w:t>Health, public</w:t>
        </w:r>
      </w:hyperlink>
      <w:r>
        <w:t>. &lt;</w:t>
      </w:r>
      <w:r w:rsidRPr="00404C40">
        <w:t>https://researchdata.edu.au/health-public/490094</w:t>
      </w:r>
      <w:r w:rsidRPr="00404C40">
        <w:rPr>
          <w:rStyle w:val="Hyperlink"/>
          <w:color w:val="000000" w:themeColor="text1"/>
          <w:szCs w:val="16"/>
          <w:u w:val="none"/>
        </w:rPr>
        <w:t>&gt;</w:t>
      </w:r>
    </w:p>
  </w:footnote>
  <w:footnote w:id="6">
    <w:p w14:paraId="0C58C2C4" w14:textId="404A4028" w:rsidR="00737B12" w:rsidRDefault="00737B12" w:rsidP="005C5801">
      <w:pPr>
        <w:pStyle w:val="FootnoteText"/>
      </w:pPr>
      <w:r>
        <w:rPr>
          <w:rStyle w:val="FootnoteReference"/>
        </w:rPr>
        <w:footnoteRef/>
      </w:r>
      <w:r>
        <w:t xml:space="preserve"> Ibid.</w:t>
      </w:r>
    </w:p>
  </w:footnote>
  <w:footnote w:id="7">
    <w:p w14:paraId="4434948C" w14:textId="3FD675A5" w:rsidR="00737B12" w:rsidRDefault="00737B12" w:rsidP="005C5801">
      <w:pPr>
        <w:pStyle w:val="FootnoteText"/>
      </w:pPr>
      <w:r>
        <w:rPr>
          <w:rStyle w:val="FootnoteReference"/>
        </w:rPr>
        <w:footnoteRef/>
      </w:r>
      <w:r>
        <w:t xml:space="preserve"> Ibid.</w:t>
      </w:r>
    </w:p>
  </w:footnote>
  <w:footnote w:id="8">
    <w:p w14:paraId="715A2F7E" w14:textId="6E7E6F5A" w:rsidR="00737B12" w:rsidRDefault="00737B12">
      <w:pPr>
        <w:pStyle w:val="FootnoteText"/>
      </w:pPr>
      <w:r>
        <w:rPr>
          <w:rStyle w:val="FootnoteReference"/>
        </w:rPr>
        <w:footnoteRef/>
      </w:r>
      <w:r>
        <w:t xml:space="preserve"> Section 3 of the </w:t>
      </w:r>
      <w:r>
        <w:rPr>
          <w:rFonts w:eastAsia="Times New Roman"/>
        </w:rPr>
        <w:t>Public Health and Wellbeing (Prescribed Accommodation) Regulations 2009.</w:t>
      </w:r>
    </w:p>
  </w:footnote>
  <w:footnote w:id="9">
    <w:p w14:paraId="35428F3D" w14:textId="674F96AA" w:rsidR="00737B12" w:rsidRDefault="00737B12">
      <w:pPr>
        <w:pStyle w:val="FootnoteText"/>
      </w:pPr>
      <w:r>
        <w:rPr>
          <w:rStyle w:val="FootnoteReference"/>
        </w:rPr>
        <w:footnoteRef/>
      </w:r>
      <w:r>
        <w:t xml:space="preserve"> A proprietor of a holiday camp may be exempted from the requirement under regulation 17(2) if modification to comply is determined by council to be inappropriate because it would compromise the building’s cultural heritage significance and the maximum period people are accommodated is 7 nights (regulation 17A).</w:t>
      </w:r>
    </w:p>
  </w:footnote>
  <w:footnote w:id="10">
    <w:p w14:paraId="7564F624" w14:textId="2CC4C5B6" w:rsidR="00737B12" w:rsidRPr="00152AE8" w:rsidRDefault="00737B12" w:rsidP="005A12D6">
      <w:pPr>
        <w:pStyle w:val="FootnoteText"/>
      </w:pPr>
      <w:r>
        <w:rPr>
          <w:rStyle w:val="FootnoteReference"/>
        </w:rPr>
        <w:footnoteRef/>
      </w:r>
      <w:r>
        <w:t xml:space="preserve"> Australian Building Codes Board (2016). </w:t>
      </w:r>
      <w:r w:rsidRPr="00F0077F">
        <w:rPr>
          <w:i/>
          <w:iCs/>
        </w:rPr>
        <w:t xml:space="preserve">National Construction Code: </w:t>
      </w:r>
      <w:hyperlink r:id="rId3" w:history="1">
        <w:r w:rsidRPr="003506F9">
          <w:rPr>
            <w:rStyle w:val="Hyperlink"/>
            <w:i/>
            <w:iCs/>
            <w:color w:val="002060"/>
          </w:rPr>
          <w:t>F2.1 Facilities in residential buildings.</w:t>
        </w:r>
      </w:hyperlink>
      <w:r>
        <w:rPr>
          <w:rStyle w:val="Hyperlink"/>
        </w:rPr>
        <w:t xml:space="preserve"> </w:t>
      </w:r>
      <w:r w:rsidRPr="00404C40">
        <w:rPr>
          <w:rStyle w:val="Hyperlink"/>
          <w:color w:val="000000" w:themeColor="text1"/>
          <w:u w:val="none"/>
        </w:rPr>
        <w:t>&lt;</w:t>
      </w:r>
      <w:r w:rsidRPr="00404C40">
        <w:t>https://ncc.abcb.gov.au/ncc-online/NCC/2016-A1/NCC-2016-Volume-One/Section-F-Health-And-Amenity/Part-F2-Sanitary-And-Other-Facilities-Dts/F21-Facilities-In-Residential-Buildings?inlineLink=4e0202a0-d936-48c2-a892-6c01cff6895e</w:t>
      </w:r>
      <w:r w:rsidRPr="00404C40">
        <w:rPr>
          <w:rStyle w:val="Hyperlink"/>
          <w:color w:val="000000" w:themeColor="text1"/>
          <w:szCs w:val="16"/>
          <w:u w:val="none"/>
        </w:rPr>
        <w:t>&gt;</w:t>
      </w:r>
    </w:p>
  </w:footnote>
  <w:footnote w:id="11">
    <w:p w14:paraId="2A922523" w14:textId="04C59292" w:rsidR="00737B12" w:rsidRPr="0063508B" w:rsidRDefault="00737B12">
      <w:pPr>
        <w:pStyle w:val="FootnoteText"/>
      </w:pPr>
      <w:r>
        <w:rPr>
          <w:rStyle w:val="FootnoteReference"/>
        </w:rPr>
        <w:footnoteRef/>
      </w:r>
      <w:r>
        <w:t xml:space="preserve"> Commissioner for Better Regulation (2016). </w:t>
      </w:r>
      <w:hyperlink r:id="rId4" w:history="1">
        <w:r w:rsidRPr="003506F9">
          <w:rPr>
            <w:rStyle w:val="Hyperlink"/>
            <w:i/>
            <w:color w:val="002060"/>
          </w:rPr>
          <w:t>Victorian Guide to Regulation: A handbook for policy-makers in Victoria</w:t>
        </w:r>
      </w:hyperlink>
      <w:r>
        <w:t>. &lt;</w:t>
      </w:r>
      <w:r w:rsidRPr="00404C40">
        <w:t>http://www.betterregulation.vic.gov.au/Guidance-and-Resources</w:t>
      </w:r>
      <w:r w:rsidRPr="00404C40">
        <w:rPr>
          <w:rStyle w:val="Hyperlink"/>
          <w:color w:val="auto"/>
          <w:szCs w:val="16"/>
          <w:u w:val="none"/>
        </w:rPr>
        <w:t>&gt;</w:t>
      </w:r>
    </w:p>
  </w:footnote>
  <w:footnote w:id="12">
    <w:p w14:paraId="594A36C5" w14:textId="7FAC11F6" w:rsidR="00737B12" w:rsidRDefault="00737B12" w:rsidP="0002156C">
      <w:pPr>
        <w:pStyle w:val="FootnoteText"/>
      </w:pPr>
      <w:r>
        <w:rPr>
          <w:rStyle w:val="FootnoteReference"/>
        </w:rPr>
        <w:footnoteRef/>
      </w:r>
      <w:r>
        <w:t xml:space="preserve"> </w:t>
      </w:r>
      <w:r>
        <w:rPr>
          <w:rFonts w:eastAsia="Times New Roman"/>
        </w:rPr>
        <w:t>Public Health and Wellbeing (Prescribed Accommodation) Regulations 2009.</w:t>
      </w:r>
    </w:p>
  </w:footnote>
  <w:footnote w:id="13">
    <w:p w14:paraId="15F23F1F" w14:textId="0E6C2BD5" w:rsidR="00737B12" w:rsidRDefault="00737B12">
      <w:pPr>
        <w:pStyle w:val="FootnoteText"/>
      </w:pPr>
      <w:r>
        <w:rPr>
          <w:rStyle w:val="FootnoteReference"/>
        </w:rPr>
        <w:footnoteRef/>
      </w:r>
      <w:r>
        <w:t xml:space="preserve"> Self</w:t>
      </w:r>
      <w:r w:rsidRPr="00CA6E3B">
        <w:t xml:space="preserve">-contained commercial residential accommodation </w:t>
      </w:r>
      <w:r>
        <w:t>for example</w:t>
      </w:r>
      <w:r w:rsidRPr="00CA6E3B">
        <w:t xml:space="preserve"> holiday homes and apartments such as those listed on Airbnb, Stayz or Homeaway may constitute prescribed accommodation where </w:t>
      </w:r>
      <w:r>
        <w:t xml:space="preserve">the occupier does not have exclusive occupation and </w:t>
      </w:r>
      <w:r w:rsidRPr="00CA6E3B">
        <w:t>they accommodate more than five occupants (other than the family member of the proprietor).</w:t>
      </w:r>
      <w:r>
        <w:t xml:space="preserve"> </w:t>
      </w:r>
    </w:p>
  </w:footnote>
  <w:footnote w:id="14">
    <w:p w14:paraId="6C0A6E07" w14:textId="5F69835D" w:rsidR="00737B12" w:rsidRDefault="00737B12" w:rsidP="0002156C">
      <w:pPr>
        <w:pStyle w:val="FootnoteText"/>
      </w:pPr>
      <w:r>
        <w:rPr>
          <w:rStyle w:val="FootnoteReference"/>
        </w:rPr>
        <w:footnoteRef/>
      </w:r>
      <w:r>
        <w:t xml:space="preserve"> Section 3 of the </w:t>
      </w:r>
      <w:r>
        <w:rPr>
          <w:rFonts w:eastAsia="Times New Roman"/>
        </w:rPr>
        <w:t>Public Health and Wellbeing (Prescribed Accommodation) Regulations 2009.</w:t>
      </w:r>
    </w:p>
  </w:footnote>
  <w:footnote w:id="15">
    <w:p w14:paraId="3FE3C1CA" w14:textId="29AC6B1E" w:rsidR="00737B12" w:rsidRDefault="00737B12" w:rsidP="0002156C">
      <w:pPr>
        <w:pStyle w:val="FootnoteText"/>
      </w:pPr>
      <w:r>
        <w:rPr>
          <w:rStyle w:val="FootnoteReference"/>
        </w:rPr>
        <w:footnoteRef/>
      </w:r>
      <w:r>
        <w:t xml:space="preserve"> Section 3 of the </w:t>
      </w:r>
      <w:r>
        <w:rPr>
          <w:rFonts w:eastAsia="Times New Roman"/>
        </w:rPr>
        <w:t>Public Health and Wellbeing (Prescribed Accommodation) Regulations 2009</w:t>
      </w:r>
      <w:r w:rsidRPr="0084179A" w:rsidDel="006040C4">
        <w:rPr>
          <w:rStyle w:val="Hyperlink"/>
          <w:color w:val="auto"/>
          <w:u w:val="none"/>
        </w:rPr>
        <w:t>.</w:t>
      </w:r>
    </w:p>
  </w:footnote>
  <w:footnote w:id="16">
    <w:p w14:paraId="40538EF6" w14:textId="23B0D223" w:rsidR="00737B12" w:rsidRDefault="00737B12">
      <w:pPr>
        <w:pStyle w:val="FootnoteText"/>
      </w:pPr>
      <w:r w:rsidRPr="0084179A">
        <w:rPr>
          <w:rFonts w:eastAsia="Times New Roman"/>
        </w:rPr>
        <w:footnoteRef/>
      </w:r>
      <w:r w:rsidRPr="0084179A">
        <w:rPr>
          <w:rFonts w:eastAsia="Times New Roman"/>
        </w:rPr>
        <w:t xml:space="preserve"> There are differing views in the sector as to what may constitute ‘exclusive occupation’ of the occupier.</w:t>
      </w:r>
      <w:r>
        <w:rPr>
          <w:rFonts w:asciiTheme="minorHAnsi" w:hAnsiTheme="minorHAnsi"/>
          <w:sz w:val="18"/>
          <w:szCs w:val="18"/>
        </w:rPr>
        <w:t xml:space="preserve"> </w:t>
      </w:r>
    </w:p>
  </w:footnote>
  <w:footnote w:id="17">
    <w:p w14:paraId="253E0606" w14:textId="6DE1645E" w:rsidR="00737B12" w:rsidRDefault="00737B12" w:rsidP="005043D4">
      <w:pPr>
        <w:pStyle w:val="FootnoteText"/>
      </w:pPr>
      <w:r>
        <w:rPr>
          <w:rStyle w:val="FootnoteReference"/>
        </w:rPr>
        <w:footnoteRef/>
      </w:r>
      <w:r>
        <w:t xml:space="preserve"> Section 3 of the </w:t>
      </w:r>
      <w:r>
        <w:rPr>
          <w:rFonts w:eastAsia="Times New Roman"/>
        </w:rPr>
        <w:t>Public Health and Wellbeing (Prescribed Accommodation) Regulations 2009.</w:t>
      </w:r>
    </w:p>
  </w:footnote>
  <w:footnote w:id="18">
    <w:p w14:paraId="76CB6B9B" w14:textId="7608F0EF" w:rsidR="00737B12" w:rsidRDefault="00737B12" w:rsidP="0002156C">
      <w:pPr>
        <w:pStyle w:val="FootnoteText"/>
      </w:pPr>
      <w:r>
        <w:rPr>
          <w:rStyle w:val="FootnoteReference"/>
        </w:rPr>
        <w:footnoteRef/>
      </w:r>
      <w:r>
        <w:t xml:space="preserve"> Ibid.</w:t>
      </w:r>
    </w:p>
  </w:footnote>
  <w:footnote w:id="19">
    <w:p w14:paraId="650A0467" w14:textId="77777777" w:rsidR="00737B12" w:rsidRDefault="00737B12" w:rsidP="00CF15E8">
      <w:pPr>
        <w:pStyle w:val="FootnoteText"/>
      </w:pPr>
      <w:r>
        <w:rPr>
          <w:rStyle w:val="FootnoteReference"/>
        </w:rPr>
        <w:footnoteRef/>
      </w:r>
      <w:r>
        <w:t xml:space="preserve"> These are to be distinguished from hostels for the accommodation of travellers, which are a separate form of prescribed accommodation under the Regulations.</w:t>
      </w:r>
    </w:p>
  </w:footnote>
  <w:footnote w:id="20">
    <w:p w14:paraId="0163EFBC" w14:textId="35AF7D65" w:rsidR="00737B12" w:rsidRPr="00F0077F" w:rsidRDefault="00737B12" w:rsidP="0002156C">
      <w:pPr>
        <w:pStyle w:val="FootnoteText"/>
        <w:rPr>
          <w:i/>
          <w:iCs/>
        </w:rPr>
      </w:pPr>
      <w:r>
        <w:rPr>
          <w:rStyle w:val="FootnoteReference"/>
        </w:rPr>
        <w:footnoteRef/>
      </w:r>
      <w:r>
        <w:t xml:space="preserve"> Section 3 of the </w:t>
      </w:r>
      <w:r>
        <w:rPr>
          <w:rFonts w:eastAsia="Times New Roman"/>
        </w:rPr>
        <w:t>Public Health and Wellbeing (Prescribed Accommodation) Regulations 200</w:t>
      </w:r>
      <w:r w:rsidRPr="006040C4">
        <w:rPr>
          <w:rFonts w:eastAsia="Times New Roman"/>
        </w:rPr>
        <w:t>9</w:t>
      </w:r>
      <w:r w:rsidRPr="0084179A">
        <w:rPr>
          <w:rStyle w:val="Hyperlink"/>
          <w:color w:val="auto"/>
          <w:u w:val="none"/>
        </w:rPr>
        <w:t>.</w:t>
      </w:r>
    </w:p>
  </w:footnote>
  <w:footnote w:id="21">
    <w:p w14:paraId="372258F3" w14:textId="2D3B55FC" w:rsidR="00737B12" w:rsidRDefault="00737B12" w:rsidP="0002156C">
      <w:pPr>
        <w:pStyle w:val="FootnoteText"/>
      </w:pPr>
      <w:r>
        <w:rPr>
          <w:rStyle w:val="FootnoteReference"/>
        </w:rPr>
        <w:footnoteRef/>
      </w:r>
      <w:r>
        <w:t xml:space="preserve"> Ibid.</w:t>
      </w:r>
    </w:p>
  </w:footnote>
  <w:footnote w:id="22">
    <w:p w14:paraId="628EAAC6" w14:textId="5F05A928" w:rsidR="00737B12" w:rsidRPr="00F0077F" w:rsidRDefault="00737B12" w:rsidP="00FD2B02">
      <w:pPr>
        <w:pStyle w:val="FootnoteText"/>
        <w:rPr>
          <w:i/>
          <w:iCs/>
        </w:rPr>
      </w:pPr>
      <w:r>
        <w:rPr>
          <w:rStyle w:val="FootnoteReference"/>
        </w:rPr>
        <w:footnoteRef/>
      </w:r>
      <w:r>
        <w:t xml:space="preserve"> </w:t>
      </w:r>
      <w:r w:rsidRPr="00EB1EA6">
        <w:rPr>
          <w:szCs w:val="16"/>
        </w:rPr>
        <w:t xml:space="preserve">Greenhalgh, E., Miller, A., Minnery, J., Gurran, N., Jacobs, K. &amp; Phibbs, P. (2004). </w:t>
      </w:r>
      <w:r w:rsidRPr="00F0077F">
        <w:rPr>
          <w:i/>
          <w:iCs/>
        </w:rPr>
        <w:t>Boarding houses and</w:t>
      </w:r>
    </w:p>
    <w:p w14:paraId="17015377" w14:textId="4C1E553F" w:rsidR="00737B12" w:rsidRDefault="00737B12" w:rsidP="00FD2B02">
      <w:pPr>
        <w:pStyle w:val="FootnoteText"/>
      </w:pPr>
      <w:r w:rsidRPr="00F0077F">
        <w:rPr>
          <w:i/>
          <w:iCs/>
        </w:rPr>
        <w:t>Government supply side intervention, AHURI Final Report No54.</w:t>
      </w:r>
    </w:p>
  </w:footnote>
  <w:footnote w:id="23">
    <w:p w14:paraId="28EBAFC8" w14:textId="7558AE47" w:rsidR="00737B12" w:rsidRPr="003136AC" w:rsidRDefault="00737B12" w:rsidP="0002156C">
      <w:pPr>
        <w:pStyle w:val="FootnoteText"/>
      </w:pPr>
      <w:r>
        <w:rPr>
          <w:rStyle w:val="FootnoteReference"/>
        </w:rPr>
        <w:footnoteRef/>
      </w:r>
      <w:r>
        <w:t xml:space="preserve"> Johnson, G. (2007). </w:t>
      </w:r>
      <w:hyperlink r:id="rId5" w:history="1">
        <w:r w:rsidRPr="003506F9">
          <w:rPr>
            <w:rStyle w:val="Hyperlink"/>
            <w:i/>
            <w:iCs/>
            <w:color w:val="002060"/>
          </w:rPr>
          <w:t>Homelessness in Melbourne: Confronting the Challenge.</w:t>
        </w:r>
      </w:hyperlink>
      <w:r>
        <w:rPr>
          <w:rStyle w:val="Hyperlink"/>
          <w:i/>
          <w:iCs/>
        </w:rPr>
        <w:t xml:space="preserve"> </w:t>
      </w:r>
      <w:r w:rsidRPr="0084179A">
        <w:rPr>
          <w:rStyle w:val="Hyperlink"/>
          <w:color w:val="auto"/>
          <w:u w:val="none"/>
        </w:rPr>
        <w:t>&lt;</w:t>
      </w:r>
      <w:r w:rsidRPr="0084179A">
        <w:t>https://www.researchgate.net/publication/272789417_Homelessness_in_Melbourne_Confronting_the_Challenge</w:t>
      </w:r>
      <w:r w:rsidRPr="0084179A">
        <w:rPr>
          <w:rStyle w:val="Hyperlink"/>
          <w:color w:val="auto"/>
          <w:szCs w:val="16"/>
          <w:u w:val="none"/>
        </w:rPr>
        <w:t>&gt;</w:t>
      </w:r>
    </w:p>
  </w:footnote>
  <w:footnote w:id="24">
    <w:p w14:paraId="74C3644B" w14:textId="764F6EA8" w:rsidR="00737B12" w:rsidRDefault="00737B12" w:rsidP="0002156C">
      <w:pPr>
        <w:pStyle w:val="FootnoteText"/>
      </w:pPr>
      <w:r>
        <w:rPr>
          <w:rStyle w:val="FootnoteReference"/>
        </w:rPr>
        <w:footnoteRef/>
      </w:r>
      <w:r>
        <w:t xml:space="preserve"> Department of Health and Human Services. (2011). </w:t>
      </w:r>
      <w:hyperlink r:id="rId6" w:history="1">
        <w:r w:rsidRPr="003506F9">
          <w:rPr>
            <w:rStyle w:val="Hyperlink"/>
            <w:i/>
            <w:iCs/>
            <w:color w:val="002060"/>
          </w:rPr>
          <w:t>Proposed Residential Tenancies (Rooming House Standards) Regulations Regulatory Impact Statement.</w:t>
        </w:r>
      </w:hyperlink>
      <w:r>
        <w:t xml:space="preserve"> &lt;</w:t>
      </w:r>
      <w:r w:rsidRPr="0084179A">
        <w:t>https://www.vic.gov.au/sites/default/files/2019-11/Residential-tenancies-Rooming-house-standards-Regulations-2011-RIS.pdf</w:t>
      </w:r>
      <w:r w:rsidRPr="0084179A">
        <w:rPr>
          <w:rStyle w:val="Hyperlink"/>
          <w:color w:val="auto"/>
          <w:szCs w:val="16"/>
          <w:u w:val="none"/>
        </w:rPr>
        <w:t>&gt;</w:t>
      </w:r>
    </w:p>
  </w:footnote>
  <w:footnote w:id="25">
    <w:p w14:paraId="06EB8CE2" w14:textId="5162DCFC" w:rsidR="00737B12" w:rsidRPr="00DF5316" w:rsidRDefault="00737B12" w:rsidP="0002156C">
      <w:pPr>
        <w:pStyle w:val="FootnoteText"/>
      </w:pPr>
      <w:r>
        <w:rPr>
          <w:rStyle w:val="FootnoteReference"/>
        </w:rPr>
        <w:footnoteRef/>
      </w:r>
      <w:r>
        <w:t xml:space="preserve"> Also refer to Everaardt, T. (2020). </w:t>
      </w:r>
      <w:hyperlink r:id="rId7" w:history="1">
        <w:r w:rsidRPr="002C066E">
          <w:rPr>
            <w:rStyle w:val="Hyperlink"/>
            <w:i/>
            <w:iCs/>
            <w:color w:val="002060"/>
          </w:rPr>
          <w:t>Underground rooming houses pose COVID-19 risk, says experts.</w:t>
        </w:r>
      </w:hyperlink>
      <w:r>
        <w:rPr>
          <w:rStyle w:val="Hyperlink"/>
          <w:color w:val="auto"/>
          <w:u w:val="none"/>
        </w:rPr>
        <w:t>&lt;</w:t>
      </w:r>
      <w:r w:rsidRPr="00DF5316">
        <w:t xml:space="preserve"> </w:t>
      </w:r>
      <w:r w:rsidRPr="00DF5316">
        <w:rPr>
          <w:rStyle w:val="Hyperlink"/>
          <w:color w:val="auto"/>
          <w:u w:val="none"/>
        </w:rPr>
        <w:t>https://9now.nine.com.au/a-current-affair/coronavirus-overcrowded-student-dorms-exposed-as-potential-covid19-hotspots/f03265e3-d575-4676-8214-3d8deba8110d</w:t>
      </w:r>
      <w:r>
        <w:rPr>
          <w:rStyle w:val="Hyperlink"/>
          <w:color w:val="auto"/>
          <w:u w:val="none"/>
        </w:rPr>
        <w:t>&gt;</w:t>
      </w:r>
    </w:p>
  </w:footnote>
  <w:footnote w:id="26">
    <w:p w14:paraId="02B773DB" w14:textId="3BB5001F" w:rsidR="00737B12" w:rsidRDefault="00737B12">
      <w:pPr>
        <w:pStyle w:val="FootnoteText"/>
      </w:pPr>
      <w:r>
        <w:rPr>
          <w:rStyle w:val="FootnoteReference"/>
        </w:rPr>
        <w:footnoteRef/>
      </w:r>
      <w:r>
        <w:t xml:space="preserve"> Other forms of</w:t>
      </w:r>
      <w:r w:rsidRPr="0004107A">
        <w:t xml:space="preserve"> prescribed accommodation such as ‘bed and breakfasts’ may be exempt where there are more than five occupants (other than the family of the proprietor).</w:t>
      </w:r>
    </w:p>
  </w:footnote>
  <w:footnote w:id="27">
    <w:p w14:paraId="7A7E19E2" w14:textId="66342F8E" w:rsidR="00737B12" w:rsidRDefault="00737B12">
      <w:pPr>
        <w:pStyle w:val="FootnoteText"/>
      </w:pPr>
      <w:r w:rsidRPr="00DF0616">
        <w:rPr>
          <w:rStyle w:val="FootnoteReference"/>
        </w:rPr>
        <w:footnoteRef/>
      </w:r>
      <w:r w:rsidRPr="00CA6E3B">
        <w:rPr>
          <w:rStyle w:val="FootnoteReference"/>
        </w:rPr>
        <w:t xml:space="preserve"> </w:t>
      </w:r>
      <w:hyperlink r:id="rId8" w:history="1">
        <w:r w:rsidRPr="004B2029">
          <w:rPr>
            <w:rStyle w:val="Hyperlink"/>
            <w:color w:val="002060"/>
          </w:rPr>
          <w:t>Small Business Victoria</w:t>
        </w:r>
      </w:hyperlink>
      <w:r>
        <w:t xml:space="preserve"> states that ‘self contained accommodation’ is prescribed accommodation. </w:t>
      </w:r>
      <w:hyperlink r:id="rId9" w:history="1">
        <w:r w:rsidRPr="004B2029">
          <w:rPr>
            <w:rStyle w:val="Hyperlink"/>
            <w:color w:val="002060"/>
          </w:rPr>
          <w:t>Consumer Affairs Victoria</w:t>
        </w:r>
      </w:hyperlink>
      <w:r>
        <w:t xml:space="preserve"> does not classify holiday accommodation like bed and breakfasts as rental accommodation, instead they are classified as a service. </w:t>
      </w:r>
    </w:p>
  </w:footnote>
  <w:footnote w:id="28">
    <w:p w14:paraId="56CBFBB6" w14:textId="6E79DFF6" w:rsidR="00737B12" w:rsidRPr="00F74C50" w:rsidRDefault="00737B12" w:rsidP="0002156C">
      <w:pPr>
        <w:pStyle w:val="FootnoteText"/>
      </w:pPr>
      <w:r>
        <w:rPr>
          <w:rStyle w:val="FootnoteReference"/>
        </w:rPr>
        <w:footnoteRef/>
      </w:r>
      <w:r>
        <w:t xml:space="preserve"> Figures calculated by The University of Queensland based on source data provided by Airdna. Retrieved from: </w:t>
      </w:r>
      <w:r w:rsidRPr="00EB1EA6">
        <w:rPr>
          <w:szCs w:val="16"/>
        </w:rPr>
        <w:t xml:space="preserve">Sigler, T., &amp; Panczak, R. (2020). </w:t>
      </w:r>
      <w:hyperlink r:id="rId10" w:history="1">
        <w:r w:rsidRPr="004B2029">
          <w:rPr>
            <w:rStyle w:val="Hyperlink"/>
            <w:i/>
            <w:iCs/>
            <w:color w:val="002060"/>
            <w:szCs w:val="16"/>
          </w:rPr>
          <w:t>Ever wondered how many Airbnbs Australia has and where they all are? We have the answers.</w:t>
        </w:r>
      </w:hyperlink>
      <w:r w:rsidRPr="004B2029">
        <w:rPr>
          <w:rStyle w:val="Hyperlink"/>
          <w:i/>
          <w:iCs/>
          <w:color w:val="002060"/>
          <w:szCs w:val="16"/>
        </w:rPr>
        <w:t xml:space="preserve"> </w:t>
      </w:r>
      <w:r>
        <w:rPr>
          <w:rStyle w:val="Hyperlink"/>
          <w:color w:val="auto"/>
          <w:szCs w:val="16"/>
          <w:u w:val="none"/>
        </w:rPr>
        <w:t>&lt;</w:t>
      </w:r>
      <w:r w:rsidRPr="0084179A">
        <w:t>https://theconversation.com/ever-wondered-how-many-airbnbs-australia-has-and-where-they-all-are-we-have-the-answers-129003</w:t>
      </w:r>
      <w:r>
        <w:rPr>
          <w:rStyle w:val="Hyperlink"/>
          <w:color w:val="auto"/>
          <w:szCs w:val="16"/>
          <w:u w:val="none"/>
        </w:rPr>
        <w:t>&gt;</w:t>
      </w:r>
    </w:p>
  </w:footnote>
  <w:footnote w:id="29">
    <w:p w14:paraId="6A8463EF" w14:textId="5E3CAF42" w:rsidR="00737B12" w:rsidRDefault="00737B12" w:rsidP="0002156C">
      <w:pPr>
        <w:pStyle w:val="FootnoteText"/>
      </w:pPr>
      <w:r>
        <w:rPr>
          <w:rStyle w:val="FootnoteReference"/>
        </w:rPr>
        <w:footnoteRef/>
      </w:r>
      <w:r>
        <w:t xml:space="preserve"> Ibid.</w:t>
      </w:r>
    </w:p>
  </w:footnote>
  <w:footnote w:id="30">
    <w:p w14:paraId="32BFF5CE" w14:textId="4BC7204B" w:rsidR="00737B12" w:rsidRDefault="00737B12" w:rsidP="00F129DF">
      <w:pPr>
        <w:pStyle w:val="FootnoteText"/>
      </w:pPr>
      <w:r>
        <w:rPr>
          <w:rStyle w:val="FootnoteReference"/>
        </w:rPr>
        <w:footnoteRef/>
      </w:r>
      <w:r>
        <w:t xml:space="preserve"> Data provided by DHHS for the purposes of the RIS.</w:t>
      </w:r>
    </w:p>
  </w:footnote>
  <w:footnote w:id="31">
    <w:p w14:paraId="0945B542" w14:textId="09E153CE" w:rsidR="00737B12" w:rsidRDefault="00737B12" w:rsidP="00F129DF">
      <w:pPr>
        <w:pStyle w:val="FootnoteText"/>
      </w:pPr>
      <w:r>
        <w:rPr>
          <w:rStyle w:val="FootnoteReference"/>
        </w:rPr>
        <w:footnoteRef/>
      </w:r>
      <w:r>
        <w:t xml:space="preserve"> Inner Regional Victoria is defined as per the </w:t>
      </w:r>
      <w:hyperlink r:id="rId11" w:history="1">
        <w:r w:rsidRPr="004B2029">
          <w:rPr>
            <w:rStyle w:val="Hyperlink"/>
            <w:i/>
            <w:iCs/>
            <w:color w:val="002060"/>
          </w:rPr>
          <w:t>ABS Catalogue 1270.0.55.005</w:t>
        </w:r>
      </w:hyperlink>
      <w:r w:rsidRPr="004B2029">
        <w:rPr>
          <w:rStyle w:val="Hyperlink"/>
          <w:color w:val="002060"/>
        </w:rPr>
        <w:t xml:space="preserve"> (ABS, 2016b)</w:t>
      </w:r>
      <w:r>
        <w:t xml:space="preserve"> (&lt;</w:t>
      </w:r>
      <w:r w:rsidRPr="0084179A">
        <w:t>https://www.abs.gov.au/AUSSTATS/abs@.nsf/Lookup/1270.0.55.005Main+Features1July%202016?OpenDocument</w:t>
      </w:r>
      <w:r>
        <w:rPr>
          <w:szCs w:val="16"/>
        </w:rPr>
        <w:t>&gt;)</w:t>
      </w:r>
      <w:r>
        <w:t xml:space="preserve">- Australian Statistical Geography Standard (ASGS): Volume 5 - Remoteness Structure, July 2016. </w:t>
      </w:r>
    </w:p>
  </w:footnote>
  <w:footnote w:id="32">
    <w:p w14:paraId="52475B26" w14:textId="6AB44676" w:rsidR="00737B12" w:rsidRDefault="00737B12" w:rsidP="00F129DF">
      <w:pPr>
        <w:pStyle w:val="FootnoteText"/>
      </w:pPr>
      <w:r>
        <w:rPr>
          <w:rStyle w:val="FootnoteReference"/>
        </w:rPr>
        <w:footnoteRef/>
      </w:r>
      <w:r>
        <w:t xml:space="preserve"> Data provided by DHHS for the purposes of the RIS</w:t>
      </w:r>
    </w:p>
  </w:footnote>
  <w:footnote w:id="33">
    <w:p w14:paraId="1680A729" w14:textId="77777777" w:rsidR="00737B12" w:rsidRDefault="00737B12" w:rsidP="00F129DF">
      <w:pPr>
        <w:pStyle w:val="FootnoteText"/>
      </w:pPr>
      <w:r>
        <w:rPr>
          <w:rStyle w:val="FootnoteReference"/>
        </w:rPr>
        <w:footnoteRef/>
      </w:r>
      <w:r>
        <w:t xml:space="preserve"> Data provided by DHHS for the purposes of the RIS.</w:t>
      </w:r>
    </w:p>
  </w:footnote>
  <w:footnote w:id="34">
    <w:p w14:paraId="118B0AA9" w14:textId="21C14A1B" w:rsidR="00737B12" w:rsidRPr="0084179A" w:rsidRDefault="00737B12" w:rsidP="00F129DF">
      <w:pPr>
        <w:pStyle w:val="FootnoteText"/>
      </w:pPr>
      <w:r>
        <w:rPr>
          <w:rStyle w:val="FootnoteReference"/>
        </w:rPr>
        <w:footnoteRef/>
      </w:r>
      <w:r>
        <w:t xml:space="preserve"> Australian Bureau of Statistics (ABS).(2016a). </w:t>
      </w:r>
      <w:hyperlink r:id="rId12" w:history="1">
        <w:r w:rsidRPr="004B2029">
          <w:rPr>
            <w:rStyle w:val="Hyperlink"/>
            <w:i/>
            <w:iCs/>
            <w:color w:val="002060"/>
          </w:rPr>
          <w:t>ABS2049.0 - Census of Population and Housing: Estimating homelessness, 2016.</w:t>
        </w:r>
      </w:hyperlink>
      <w:r w:rsidRPr="00F0077F">
        <w:rPr>
          <w:i/>
          <w:iCs/>
        </w:rPr>
        <w:t xml:space="preserve"> </w:t>
      </w:r>
      <w:r>
        <w:t>&lt;</w:t>
      </w:r>
      <w:r w:rsidRPr="0084179A">
        <w:t>https://www.abs.gov.au/AUSSTATS/abs@.nsf/DetailsPage/2049.02016?OpenDocument</w:t>
      </w:r>
      <w:r w:rsidRPr="0084179A">
        <w:rPr>
          <w:rStyle w:val="Hyperlink"/>
          <w:color w:val="auto"/>
          <w:szCs w:val="16"/>
          <w:u w:val="none"/>
        </w:rPr>
        <w:t>&gt;</w:t>
      </w:r>
    </w:p>
  </w:footnote>
  <w:footnote w:id="35">
    <w:p w14:paraId="1E24AA4C" w14:textId="6787456C" w:rsidR="00737B12" w:rsidRPr="00350D24" w:rsidRDefault="00737B12" w:rsidP="00F129DF">
      <w:pPr>
        <w:pStyle w:val="FootnoteText"/>
      </w:pPr>
      <w:r>
        <w:rPr>
          <w:rStyle w:val="FootnoteReference"/>
        </w:rPr>
        <w:footnoteRef/>
      </w:r>
      <w:r>
        <w:t xml:space="preserve"> Chamberlain, C. (2012). </w:t>
      </w:r>
      <w:hyperlink r:id="rId13" w:history="1">
        <w:r w:rsidRPr="004B2029">
          <w:rPr>
            <w:rStyle w:val="Hyperlink"/>
            <w:i/>
            <w:iCs/>
            <w:color w:val="002060"/>
          </w:rPr>
          <w:t>Counting Boarding Houses: Reflections on Homeless Research in Australia</w:t>
        </w:r>
      </w:hyperlink>
      <w:r w:rsidRPr="004B2029">
        <w:rPr>
          <w:rStyle w:val="Hyperlink"/>
          <w:i/>
          <w:iCs/>
          <w:color w:val="002060"/>
        </w:rPr>
        <w:t>.</w:t>
      </w:r>
      <w:r>
        <w:rPr>
          <w:rStyle w:val="Hyperlink"/>
          <w:i/>
          <w:iCs/>
        </w:rPr>
        <w:t xml:space="preserve"> </w:t>
      </w:r>
      <w:r w:rsidRPr="0084179A">
        <w:rPr>
          <w:rStyle w:val="Hyperlink"/>
          <w:color w:val="auto"/>
          <w:u w:val="none"/>
        </w:rPr>
        <w:t>&lt;</w:t>
      </w:r>
      <w:r w:rsidRPr="0084179A">
        <w:t>http://www.nwhn.net.au/admin/file/content2/c7/Counting%20Boarding%20Houses%20-%20%20Chris%20Chamberlain%202012.pdf</w:t>
      </w:r>
      <w:r w:rsidRPr="0084179A">
        <w:rPr>
          <w:rStyle w:val="Hyperlink"/>
          <w:color w:val="auto"/>
          <w:szCs w:val="16"/>
          <w:u w:val="none"/>
        </w:rPr>
        <w:t>&gt;</w:t>
      </w:r>
    </w:p>
  </w:footnote>
  <w:footnote w:id="36">
    <w:p w14:paraId="7FA5E239" w14:textId="5F782635" w:rsidR="00737B12" w:rsidRDefault="00737B12" w:rsidP="00F129DF">
      <w:pPr>
        <w:pStyle w:val="FootnoteText"/>
      </w:pPr>
      <w:r>
        <w:rPr>
          <w:rStyle w:val="FootnoteReference"/>
        </w:rPr>
        <w:footnoteRef/>
      </w:r>
      <w:r>
        <w:t xml:space="preserve"> Chamberlain, C. (2012). </w:t>
      </w:r>
      <w:hyperlink r:id="rId14" w:history="1">
        <w:r w:rsidRPr="004B2029">
          <w:rPr>
            <w:rStyle w:val="Hyperlink"/>
            <w:i/>
            <w:iCs/>
            <w:color w:val="002060"/>
          </w:rPr>
          <w:t>Counting Boarding Houses: Reflections on Homeless Research in Australia</w:t>
        </w:r>
      </w:hyperlink>
      <w:r w:rsidRPr="004B2029">
        <w:rPr>
          <w:rStyle w:val="Hyperlink"/>
          <w:i/>
          <w:iCs/>
          <w:color w:val="002060"/>
        </w:rPr>
        <w:t>.</w:t>
      </w:r>
      <w:r>
        <w:rPr>
          <w:rStyle w:val="Hyperlink"/>
          <w:i/>
          <w:iCs/>
        </w:rPr>
        <w:t xml:space="preserve"> </w:t>
      </w:r>
      <w:r w:rsidRPr="006D5280">
        <w:rPr>
          <w:rStyle w:val="Hyperlink"/>
          <w:color w:val="auto"/>
          <w:u w:val="none"/>
        </w:rPr>
        <w:t>&lt;</w:t>
      </w:r>
      <w:r w:rsidRPr="0084179A">
        <w:t>http://www.nwhn.net.au/admin/file/content2/c7/Counting%20Boarding%20Houses%20-%20%20Chris%20Chamberlain%202012.pdf</w:t>
      </w:r>
      <w:r w:rsidRPr="006D5280">
        <w:rPr>
          <w:rStyle w:val="Hyperlink"/>
          <w:color w:val="auto"/>
          <w:szCs w:val="16"/>
          <w:u w:val="none"/>
        </w:rPr>
        <w:t>&gt;</w:t>
      </w:r>
    </w:p>
  </w:footnote>
  <w:footnote w:id="37">
    <w:p w14:paraId="19E4A2E4" w14:textId="64EEB572" w:rsidR="00737B12" w:rsidRDefault="00737B12" w:rsidP="00F129DF">
      <w:pPr>
        <w:pStyle w:val="FootnoteText"/>
      </w:pPr>
      <w:r>
        <w:rPr>
          <w:rStyle w:val="FootnoteReference"/>
        </w:rPr>
        <w:footnoteRef/>
      </w:r>
      <w:r>
        <w:t xml:space="preserve"> Tourism Research Australia. (2019). </w:t>
      </w:r>
      <w:hyperlink r:id="rId15" w:history="1">
        <w:r w:rsidRPr="006F699D">
          <w:rPr>
            <w:rStyle w:val="Hyperlink"/>
            <w:i/>
            <w:iCs/>
            <w:color w:val="002060"/>
          </w:rPr>
          <w:t>AUSTRALIAN ACCOMMODATION MONITOR</w:t>
        </w:r>
      </w:hyperlink>
      <w:r w:rsidRPr="006F699D">
        <w:rPr>
          <w:rStyle w:val="Hyperlink"/>
          <w:i/>
          <w:iCs/>
          <w:color w:val="002060"/>
        </w:rPr>
        <w:t xml:space="preserve">. </w:t>
      </w:r>
      <w:r w:rsidRPr="006D5280">
        <w:rPr>
          <w:rStyle w:val="Hyperlink"/>
          <w:color w:val="auto"/>
          <w:u w:val="none"/>
        </w:rPr>
        <w:t>&lt;</w:t>
      </w:r>
      <w:r w:rsidRPr="0084179A">
        <w:t>https://www.tra.gov.au/Economic-analysis/australian-accommodation-monitor</w:t>
      </w:r>
      <w:r w:rsidRPr="006D5280">
        <w:rPr>
          <w:rStyle w:val="Hyperlink"/>
          <w:color w:val="auto"/>
          <w:szCs w:val="16"/>
          <w:u w:val="none"/>
        </w:rPr>
        <w:t>&gt;</w:t>
      </w:r>
    </w:p>
  </w:footnote>
  <w:footnote w:id="38">
    <w:p w14:paraId="7349B3CE" w14:textId="77777777" w:rsidR="00737B12" w:rsidRDefault="00737B12" w:rsidP="00F129DF">
      <w:pPr>
        <w:pStyle w:val="FootnoteText"/>
      </w:pPr>
      <w:r>
        <w:rPr>
          <w:rStyle w:val="FootnoteReference"/>
        </w:rPr>
        <w:footnoteRef/>
      </w:r>
      <w:r>
        <w:t xml:space="preserve"> Based on estimated growth of hotels and motels in Melbourne (2%p.a.) and applied to the last available year of data in 2018 which indicated that there were 1,309 hotels and motels registered in Victoria. </w:t>
      </w:r>
    </w:p>
  </w:footnote>
  <w:footnote w:id="39">
    <w:p w14:paraId="54227B0E" w14:textId="76EE48B3" w:rsidR="00737B12" w:rsidRDefault="00737B12">
      <w:pPr>
        <w:pStyle w:val="FootnoteText"/>
      </w:pPr>
      <w:r>
        <w:rPr>
          <w:rStyle w:val="FootnoteReference"/>
        </w:rPr>
        <w:footnoteRef/>
      </w:r>
      <w:r>
        <w:t xml:space="preserve"> </w:t>
      </w:r>
      <w:r w:rsidRPr="00C355B3">
        <w:t xml:space="preserve">Krieger, </w:t>
      </w:r>
      <w:r>
        <w:t xml:space="preserve">J., &amp; </w:t>
      </w:r>
      <w:r w:rsidRPr="00C355B3">
        <w:t xml:space="preserve">Higgins, </w:t>
      </w:r>
      <w:r>
        <w:t xml:space="preserve">D.L. (2002). </w:t>
      </w:r>
      <w:hyperlink r:id="rId16" w:history="1">
        <w:r w:rsidRPr="006F699D">
          <w:rPr>
            <w:rStyle w:val="Hyperlink"/>
            <w:color w:val="002060"/>
          </w:rPr>
          <w:t>Housing and Health: Time Again for Public Health Action. Am J Public Health Journal.</w:t>
        </w:r>
      </w:hyperlink>
      <w:r w:rsidRPr="00316753">
        <w:rPr>
          <w:rStyle w:val="Hyperlink"/>
          <w:color w:val="auto"/>
          <w:u w:val="none"/>
        </w:rPr>
        <w:t xml:space="preserve"> </w:t>
      </w:r>
      <w:r w:rsidRPr="006D5280">
        <w:rPr>
          <w:rStyle w:val="Hyperlink"/>
          <w:color w:val="auto"/>
          <w:u w:val="none"/>
        </w:rPr>
        <w:t>&lt;</w:t>
      </w:r>
      <w:r w:rsidRPr="0084179A">
        <w:t>https://ajph.aphapublications.org/doi/10.2105/AJPH.92.5.758</w:t>
      </w:r>
      <w:r w:rsidRPr="006D5280">
        <w:rPr>
          <w:rStyle w:val="Hyperlink"/>
          <w:color w:val="auto"/>
          <w:szCs w:val="16"/>
          <w:u w:val="none"/>
        </w:rPr>
        <w:t>&gt;</w:t>
      </w:r>
    </w:p>
  </w:footnote>
  <w:footnote w:id="40">
    <w:p w14:paraId="36EBCE73" w14:textId="7D18E1B5" w:rsidR="00737B12" w:rsidRDefault="00737B12" w:rsidP="0002156C">
      <w:pPr>
        <w:pStyle w:val="FootnoteText"/>
      </w:pPr>
      <w:r>
        <w:rPr>
          <w:rStyle w:val="FootnoteReference"/>
        </w:rPr>
        <w:footnoteRef/>
      </w:r>
      <w:r>
        <w:t xml:space="preserve"> Diarrhoea, or diarrhoeal disease, is defined as the passing of at least three loose stools per day, and occurs when there is a bacterial, viral or parasitic infection in the intestinal tract (</w:t>
      </w:r>
      <w:hyperlink r:id="rId17" w:history="1">
        <w:r w:rsidRPr="006F699D">
          <w:rPr>
            <w:rStyle w:val="Hyperlink"/>
            <w:color w:val="002060"/>
          </w:rPr>
          <w:t>WHO, 2020</w:t>
        </w:r>
      </w:hyperlink>
      <w:r>
        <w:rPr>
          <w:rStyle w:val="Hyperlink"/>
        </w:rPr>
        <w:t xml:space="preserve"> </w:t>
      </w:r>
      <w:r w:rsidRPr="0084179A">
        <w:rPr>
          <w:rStyle w:val="Hyperlink"/>
          <w:color w:val="auto"/>
          <w:u w:val="none"/>
        </w:rPr>
        <w:t>(</w:t>
      </w:r>
      <w:r w:rsidRPr="006D5280">
        <w:rPr>
          <w:rStyle w:val="Hyperlink"/>
          <w:color w:val="auto"/>
          <w:u w:val="none"/>
        </w:rPr>
        <w:t>&lt;</w:t>
      </w:r>
      <w:r w:rsidRPr="0084179A">
        <w:t>https://www.who.int/westernpacific/health-topics/diarrhoea</w:t>
      </w:r>
      <w:r w:rsidRPr="006D5280">
        <w:rPr>
          <w:rStyle w:val="Hyperlink"/>
          <w:color w:val="auto"/>
          <w:szCs w:val="16"/>
          <w:u w:val="none"/>
        </w:rPr>
        <w:t>&gt;</w:t>
      </w:r>
      <w:r>
        <w:rPr>
          <w:rStyle w:val="Hyperlink"/>
          <w:color w:val="auto"/>
          <w:szCs w:val="16"/>
          <w:u w:val="none"/>
        </w:rPr>
        <w:t>)</w:t>
      </w:r>
      <w:r>
        <w:t>). These infections are typically spread by contaminated water and food or between individuals experiencing poor domestic and/or personal hygiene (</w:t>
      </w:r>
      <w:hyperlink r:id="rId18" w:history="1">
        <w:r w:rsidRPr="006F699D">
          <w:rPr>
            <w:rStyle w:val="Hyperlink"/>
            <w:color w:val="002060"/>
          </w:rPr>
          <w:t>WHO, 2020</w:t>
        </w:r>
      </w:hyperlink>
      <w:r>
        <w:rPr>
          <w:rStyle w:val="Hyperlink"/>
        </w:rPr>
        <w:t xml:space="preserve"> </w:t>
      </w:r>
      <w:r w:rsidRPr="006D5280">
        <w:rPr>
          <w:rStyle w:val="Hyperlink"/>
          <w:color w:val="auto"/>
          <w:u w:val="none"/>
        </w:rPr>
        <w:t>(&lt;</w:t>
      </w:r>
      <w:r w:rsidRPr="0084179A">
        <w:t>https://www.who.int/westernpacific/health-topics/diarrhoea</w:t>
      </w:r>
      <w:r w:rsidRPr="006D5280">
        <w:rPr>
          <w:rStyle w:val="Hyperlink"/>
          <w:color w:val="auto"/>
          <w:szCs w:val="16"/>
          <w:u w:val="none"/>
        </w:rPr>
        <w:t>&gt;</w:t>
      </w:r>
      <w:r>
        <w:rPr>
          <w:rStyle w:val="Hyperlink"/>
          <w:color w:val="auto"/>
          <w:szCs w:val="16"/>
          <w:u w:val="none"/>
        </w:rPr>
        <w:t>)</w:t>
      </w:r>
      <w:r>
        <w:t>).</w:t>
      </w:r>
    </w:p>
  </w:footnote>
  <w:footnote w:id="41">
    <w:p w14:paraId="0F5BD55E" w14:textId="11CF1ACD" w:rsidR="00737B12" w:rsidRPr="00CA3F36" w:rsidRDefault="00737B12" w:rsidP="0084179A">
      <w:pPr>
        <w:pStyle w:val="FootnoteText"/>
        <w:spacing w:after="160"/>
        <w:rPr>
          <w:szCs w:val="16"/>
        </w:rPr>
      </w:pPr>
      <w:r>
        <w:rPr>
          <w:rStyle w:val="FootnoteReference"/>
        </w:rPr>
        <w:footnoteRef/>
      </w:r>
      <w:r>
        <w:t xml:space="preserve"> The WHO has categorised 20 avoidable communicable and noncommunicable diseases as Neglected Tropical Diseases (</w:t>
      </w:r>
      <w:hyperlink r:id="rId19" w:history="1">
        <w:r w:rsidRPr="006F699D">
          <w:rPr>
            <w:rStyle w:val="Hyperlink"/>
            <w:color w:val="002060"/>
          </w:rPr>
          <w:t>CDC, 2020</w:t>
        </w:r>
      </w:hyperlink>
      <w:r>
        <w:rPr>
          <w:rStyle w:val="Hyperlink"/>
        </w:rPr>
        <w:t xml:space="preserve"> </w:t>
      </w:r>
      <w:r w:rsidRPr="006D5280">
        <w:rPr>
          <w:rStyle w:val="Hyperlink"/>
          <w:color w:val="auto"/>
          <w:u w:val="none"/>
        </w:rPr>
        <w:t>(&lt;</w:t>
      </w:r>
      <w:r w:rsidRPr="0084179A">
        <w:t>https://www.cdc.gov/globalhealth/ntd/diseases/index.html</w:t>
      </w:r>
      <w:r w:rsidRPr="006D5280">
        <w:rPr>
          <w:rStyle w:val="Hyperlink"/>
          <w:color w:val="auto"/>
          <w:szCs w:val="16"/>
          <w:u w:val="none"/>
        </w:rPr>
        <w:t>&gt;</w:t>
      </w:r>
      <w:r>
        <w:rPr>
          <w:rStyle w:val="Hyperlink"/>
          <w:color w:val="auto"/>
          <w:szCs w:val="16"/>
          <w:u w:val="none"/>
        </w:rPr>
        <w:t>)</w:t>
      </w:r>
      <w:r>
        <w:t xml:space="preserve">). In Australia, these diseases include </w:t>
      </w:r>
      <w:r>
        <w:rPr>
          <w:i/>
          <w:iCs/>
        </w:rPr>
        <w:t xml:space="preserve">buruli ulcer </w:t>
      </w:r>
      <w:r>
        <w:t xml:space="preserve">(ulcerated skin), and soil- and water-transmitted infections (specifically intestinal worms) transmitted through contaminated soil (CDC, 2020). These diseases are debilitating in the way they affect the skin and bones, and gastrointestinal health, respectively. Disadvantaged populations experiencing poor domestic and personal hygiene and limited access to safe housing and drinking water are at increased risk of these diseases. </w:t>
      </w:r>
    </w:p>
  </w:footnote>
  <w:footnote w:id="42">
    <w:p w14:paraId="72797354" w14:textId="5700784A" w:rsidR="00737B12" w:rsidRDefault="00737B12">
      <w:pPr>
        <w:pStyle w:val="FootnoteText"/>
      </w:pPr>
      <w:r>
        <w:rPr>
          <w:rStyle w:val="FootnoteReference"/>
        </w:rPr>
        <w:footnoteRef/>
      </w:r>
      <w:r>
        <w:t xml:space="preserve"> Better Health Victoria. (2015). </w:t>
      </w:r>
      <w:hyperlink r:id="rId20" w:anchor=":~:text=Mould%20associated%20with%20damp%20buildings,allergies" w:history="1">
        <w:r w:rsidRPr="006F699D">
          <w:rPr>
            <w:rStyle w:val="Hyperlink"/>
            <w:color w:val="002060"/>
          </w:rPr>
          <w:t>Mould and your health</w:t>
        </w:r>
      </w:hyperlink>
      <w:r>
        <w:rPr>
          <w:rStyle w:val="Hyperlink"/>
        </w:rPr>
        <w:t xml:space="preserve"> </w:t>
      </w:r>
      <w:r w:rsidRPr="0084179A">
        <w:rPr>
          <w:rStyle w:val="Hyperlink"/>
          <w:color w:val="auto"/>
          <w:u w:val="none"/>
        </w:rPr>
        <w:t>&lt;</w:t>
      </w:r>
      <w:r w:rsidRPr="0084179A">
        <w:t>https://www.betterhealth.vic.gov.au/health/conditionsandtreatments/mould-and-your-health#:~:text=Mould%20associated%20with%20damp%20buildings,allergies</w:t>
      </w:r>
      <w:r w:rsidRPr="0084179A">
        <w:rPr>
          <w:rStyle w:val="Hyperlink"/>
          <w:color w:val="auto"/>
          <w:szCs w:val="16"/>
          <w:u w:val="none"/>
        </w:rPr>
        <w:t>&gt;</w:t>
      </w:r>
    </w:p>
  </w:footnote>
  <w:footnote w:id="43">
    <w:p w14:paraId="33255867" w14:textId="52D0A3E0" w:rsidR="00737B12" w:rsidRDefault="00737B12" w:rsidP="0002156C">
      <w:pPr>
        <w:pStyle w:val="FootnoteText"/>
      </w:pPr>
      <w:r>
        <w:rPr>
          <w:rStyle w:val="FootnoteReference"/>
        </w:rPr>
        <w:footnoteRef/>
      </w:r>
      <w:r>
        <w:t xml:space="preserve"> Australian Government Department of Health. (2010). </w:t>
      </w:r>
      <w:hyperlink r:id="rId21" w:history="1">
        <w:r w:rsidRPr="006F699D">
          <w:rPr>
            <w:rStyle w:val="Hyperlink"/>
            <w:i/>
            <w:iCs/>
            <w:color w:val="002060"/>
          </w:rPr>
          <w:t>Poor hygiene and disease.</w:t>
        </w:r>
      </w:hyperlink>
      <w:r w:rsidRPr="002C19A8">
        <w:rPr>
          <w:rStyle w:val="Hyperlink"/>
          <w:color w:val="auto"/>
          <w:u w:val="none"/>
        </w:rPr>
        <w:t xml:space="preserve"> </w:t>
      </w:r>
      <w:r w:rsidRPr="006D5280">
        <w:rPr>
          <w:rStyle w:val="Hyperlink"/>
          <w:color w:val="auto"/>
          <w:u w:val="none"/>
        </w:rPr>
        <w:t>&lt;</w:t>
      </w:r>
      <w:r w:rsidRPr="0084179A">
        <w:rPr>
          <w:rStyle w:val="Hyperlink"/>
          <w:color w:val="auto"/>
          <w:u w:val="none"/>
        </w:rPr>
        <w:t>https://www1.health.gov.au/internet/publications/publishing.nsf/Content/ohp-enhealth-manual-atsi-cnt-l~ohp-enhealth-manual-atsi-cnt-l-ch3~ohp-enhealth-manual-atsi-cnt-l-ch3.2</w:t>
      </w:r>
      <w:r w:rsidRPr="006D5280">
        <w:rPr>
          <w:rStyle w:val="Hyperlink"/>
          <w:color w:val="auto"/>
          <w:szCs w:val="16"/>
          <w:u w:val="none"/>
        </w:rPr>
        <w:t>&gt;</w:t>
      </w:r>
    </w:p>
  </w:footnote>
  <w:footnote w:id="44">
    <w:p w14:paraId="3ABD3977" w14:textId="070B40F2" w:rsidR="00737B12" w:rsidRDefault="00737B12" w:rsidP="0002156C">
      <w:pPr>
        <w:pStyle w:val="FootnoteText"/>
      </w:pPr>
      <w:r>
        <w:rPr>
          <w:rStyle w:val="FootnoteReference"/>
        </w:rPr>
        <w:footnoteRef/>
      </w:r>
      <w:r>
        <w:t xml:space="preserve"> Australian Government Department of Health. (2010). </w:t>
      </w:r>
      <w:hyperlink r:id="rId22" w:history="1">
        <w:r w:rsidRPr="006F699D">
          <w:rPr>
            <w:rStyle w:val="Hyperlink"/>
            <w:i/>
            <w:iCs/>
            <w:color w:val="002060"/>
          </w:rPr>
          <w:t>Poor hygiene and disease.</w:t>
        </w:r>
      </w:hyperlink>
      <w:r w:rsidRPr="0062540C">
        <w:rPr>
          <w:rStyle w:val="Hyperlink"/>
          <w:color w:val="auto"/>
          <w:u w:val="none"/>
        </w:rPr>
        <w:t xml:space="preserve"> </w:t>
      </w:r>
      <w:r w:rsidRPr="006D5280">
        <w:rPr>
          <w:rStyle w:val="Hyperlink"/>
          <w:color w:val="auto"/>
          <w:u w:val="none"/>
        </w:rPr>
        <w:t>&lt;</w:t>
      </w:r>
      <w:r w:rsidRPr="0084179A">
        <w:rPr>
          <w:rStyle w:val="Hyperlink"/>
          <w:color w:val="auto"/>
          <w:u w:val="none"/>
        </w:rPr>
        <w:t>https://www1.health.gov.au/internet/publications/publishing.nsf/Content/ohp-enhealth-manual-atsi-cnt-l~ohp-enhealth-manual-atsi-cnt-l-ch3~ohp-enhealth-manual-atsi-cnt-l-ch3.2</w:t>
      </w:r>
      <w:r w:rsidRPr="006D5280">
        <w:rPr>
          <w:rStyle w:val="Hyperlink"/>
          <w:color w:val="auto"/>
          <w:szCs w:val="16"/>
          <w:u w:val="none"/>
        </w:rPr>
        <w:t>&gt;</w:t>
      </w:r>
    </w:p>
  </w:footnote>
  <w:footnote w:id="45">
    <w:p w14:paraId="0852601A" w14:textId="36FEC2CD" w:rsidR="00737B12" w:rsidRDefault="00737B12" w:rsidP="0002156C">
      <w:pPr>
        <w:pStyle w:val="FootnoteText"/>
      </w:pPr>
      <w:r>
        <w:rPr>
          <w:rStyle w:val="FootnoteReference"/>
        </w:rPr>
        <w:footnoteRef/>
      </w:r>
      <w:r>
        <w:t xml:space="preserve"> Australian Government Department of Health. (2010). </w:t>
      </w:r>
      <w:hyperlink r:id="rId23" w:history="1">
        <w:r w:rsidRPr="006F699D">
          <w:rPr>
            <w:rStyle w:val="Hyperlink"/>
            <w:i/>
            <w:iCs/>
            <w:color w:val="002060"/>
          </w:rPr>
          <w:t>Poor hygiene and disease.</w:t>
        </w:r>
      </w:hyperlink>
      <w:r>
        <w:rPr>
          <w:rStyle w:val="Hyperlink"/>
          <w:i/>
          <w:iCs/>
        </w:rPr>
        <w:t xml:space="preserve"> </w:t>
      </w:r>
      <w:r w:rsidRPr="006D5280">
        <w:rPr>
          <w:rStyle w:val="Hyperlink"/>
          <w:color w:val="auto"/>
          <w:u w:val="none"/>
        </w:rPr>
        <w:t>&lt;</w:t>
      </w:r>
      <w:r w:rsidRPr="0084179A">
        <w:rPr>
          <w:rStyle w:val="Hyperlink"/>
          <w:color w:val="auto"/>
          <w:u w:val="none"/>
        </w:rPr>
        <w:t>https://www1.health.gov.au/internet/publications/publishing.nsf/Content/ohp-enhealth-manual-atsi-cnt-l~ohp-enhealth-manual-atsi-cnt-l-ch3~ohp-enhealth-manual-atsi-cnt-l-ch3.2</w:t>
      </w:r>
      <w:r w:rsidRPr="006D5280">
        <w:rPr>
          <w:rStyle w:val="Hyperlink"/>
          <w:color w:val="auto"/>
          <w:szCs w:val="16"/>
          <w:u w:val="none"/>
        </w:rPr>
        <w:t>&gt;</w:t>
      </w:r>
    </w:p>
  </w:footnote>
  <w:footnote w:id="46">
    <w:p w14:paraId="5B3D7F10" w14:textId="46C4D6DB" w:rsidR="00737B12" w:rsidRPr="00F0077F" w:rsidRDefault="00737B12" w:rsidP="0002156C">
      <w:pPr>
        <w:pStyle w:val="FootnoteText"/>
        <w:rPr>
          <w:i/>
          <w:iCs/>
        </w:rPr>
      </w:pPr>
      <w:r>
        <w:rPr>
          <w:rStyle w:val="FootnoteReference"/>
        </w:rPr>
        <w:footnoteRef/>
      </w:r>
      <w:r>
        <w:t xml:space="preserve"> United Nations. (2008). </w:t>
      </w:r>
      <w:hyperlink r:id="rId24" w:history="1">
        <w:r w:rsidRPr="006F699D">
          <w:rPr>
            <w:rStyle w:val="Hyperlink"/>
            <w:i/>
            <w:iCs/>
            <w:color w:val="002060"/>
          </w:rPr>
          <w:t>Tackling a global crisis: International Year of Sanitation 2008</w:t>
        </w:r>
      </w:hyperlink>
      <w:r w:rsidRPr="006F699D">
        <w:rPr>
          <w:rStyle w:val="Hyperlink"/>
          <w:i/>
          <w:iCs/>
          <w:color w:val="002060"/>
        </w:rPr>
        <w:t xml:space="preserve">. </w:t>
      </w:r>
      <w:r w:rsidRPr="006D5280">
        <w:rPr>
          <w:rStyle w:val="Hyperlink"/>
          <w:color w:val="auto"/>
          <w:u w:val="none"/>
        </w:rPr>
        <w:t>&lt;</w:t>
      </w:r>
      <w:r w:rsidRPr="0084179A">
        <w:t>http://www.sanitationyear2008.org/</w:t>
      </w:r>
      <w:r w:rsidRPr="006D5280">
        <w:rPr>
          <w:rStyle w:val="Hyperlink"/>
          <w:color w:val="auto"/>
          <w:szCs w:val="16"/>
          <w:u w:val="none"/>
        </w:rPr>
        <w:t>&gt;</w:t>
      </w:r>
    </w:p>
  </w:footnote>
  <w:footnote w:id="47">
    <w:p w14:paraId="61407CCD" w14:textId="173CA4A4" w:rsidR="00737B12" w:rsidRPr="00F0077F" w:rsidRDefault="00737B12" w:rsidP="0002156C">
      <w:pPr>
        <w:pStyle w:val="FootnoteText"/>
        <w:rPr>
          <w:i/>
          <w:iCs/>
        </w:rPr>
      </w:pPr>
      <w:r>
        <w:rPr>
          <w:rStyle w:val="FootnoteReference"/>
        </w:rPr>
        <w:footnoteRef/>
      </w:r>
      <w:r>
        <w:t xml:space="preserve"> United Nations. (2008). </w:t>
      </w:r>
      <w:hyperlink r:id="rId25" w:history="1">
        <w:r w:rsidRPr="0005328D">
          <w:rPr>
            <w:rStyle w:val="Hyperlink"/>
            <w:i/>
            <w:iCs/>
            <w:color w:val="002060"/>
          </w:rPr>
          <w:t>Tackling a global crisis: International Year of Sanitation 2008</w:t>
        </w:r>
      </w:hyperlink>
      <w:r w:rsidRPr="0005328D">
        <w:rPr>
          <w:rStyle w:val="Hyperlink"/>
          <w:i/>
          <w:iCs/>
          <w:color w:val="002060"/>
        </w:rPr>
        <w:t>.</w:t>
      </w:r>
    </w:p>
  </w:footnote>
  <w:footnote w:id="48">
    <w:p w14:paraId="0200A536" w14:textId="34A7F70F" w:rsidR="00737B12" w:rsidRDefault="00737B12" w:rsidP="0002156C">
      <w:pPr>
        <w:pStyle w:val="FootnoteText"/>
      </w:pPr>
      <w:r>
        <w:rPr>
          <w:rStyle w:val="FootnoteReference"/>
        </w:rPr>
        <w:footnoteRef/>
      </w:r>
      <w:r>
        <w:t xml:space="preserve"> Mara, D.,, Lane,J., Scott, B., &amp; Trouba, D. (2010). </w:t>
      </w:r>
      <w:hyperlink r:id="rId26" w:history="1">
        <w:r w:rsidRPr="0005328D">
          <w:rPr>
            <w:rStyle w:val="Hyperlink"/>
            <w:iCs/>
            <w:color w:val="002060"/>
          </w:rPr>
          <w:t>Sanitation and Health</w:t>
        </w:r>
      </w:hyperlink>
      <w:r w:rsidRPr="00EB5D6B">
        <w:rPr>
          <w:iCs/>
        </w:rPr>
        <w:t>.</w:t>
      </w:r>
      <w:r>
        <w:t xml:space="preserve"> &lt;</w:t>
      </w:r>
      <w:r w:rsidRPr="0084179A">
        <w:t>https://www.ncbi.nlm.nih.gov/pmc/articles/PMC2981586/&gt;</w:t>
      </w:r>
    </w:p>
  </w:footnote>
  <w:footnote w:id="49">
    <w:p w14:paraId="6DCEA8D5" w14:textId="4D80CEDD" w:rsidR="00737B12" w:rsidRDefault="00737B12" w:rsidP="0002156C">
      <w:pPr>
        <w:pStyle w:val="FootnoteText"/>
      </w:pPr>
      <w:r>
        <w:rPr>
          <w:rStyle w:val="FootnoteReference"/>
        </w:rPr>
        <w:footnoteRef/>
      </w:r>
      <w:r>
        <w:t xml:space="preserve"> Mara. D., Lane,J., Scott, B., &amp; Trouba, D. (2010). </w:t>
      </w:r>
      <w:hyperlink r:id="rId27" w:history="1">
        <w:r w:rsidRPr="0005328D">
          <w:rPr>
            <w:rStyle w:val="Hyperlink"/>
            <w:iCs/>
            <w:color w:val="002060"/>
          </w:rPr>
          <w:t>Sanitation and Health</w:t>
        </w:r>
      </w:hyperlink>
      <w:r w:rsidRPr="00EB5D6B">
        <w:rPr>
          <w:iCs/>
        </w:rPr>
        <w:t>.</w:t>
      </w:r>
      <w:r>
        <w:t xml:space="preserve"> &lt;</w:t>
      </w:r>
      <w:r w:rsidRPr="0084179A">
        <w:t>https://www.ncbi.nlm.nih.gov/pmc/articles/PMC2981586/</w:t>
      </w:r>
      <w:r w:rsidRPr="006D5280">
        <w:t>&gt;</w:t>
      </w:r>
    </w:p>
  </w:footnote>
  <w:footnote w:id="50">
    <w:p w14:paraId="2C2FF7A2" w14:textId="77777777" w:rsidR="00737B12" w:rsidRDefault="00737B12" w:rsidP="0002156C">
      <w:pPr>
        <w:pStyle w:val="FootnoteText"/>
      </w:pPr>
      <w:r>
        <w:rPr>
          <w:rStyle w:val="FootnoteReference"/>
        </w:rPr>
        <w:footnoteRef/>
      </w:r>
      <w:r>
        <w:t xml:space="preserve"> Jaguar Consulting. (2009). Regulatory Impact Statement Public Health and Wellbeing Regulations</w:t>
      </w:r>
    </w:p>
  </w:footnote>
  <w:footnote w:id="51">
    <w:p w14:paraId="473BBCD2" w14:textId="138725A9" w:rsidR="00737B12" w:rsidRPr="002C4515" w:rsidRDefault="00737B12" w:rsidP="0002156C">
      <w:pPr>
        <w:pStyle w:val="FootnoteText"/>
      </w:pPr>
      <w:r>
        <w:rPr>
          <w:rStyle w:val="FootnoteReference"/>
        </w:rPr>
        <w:footnoteRef/>
      </w:r>
      <w:r>
        <w:t xml:space="preserve"> ABS. (2016a). </w:t>
      </w:r>
      <w:hyperlink r:id="rId28" w:history="1">
        <w:r w:rsidRPr="0005328D">
          <w:rPr>
            <w:rStyle w:val="Hyperlink"/>
            <w:i/>
            <w:iCs/>
            <w:color w:val="002060"/>
          </w:rPr>
          <w:t>ABS Catalogue 2049.0 - Census of Population and Housing: Estimating homelessness, 2016.</w:t>
        </w:r>
      </w:hyperlink>
      <w:r>
        <w:rPr>
          <w:rStyle w:val="Hyperlink"/>
          <w:i/>
          <w:iCs/>
        </w:rPr>
        <w:t xml:space="preserve"> </w:t>
      </w:r>
      <w:r w:rsidRPr="0084179A">
        <w:t>&lt;https://www.abs.gov.au/AUSSTATS/abs@.nsf/DetailsPage/2049.02016?OpenDocument&gt;</w:t>
      </w:r>
    </w:p>
  </w:footnote>
  <w:footnote w:id="52">
    <w:p w14:paraId="59C79C41" w14:textId="64F5972A" w:rsidR="00737B12" w:rsidRPr="0084179A" w:rsidRDefault="00737B12" w:rsidP="0002156C">
      <w:pPr>
        <w:pStyle w:val="FootnoteText"/>
      </w:pPr>
      <w:r>
        <w:rPr>
          <w:rStyle w:val="FootnoteReference"/>
        </w:rPr>
        <w:footnoteRef/>
      </w:r>
      <w:r>
        <w:t xml:space="preserve"> The Salvation Army Adult Services. (2011). </w:t>
      </w:r>
      <w:hyperlink r:id="rId29" w:history="1">
        <w:r w:rsidRPr="0005328D">
          <w:rPr>
            <w:rStyle w:val="Hyperlink"/>
            <w:i/>
            <w:iCs/>
            <w:color w:val="002060"/>
          </w:rPr>
          <w:t>No Room to move? Report of the Outer West Rooming House Project</w:t>
        </w:r>
      </w:hyperlink>
      <w:r w:rsidRPr="0005328D">
        <w:rPr>
          <w:rStyle w:val="Hyperlink"/>
          <w:i/>
          <w:iCs/>
          <w:color w:val="002060"/>
        </w:rPr>
        <w:t xml:space="preserve">. </w:t>
      </w:r>
      <w:r w:rsidRPr="0084179A">
        <w:t>&lt;http://www.nwhn.net.au/admin/file/content101/c6/No%20Room%20to%20move%20Report_1332384268120.pdf&gt;</w:t>
      </w:r>
    </w:p>
  </w:footnote>
  <w:footnote w:id="53">
    <w:p w14:paraId="5817BF0E" w14:textId="4F6E9C9A" w:rsidR="00737B12" w:rsidRPr="0084179A" w:rsidRDefault="00737B12" w:rsidP="0002156C">
      <w:pPr>
        <w:pStyle w:val="FootnoteText"/>
      </w:pPr>
      <w:r>
        <w:rPr>
          <w:rStyle w:val="FootnoteReference"/>
        </w:rPr>
        <w:footnoteRef/>
      </w:r>
      <w:r>
        <w:t xml:space="preserve"> Rooming House Standards Taskforce. (2009). </w:t>
      </w:r>
      <w:hyperlink r:id="rId30" w:history="1">
        <w:r w:rsidRPr="0005328D">
          <w:rPr>
            <w:rStyle w:val="Hyperlink"/>
            <w:i/>
            <w:iCs/>
            <w:color w:val="002060"/>
          </w:rPr>
          <w:t>Rooming House Standards Taskforce Chairperson’s report</w:t>
        </w:r>
      </w:hyperlink>
      <w:r w:rsidRPr="0005328D">
        <w:rPr>
          <w:rStyle w:val="Hyperlink"/>
          <w:i/>
          <w:iCs/>
          <w:color w:val="002060"/>
        </w:rPr>
        <w:t xml:space="preserve">. </w:t>
      </w:r>
      <w:r w:rsidRPr="0084179A">
        <w:rPr>
          <w:rStyle w:val="Hyperlink"/>
          <w:color w:val="auto"/>
          <w:u w:val="none"/>
        </w:rPr>
        <w:t>&lt;</w:t>
      </w:r>
      <w:r w:rsidRPr="0084179A">
        <w:t>http://chp.org.au/wp-content/uploads/2013/05/Appendix-Taskforce-Report.pdf</w:t>
      </w:r>
      <w:r w:rsidRPr="0084179A">
        <w:rPr>
          <w:rStyle w:val="Hyperlink"/>
          <w:color w:val="auto"/>
          <w:u w:val="none"/>
        </w:rPr>
        <w:t>&gt;</w:t>
      </w:r>
    </w:p>
  </w:footnote>
  <w:footnote w:id="54">
    <w:p w14:paraId="4BCB4E5B" w14:textId="77777777" w:rsidR="00737B12" w:rsidRPr="00F0077F" w:rsidRDefault="00737B12" w:rsidP="0002156C">
      <w:pPr>
        <w:pStyle w:val="FootnoteText"/>
        <w:rPr>
          <w:i/>
          <w:iCs/>
        </w:rPr>
      </w:pPr>
      <w:r>
        <w:rPr>
          <w:rStyle w:val="FootnoteReference"/>
        </w:rPr>
        <w:footnoteRef/>
      </w:r>
      <w:r>
        <w:t xml:space="preserve"> DHHS. (2019). </w:t>
      </w:r>
      <w:r w:rsidRPr="00F0077F">
        <w:rPr>
          <w:i/>
          <w:iCs/>
        </w:rPr>
        <w:t>Public Health and Wellbeing Regulations Sunset Review – Survey of Environmental Health Officers.</w:t>
      </w:r>
    </w:p>
  </w:footnote>
  <w:footnote w:id="55">
    <w:p w14:paraId="5189D359" w14:textId="77777777" w:rsidR="00737B12" w:rsidRDefault="00737B12" w:rsidP="0002156C">
      <w:pPr>
        <w:pStyle w:val="FootnoteText"/>
      </w:pPr>
      <w:r>
        <w:rPr>
          <w:rStyle w:val="FootnoteReference"/>
        </w:rPr>
        <w:footnoteRef/>
      </w:r>
      <w:r>
        <w:t xml:space="preserve"> Data supplied by CAV in relation to rooming houses and student accommodation </w:t>
      </w:r>
    </w:p>
  </w:footnote>
  <w:footnote w:id="56">
    <w:p w14:paraId="77E4187E" w14:textId="6A5CB517" w:rsidR="00737B12" w:rsidRPr="00F0077F" w:rsidRDefault="00737B12" w:rsidP="0002156C">
      <w:pPr>
        <w:pStyle w:val="FootnoteText"/>
        <w:rPr>
          <w:i/>
          <w:iCs/>
        </w:rPr>
      </w:pPr>
      <w:r>
        <w:rPr>
          <w:rStyle w:val="FootnoteReference"/>
        </w:rPr>
        <w:footnoteRef/>
      </w:r>
      <w:r>
        <w:t xml:space="preserve"> Section 4(2) Public Health and Wellbeing Act 2008</w:t>
      </w:r>
      <w:r w:rsidRPr="0005328D">
        <w:rPr>
          <w:rStyle w:val="Hyperlink"/>
          <w:color w:val="002060"/>
        </w:rPr>
        <w:t>.</w:t>
      </w:r>
    </w:p>
  </w:footnote>
  <w:footnote w:id="57">
    <w:p w14:paraId="2A922534" w14:textId="171EDF09" w:rsidR="00737B12" w:rsidRPr="00CC0353" w:rsidRDefault="00737B12" w:rsidP="00F513A5">
      <w:pPr>
        <w:pStyle w:val="FootnoteText"/>
      </w:pPr>
      <w:r>
        <w:rPr>
          <w:rStyle w:val="FootnoteReference"/>
        </w:rPr>
        <w:footnoteRef/>
      </w:r>
      <w:r>
        <w:t xml:space="preserve"> </w:t>
      </w:r>
      <w:r w:rsidRPr="00221EDF">
        <w:t>Department of Premier and Cabinet</w:t>
      </w:r>
      <w:r>
        <w:t xml:space="preserve">. (2020). </w:t>
      </w:r>
      <w:hyperlink r:id="rId31" w:history="1">
        <w:r w:rsidRPr="0005328D">
          <w:rPr>
            <w:rStyle w:val="Hyperlink"/>
            <w:rFonts w:cs="Segoe UI Light"/>
            <w:i/>
            <w:color w:val="002060"/>
          </w:rPr>
          <w:t>Subordinate Legislation Act Guidelines</w:t>
        </w:r>
      </w:hyperlink>
      <w:r>
        <w:rPr>
          <w:rFonts w:cs="Segoe UI Light"/>
        </w:rPr>
        <w:t>.</w:t>
      </w:r>
      <w:r w:rsidRPr="00FD7508">
        <w:rPr>
          <w:rStyle w:val="Hyperlink"/>
          <w:color w:val="auto"/>
          <w:u w:val="none"/>
        </w:rPr>
        <w:t xml:space="preserve"> </w:t>
      </w:r>
      <w:r w:rsidRPr="00CC0353">
        <w:rPr>
          <w:rStyle w:val="Hyperlink"/>
          <w:color w:val="auto"/>
          <w:u w:val="none"/>
        </w:rPr>
        <w:t>&lt;</w:t>
      </w:r>
      <w:r w:rsidRPr="00004926">
        <w:t xml:space="preserve"> </w:t>
      </w:r>
      <w:r w:rsidRPr="00004926">
        <w:rPr>
          <w:rStyle w:val="Hyperlink"/>
          <w:color w:val="auto"/>
          <w:u w:val="none"/>
        </w:rPr>
        <w:t>https://www.vic.gov.au/sites/default/files/2020-01/Subordinate-Legislation-Act-1994-Guidelines-2020.pdf</w:t>
      </w:r>
      <w:r w:rsidRPr="00004926" w:rsidDel="00004926">
        <w:rPr>
          <w:rStyle w:val="Hyperlink"/>
          <w:color w:val="auto"/>
          <w:u w:val="none"/>
        </w:rPr>
        <w:t xml:space="preserve"> </w:t>
      </w:r>
      <w:r w:rsidRPr="00CC0353">
        <w:rPr>
          <w:rStyle w:val="Hyperlink"/>
          <w:color w:val="auto"/>
          <w:u w:val="none"/>
        </w:rPr>
        <w:t>&gt;</w:t>
      </w:r>
    </w:p>
  </w:footnote>
  <w:footnote w:id="58">
    <w:p w14:paraId="30FF8EE0" w14:textId="0062997C" w:rsidR="00737B12" w:rsidRPr="0006222D" w:rsidRDefault="00737B12" w:rsidP="0006222D">
      <w:pPr>
        <w:pStyle w:val="CommentText"/>
      </w:pPr>
      <w:r>
        <w:rPr>
          <w:rStyle w:val="FootnoteReference"/>
        </w:rPr>
        <w:footnoteRef/>
      </w:r>
      <w:r>
        <w:t xml:space="preserve"> </w:t>
      </w:r>
      <w:r w:rsidRPr="003075BA">
        <w:rPr>
          <w:sz w:val="16"/>
        </w:rPr>
        <w:t>Department of Treasury and Finance (2016) Victorian Guide to Regulation</w:t>
      </w:r>
      <w:r>
        <w:rPr>
          <w:sz w:val="16"/>
        </w:rPr>
        <w:t>.</w:t>
      </w:r>
    </w:p>
    <w:p w14:paraId="3FF91F7E" w14:textId="5718FA9F" w:rsidR="00737B12" w:rsidRDefault="00737B12">
      <w:pPr>
        <w:pStyle w:val="FootnoteText"/>
      </w:pPr>
    </w:p>
  </w:footnote>
  <w:footnote w:id="59">
    <w:p w14:paraId="7F785844" w14:textId="0C342900" w:rsidR="00737B12" w:rsidRDefault="00737B12">
      <w:pPr>
        <w:pStyle w:val="FootnoteText"/>
      </w:pPr>
      <w:r>
        <w:rPr>
          <w:rStyle w:val="FootnoteReference"/>
        </w:rPr>
        <w:footnoteRef/>
      </w:r>
      <w:r>
        <w:t xml:space="preserve"> Under the Regulations, a rooming house means a building where there is one or more rooms available for occupancy on payment of rent in which the total number of people who may occupy that room or those rooms is not less than 4. Regulation 3 of the Public Health and Wellbeing (Prescribed Accommodation) Regulations 2009. It would be possible for a premises to be declared a rooming house under the RTA where for example, less than 4 people occupied that room or those rooms.</w:t>
      </w:r>
    </w:p>
  </w:footnote>
  <w:footnote w:id="60">
    <w:p w14:paraId="122D7253" w14:textId="34C901E9" w:rsidR="00737B12" w:rsidRDefault="00737B12">
      <w:pPr>
        <w:pStyle w:val="FootnoteText"/>
      </w:pPr>
      <w:r>
        <w:rPr>
          <w:rStyle w:val="FootnoteReference"/>
        </w:rPr>
        <w:footnoteRef/>
      </w:r>
      <w:r>
        <w:t xml:space="preserve"> It is assumed the costs incurred by Councils in administering the system and monitoring, inspection and enforcement are passed onto businesses via cost recovery fees.</w:t>
      </w:r>
    </w:p>
  </w:footnote>
  <w:footnote w:id="61">
    <w:p w14:paraId="71B1D288" w14:textId="63D91D2A" w:rsidR="00737B12" w:rsidRPr="00F0077F" w:rsidRDefault="00737B12" w:rsidP="00FB48D2">
      <w:pPr>
        <w:pStyle w:val="FootnoteText"/>
        <w:rPr>
          <w:i/>
          <w:iCs/>
        </w:rPr>
      </w:pPr>
      <w:r>
        <w:rPr>
          <w:rStyle w:val="FootnoteReference"/>
        </w:rPr>
        <w:footnoteRef/>
      </w:r>
      <w:r>
        <w:t xml:space="preserve"> </w:t>
      </w:r>
      <w:r w:rsidRPr="009A0656">
        <w:rPr>
          <w:szCs w:val="16"/>
        </w:rPr>
        <w:t>R</w:t>
      </w:r>
      <w:r>
        <w:rPr>
          <w:szCs w:val="16"/>
        </w:rPr>
        <w:t>eserve Bank of Australia. (2020).</w:t>
      </w:r>
      <w:hyperlink r:id="rId32" w:history="1">
        <w:r w:rsidRPr="006E2786">
          <w:rPr>
            <w:rStyle w:val="Hyperlink"/>
            <w:color w:val="002060"/>
          </w:rPr>
          <w:t>Statement on Monetary Policy</w:t>
        </w:r>
        <w:r w:rsidRPr="006E2786">
          <w:rPr>
            <w:rStyle w:val="Hyperlink"/>
            <w:i/>
            <w:iCs/>
            <w:color w:val="002060"/>
            <w:szCs w:val="16"/>
          </w:rPr>
          <w:t>: August 2020</w:t>
        </w:r>
      </w:hyperlink>
      <w:r w:rsidRPr="00A6221D">
        <w:rPr>
          <w:i/>
          <w:iCs/>
          <w:szCs w:val="16"/>
        </w:rPr>
        <w:t>.</w:t>
      </w:r>
      <w:r>
        <w:rPr>
          <w:i/>
          <w:iCs/>
          <w:szCs w:val="16"/>
        </w:rPr>
        <w:t xml:space="preserve"> </w:t>
      </w:r>
      <w:r>
        <w:rPr>
          <w:szCs w:val="16"/>
        </w:rPr>
        <w:t>&lt;</w:t>
      </w:r>
      <w:r w:rsidRPr="0084179A">
        <w:rPr>
          <w:szCs w:val="16"/>
        </w:rPr>
        <w:t>https://www.rba.gov.au/publications/smp/2020/aug/</w:t>
      </w:r>
      <w:r>
        <w:rPr>
          <w:szCs w:val="16"/>
        </w:rPr>
        <w:t>&gt;</w:t>
      </w:r>
    </w:p>
  </w:footnote>
  <w:footnote w:id="62">
    <w:p w14:paraId="4DE69CB3" w14:textId="6659D700" w:rsidR="00737B12" w:rsidRPr="00F0077F" w:rsidRDefault="00737B12" w:rsidP="00FB48D2">
      <w:pPr>
        <w:pStyle w:val="FootnoteText"/>
        <w:rPr>
          <w:i/>
          <w:iCs/>
        </w:rPr>
      </w:pPr>
      <w:r>
        <w:rPr>
          <w:rStyle w:val="FootnoteReference"/>
        </w:rPr>
        <w:footnoteRef/>
      </w:r>
      <w:r>
        <w:t xml:space="preserve"> IBIS World. (2020). </w:t>
      </w:r>
      <w:hyperlink r:id="rId33" w:history="1">
        <w:r w:rsidRPr="006E2786">
          <w:rPr>
            <w:rStyle w:val="Hyperlink"/>
            <w:i/>
            <w:iCs/>
            <w:color w:val="002060"/>
          </w:rPr>
          <w:t>Hotels and Resorts in Australia H4401</w:t>
        </w:r>
      </w:hyperlink>
      <w:r>
        <w:rPr>
          <w:i/>
          <w:iCs/>
        </w:rPr>
        <w:t xml:space="preserve">. </w:t>
      </w:r>
      <w:r>
        <w:t>&lt;</w:t>
      </w:r>
      <w:r w:rsidRPr="0084179A">
        <w:t>https://www.ibisworld.com/au/industry/hotels-resorts/1811/</w:t>
      </w:r>
      <w:r>
        <w:t>&gt;</w:t>
      </w:r>
    </w:p>
  </w:footnote>
  <w:footnote w:id="63">
    <w:p w14:paraId="23164B15" w14:textId="77777777" w:rsidR="00737B12" w:rsidRPr="00F0077F" w:rsidRDefault="00737B12" w:rsidP="00FB48D2">
      <w:pPr>
        <w:pStyle w:val="FootnoteText"/>
        <w:rPr>
          <w:i/>
          <w:iCs/>
        </w:rPr>
      </w:pPr>
      <w:r>
        <w:rPr>
          <w:rStyle w:val="FootnoteReference"/>
        </w:rPr>
        <w:footnoteRef/>
      </w:r>
      <w:r>
        <w:t xml:space="preserve"> DHHS. (2020). </w:t>
      </w:r>
      <w:r w:rsidRPr="00F0077F">
        <w:rPr>
          <w:i/>
          <w:iCs/>
        </w:rPr>
        <w:t>PSP analysis of all Prescribed Accommodation Data.xls</w:t>
      </w:r>
    </w:p>
  </w:footnote>
  <w:footnote w:id="64">
    <w:p w14:paraId="294B261E" w14:textId="0604A7D5" w:rsidR="00737B12" w:rsidRDefault="00737B12" w:rsidP="00FB48D2">
      <w:pPr>
        <w:pStyle w:val="FootnoteText"/>
      </w:pPr>
      <w:r>
        <w:rPr>
          <w:rStyle w:val="FootnoteReference"/>
        </w:rPr>
        <w:footnoteRef/>
      </w:r>
      <w:r>
        <w:t xml:space="preserve"> Ibid.</w:t>
      </w:r>
    </w:p>
  </w:footnote>
  <w:footnote w:id="65">
    <w:p w14:paraId="43021D4C" w14:textId="77777777" w:rsidR="00737B12" w:rsidRDefault="00737B12" w:rsidP="00FB48D2">
      <w:pPr>
        <w:pStyle w:val="FootnoteText"/>
      </w:pPr>
      <w:r>
        <w:rPr>
          <w:rStyle w:val="FootnoteReference"/>
        </w:rPr>
        <w:footnoteRef/>
      </w:r>
      <w:r>
        <w:t xml:space="preserve"> Compounded annually.</w:t>
      </w:r>
    </w:p>
  </w:footnote>
  <w:footnote w:id="66">
    <w:p w14:paraId="432AC2A1" w14:textId="6FB934D1" w:rsidR="00737B12" w:rsidRPr="007D6220" w:rsidRDefault="00737B12" w:rsidP="00FB48D2">
      <w:pPr>
        <w:pStyle w:val="FootnoteText"/>
      </w:pPr>
      <w:r>
        <w:rPr>
          <w:rStyle w:val="FootnoteReference"/>
        </w:rPr>
        <w:footnoteRef/>
      </w:r>
      <w:r>
        <w:t xml:space="preserve"> Tourism Research Australia. (2019). </w:t>
      </w:r>
      <w:hyperlink r:id="rId34" w:history="1">
        <w:r w:rsidRPr="00313FEF">
          <w:rPr>
            <w:rStyle w:val="Hyperlink"/>
            <w:i/>
            <w:iCs/>
            <w:color w:val="002060"/>
          </w:rPr>
          <w:t>AUSTRALIAN ACCOMMODATION MONITOR</w:t>
        </w:r>
      </w:hyperlink>
      <w:r w:rsidRPr="00313FEF">
        <w:rPr>
          <w:rStyle w:val="Hyperlink"/>
          <w:i/>
          <w:iCs/>
          <w:color w:val="002060"/>
        </w:rPr>
        <w:t xml:space="preserve">.  </w:t>
      </w:r>
      <w:r w:rsidRPr="0084179A">
        <w:rPr>
          <w:rStyle w:val="Hyperlink"/>
          <w:color w:val="auto"/>
          <w:u w:val="none"/>
        </w:rPr>
        <w:t>&lt;</w:t>
      </w:r>
      <w:r w:rsidRPr="0084179A">
        <w:t>https://www.tra.gov.au/Economic-analysis/australian-accommodation-monitor</w:t>
      </w:r>
      <w:r w:rsidRPr="0084179A">
        <w:rPr>
          <w:rStyle w:val="Hyperlink"/>
          <w:color w:val="auto"/>
          <w:szCs w:val="16"/>
          <w:u w:val="none"/>
        </w:rPr>
        <w:t>&gt;</w:t>
      </w:r>
    </w:p>
  </w:footnote>
  <w:footnote w:id="67">
    <w:p w14:paraId="5A79620B" w14:textId="4C4C5323" w:rsidR="00737B12" w:rsidRPr="001D3EBF" w:rsidRDefault="00737B12" w:rsidP="00FB48D2">
      <w:pPr>
        <w:pStyle w:val="FootnoteText"/>
      </w:pPr>
      <w:r>
        <w:rPr>
          <w:rStyle w:val="FootnoteReference"/>
        </w:rPr>
        <w:footnoteRef/>
      </w:r>
      <w:r>
        <w:t xml:space="preserve"> Ibid.</w:t>
      </w:r>
    </w:p>
  </w:footnote>
  <w:footnote w:id="68">
    <w:p w14:paraId="7DB32BBD" w14:textId="6D27E6C4" w:rsidR="00737B12" w:rsidRPr="001D3EBF" w:rsidRDefault="00737B12" w:rsidP="00FB48D2">
      <w:pPr>
        <w:pStyle w:val="FootnoteText"/>
      </w:pPr>
      <w:r>
        <w:rPr>
          <w:rStyle w:val="FootnoteReference"/>
        </w:rPr>
        <w:footnoteRef/>
      </w:r>
      <w:r>
        <w:t xml:space="preserve"> Ibid.</w:t>
      </w:r>
    </w:p>
  </w:footnote>
  <w:footnote w:id="69">
    <w:p w14:paraId="5DA1F981" w14:textId="69B3294E" w:rsidR="00737B12" w:rsidRPr="002C2281" w:rsidRDefault="00737B12" w:rsidP="00FB48D2">
      <w:pPr>
        <w:pStyle w:val="FootnoteText"/>
      </w:pPr>
      <w:r>
        <w:rPr>
          <w:rStyle w:val="FootnoteReference"/>
        </w:rPr>
        <w:footnoteRef/>
      </w:r>
      <w:r>
        <w:t xml:space="preserve"> Chamberlain, C. (2012</w:t>
      </w:r>
      <w:r w:rsidRPr="00884195">
        <w:t xml:space="preserve">). </w:t>
      </w:r>
      <w:hyperlink r:id="rId35" w:history="1">
        <w:r w:rsidRPr="00F0077F">
          <w:rPr>
            <w:rStyle w:val="Hyperlink"/>
            <w:i/>
            <w:iCs/>
            <w:color w:val="auto"/>
          </w:rPr>
          <w:t>Counting Boarding Houses: Reflections on Homeless Research in Australia</w:t>
        </w:r>
      </w:hyperlink>
      <w:r w:rsidRPr="00F0077F">
        <w:rPr>
          <w:rStyle w:val="Hyperlink"/>
          <w:i/>
          <w:iCs/>
          <w:color w:val="auto"/>
        </w:rPr>
        <w:t>.</w:t>
      </w:r>
      <w:r>
        <w:rPr>
          <w:rStyle w:val="Hyperlink"/>
          <w:i/>
          <w:iCs/>
          <w:color w:val="auto"/>
        </w:rPr>
        <w:t xml:space="preserve"> </w:t>
      </w:r>
      <w:r w:rsidRPr="0084179A">
        <w:rPr>
          <w:rStyle w:val="Hyperlink"/>
          <w:color w:val="auto"/>
          <w:szCs w:val="16"/>
          <w:u w:val="none"/>
        </w:rPr>
        <w:t>&lt;</w:t>
      </w:r>
      <w:r w:rsidRPr="0084179A">
        <w:t>http://www.nwhn.net.au/admin/file/content2/c7/Counting%20Boarding%20Houses%20-%20%20Chris%20Chamberlain%202012.pdf</w:t>
      </w:r>
      <w:r>
        <w:rPr>
          <w:szCs w:val="16"/>
        </w:rPr>
        <w:t>&gt;</w:t>
      </w:r>
    </w:p>
  </w:footnote>
  <w:footnote w:id="70">
    <w:p w14:paraId="2320FB7E" w14:textId="77777777" w:rsidR="00737B12" w:rsidRPr="00313FEF" w:rsidRDefault="00737B12" w:rsidP="00FB48D2">
      <w:pPr>
        <w:pStyle w:val="FootnoteText"/>
        <w:rPr>
          <w:rStyle w:val="Hyperlink"/>
          <w:i/>
          <w:color w:val="002060"/>
        </w:rPr>
      </w:pPr>
      <w:r w:rsidRPr="00884195">
        <w:rPr>
          <w:rStyle w:val="FootnoteReference"/>
        </w:rPr>
        <w:footnoteRef/>
      </w:r>
      <w:r w:rsidRPr="00884195">
        <w:t xml:space="preserve"> Fair Work Commission. (2019).</w:t>
      </w:r>
      <w:r w:rsidRPr="0084179A">
        <w:rPr>
          <w:color w:val="62B5E5" w:themeColor="accent3"/>
        </w:rPr>
        <w:t xml:space="preserve"> </w:t>
      </w:r>
      <w:r w:rsidRPr="00313FEF">
        <w:rPr>
          <w:i/>
          <w:color w:val="002060"/>
        </w:rPr>
        <w:fldChar w:fldCharType="begin"/>
      </w:r>
      <w:r w:rsidRPr="00313FEF">
        <w:rPr>
          <w:i/>
          <w:color w:val="002060"/>
        </w:rPr>
        <w:instrText xml:space="preserve"> HYPERLINK "https://www.fwc.gov.au/documents/documents/agreements/fwa/ae503309.pdf" </w:instrText>
      </w:r>
      <w:r w:rsidRPr="00313FEF">
        <w:rPr>
          <w:i/>
          <w:color w:val="002060"/>
        </w:rPr>
        <w:fldChar w:fldCharType="separate"/>
      </w:r>
      <w:r w:rsidRPr="00313FEF">
        <w:rPr>
          <w:rStyle w:val="Hyperlink"/>
          <w:i/>
          <w:color w:val="002060"/>
        </w:rPr>
        <w:t>BASS COAST SHIRE COUNCIL ENTERPRISE BARGAINING</w:t>
      </w:r>
    </w:p>
    <w:p w14:paraId="435CCEF7" w14:textId="69561285" w:rsidR="00737B12" w:rsidRPr="0084179A" w:rsidRDefault="00737B12" w:rsidP="00FB48D2">
      <w:pPr>
        <w:pStyle w:val="FootnoteText"/>
      </w:pPr>
      <w:r w:rsidRPr="00313FEF">
        <w:rPr>
          <w:rStyle w:val="Hyperlink"/>
          <w:i/>
          <w:color w:val="002060"/>
        </w:rPr>
        <w:t>AGREEMENT 2019</w:t>
      </w:r>
      <w:r w:rsidRPr="00313FEF">
        <w:rPr>
          <w:i/>
          <w:color w:val="002060"/>
        </w:rPr>
        <w:fldChar w:fldCharType="end"/>
      </w:r>
      <w:r w:rsidRPr="00884195">
        <w:rPr>
          <w:i/>
          <w:iCs/>
        </w:rPr>
        <w:t>.</w:t>
      </w:r>
      <w:r w:rsidRPr="00EC4D5D">
        <w:t xml:space="preserve"> </w:t>
      </w:r>
      <w:r>
        <w:t>&lt;</w:t>
      </w:r>
      <w:r w:rsidRPr="0084179A">
        <w:t>https://www.fwc.gov.au/documents/documents/agreements/fwa/ae503309.pdf</w:t>
      </w:r>
      <w:r>
        <w:t>&gt;</w:t>
      </w:r>
    </w:p>
    <w:p w14:paraId="5A7CAA6D" w14:textId="3369AB1B" w:rsidR="00737B12" w:rsidRPr="0084179A" w:rsidRDefault="00737B12" w:rsidP="00FB48D2">
      <w:pPr>
        <w:pStyle w:val="FootnoteText"/>
      </w:pPr>
      <w:r w:rsidRPr="00884195">
        <w:t xml:space="preserve">Fair Work Commission. (2019). </w:t>
      </w:r>
      <w:hyperlink r:id="rId36" w:history="1">
        <w:r w:rsidRPr="00F0077F">
          <w:rPr>
            <w:rStyle w:val="Hyperlink"/>
            <w:i/>
            <w:iCs/>
            <w:color w:val="auto"/>
          </w:rPr>
          <w:t>WHITEHORSE CITY COUNCIL COLLECTIVE AGREEMENT 2019</w:t>
        </w:r>
      </w:hyperlink>
      <w:r w:rsidRPr="00F0077F">
        <w:rPr>
          <w:rStyle w:val="Hyperlink"/>
          <w:i/>
          <w:iCs/>
          <w:color w:val="auto"/>
        </w:rPr>
        <w:t>.</w:t>
      </w:r>
      <w:r>
        <w:rPr>
          <w:rStyle w:val="Hyperlink"/>
          <w:i/>
          <w:iCs/>
          <w:color w:val="auto"/>
        </w:rPr>
        <w:t xml:space="preserve"> </w:t>
      </w:r>
      <w:r>
        <w:rPr>
          <w:rStyle w:val="Hyperlink"/>
          <w:color w:val="auto"/>
        </w:rPr>
        <w:t>&lt;</w:t>
      </w:r>
      <w:r w:rsidRPr="0084179A">
        <w:rPr>
          <w:rStyle w:val="Hyperlink"/>
          <w:color w:val="auto"/>
          <w:u w:val="none"/>
        </w:rPr>
        <w:t>https://www.fwc.gov.au/documents/documents/agreements/fwa/ae504856.pdf</w:t>
      </w:r>
      <w:r>
        <w:rPr>
          <w:rStyle w:val="Hyperlink"/>
          <w:color w:val="auto"/>
          <w:u w:val="none"/>
        </w:rPr>
        <w:t>&gt;</w:t>
      </w:r>
    </w:p>
    <w:p w14:paraId="7BA3097C" w14:textId="67E34237" w:rsidR="00737B12" w:rsidRPr="00884195" w:rsidRDefault="00737B12" w:rsidP="00FB48D2">
      <w:pPr>
        <w:pStyle w:val="FootnoteText"/>
      </w:pPr>
      <w:r w:rsidRPr="00884195">
        <w:t xml:space="preserve">Fair Work Commission. (2019). </w:t>
      </w:r>
      <w:hyperlink r:id="rId37" w:history="1">
        <w:r w:rsidRPr="00F0077F">
          <w:rPr>
            <w:rStyle w:val="Hyperlink"/>
            <w:i/>
            <w:iCs/>
            <w:color w:val="auto"/>
          </w:rPr>
          <w:t>MONASH CITY COUNCIL ENTERPRISE AGREEMENT NO. 9, 2019</w:t>
        </w:r>
      </w:hyperlink>
      <w:r w:rsidRPr="00F0077F">
        <w:rPr>
          <w:rStyle w:val="Hyperlink"/>
          <w:i/>
          <w:iCs/>
          <w:color w:val="auto"/>
        </w:rPr>
        <w:t>.</w:t>
      </w:r>
      <w:r w:rsidRPr="00884195">
        <w:t xml:space="preserve"> </w:t>
      </w:r>
      <w:r>
        <w:t>&lt;</w:t>
      </w:r>
      <w:r w:rsidRPr="0084179A">
        <w:t>https://www.fwc.gov.au/documents/documents/agreements/fwa/ae506266.pdf</w:t>
      </w:r>
      <w:r w:rsidRPr="0084179A">
        <w:rPr>
          <w:rStyle w:val="Hyperlink"/>
          <w:color w:val="auto"/>
          <w:szCs w:val="16"/>
          <w:u w:val="none"/>
        </w:rPr>
        <w:t>&gt;</w:t>
      </w:r>
    </w:p>
  </w:footnote>
  <w:footnote w:id="71">
    <w:p w14:paraId="38AFDDD9" w14:textId="2ECCCD1D" w:rsidR="00737B12" w:rsidRPr="00884195" w:rsidRDefault="00737B12" w:rsidP="00FB48D2">
      <w:pPr>
        <w:pStyle w:val="FootnoteText"/>
      </w:pPr>
      <w:r w:rsidRPr="00884195">
        <w:rPr>
          <w:rStyle w:val="FootnoteReference"/>
        </w:rPr>
        <w:footnoteRef/>
      </w:r>
      <w:r w:rsidRPr="00884195">
        <w:t xml:space="preserve"> Based on DTF’s guide to assessing costs</w:t>
      </w:r>
      <w:r>
        <w:t>.</w:t>
      </w:r>
    </w:p>
  </w:footnote>
  <w:footnote w:id="72">
    <w:p w14:paraId="6EB2D09D" w14:textId="77777777" w:rsidR="00737B12" w:rsidRPr="00884195" w:rsidRDefault="00737B12" w:rsidP="00C95E1C">
      <w:pPr>
        <w:pStyle w:val="FootnoteText"/>
      </w:pPr>
      <w:r w:rsidRPr="00884195">
        <w:rPr>
          <w:rStyle w:val="FootnoteReference"/>
        </w:rPr>
        <w:footnoteRef/>
      </w:r>
      <w:r w:rsidRPr="00884195">
        <w:t xml:space="preserve"> Average wage in 2018$ was $33.66 per hour (</w:t>
      </w:r>
      <w:hyperlink r:id="rId38" w:history="1">
        <w:r w:rsidRPr="008B30F9">
          <w:rPr>
            <w:rStyle w:val="Hyperlink"/>
            <w:color w:val="auto"/>
          </w:rPr>
          <w:t>ABS,2018</w:t>
        </w:r>
      </w:hyperlink>
      <w:r w:rsidRPr="00884195">
        <w:t>).</w:t>
      </w:r>
      <w:r w:rsidRPr="008B30F9">
        <w:rPr>
          <w:rStyle w:val="Hyperlink"/>
          <w:color w:val="auto"/>
        </w:rPr>
        <w:t>.</w:t>
      </w:r>
    </w:p>
  </w:footnote>
  <w:footnote w:id="73">
    <w:p w14:paraId="5CFA0088" w14:textId="2525618B" w:rsidR="00737B12" w:rsidRPr="00884195" w:rsidRDefault="00737B12" w:rsidP="00C95E1C">
      <w:pPr>
        <w:pStyle w:val="FootnoteText"/>
      </w:pPr>
      <w:r w:rsidRPr="00884195">
        <w:rPr>
          <w:rStyle w:val="FootnoteReference"/>
        </w:rPr>
        <w:footnoteRef/>
      </w:r>
      <w:r w:rsidRPr="00884195">
        <w:t xml:space="preserve"> Using the Victorian Wage Price Index (</w:t>
      </w:r>
      <w:hyperlink r:id="rId39" w:history="1">
        <w:r w:rsidRPr="008B30F9">
          <w:rPr>
            <w:rStyle w:val="Hyperlink"/>
            <w:color w:val="auto"/>
          </w:rPr>
          <w:t>Department of Treasury and Finance Victoria, 2019</w:t>
        </w:r>
      </w:hyperlink>
      <w:r w:rsidRPr="00884195">
        <w:t xml:space="preserve">) </w:t>
      </w:r>
      <w:r w:rsidRPr="0084179A">
        <w:rPr>
          <w:rStyle w:val="Hyperlink"/>
          <w:color w:val="auto"/>
          <w:szCs w:val="16"/>
          <w:u w:val="none"/>
        </w:rPr>
        <w:t>&lt;</w:t>
      </w:r>
      <w:r w:rsidRPr="0084179A">
        <w:t>https://www.dtf.vic.gov.au/state-financial-data-sets/macroeconomic-indicators</w:t>
      </w:r>
      <w:r>
        <w:rPr>
          <w:szCs w:val="16"/>
        </w:rPr>
        <w:t>&gt;</w:t>
      </w:r>
    </w:p>
  </w:footnote>
  <w:footnote w:id="74">
    <w:p w14:paraId="4DDE94CA" w14:textId="77777777" w:rsidR="00737B12" w:rsidRDefault="00737B12" w:rsidP="00FB48D2">
      <w:pPr>
        <w:pStyle w:val="FootnoteText"/>
      </w:pPr>
      <w:r>
        <w:rPr>
          <w:rStyle w:val="FootnoteReference"/>
        </w:rPr>
        <w:footnoteRef/>
      </w:r>
      <w:r>
        <w:t xml:space="preserve"> DHHS. (2019). </w:t>
      </w:r>
      <w:r w:rsidRPr="00F0077F">
        <w:rPr>
          <w:i/>
          <w:iCs/>
        </w:rPr>
        <w:t>Public Health and Wellbeing Regulations Sunset Review – Survey of Environmental Health Officers.</w:t>
      </w:r>
    </w:p>
  </w:footnote>
  <w:footnote w:id="75">
    <w:p w14:paraId="62F532B8" w14:textId="7B608122" w:rsidR="00737B12" w:rsidRDefault="00737B12">
      <w:pPr>
        <w:pStyle w:val="FootnoteText"/>
      </w:pPr>
      <w:r>
        <w:rPr>
          <w:rStyle w:val="FootnoteReference"/>
        </w:rPr>
        <w:footnoteRef/>
      </w:r>
      <w:r>
        <w:t xml:space="preserve"> Noting the extrapolation may not capture differences across Councils and also possible bias in reporting e.g. the Councils that responded to the survey might have a stronger enforcement approach than other Councils and there will also be differences in the characteristics of prescribed accommodation facilities across different Councils. </w:t>
      </w:r>
    </w:p>
  </w:footnote>
  <w:footnote w:id="76">
    <w:p w14:paraId="6EFEE3BE" w14:textId="4046E179" w:rsidR="00737B12" w:rsidRDefault="00737B12" w:rsidP="00FB48D2">
      <w:pPr>
        <w:pStyle w:val="FootnoteText"/>
      </w:pPr>
      <w:r>
        <w:rPr>
          <w:rStyle w:val="FootnoteReference"/>
        </w:rPr>
        <w:footnoteRef/>
      </w:r>
      <w:r>
        <w:t xml:space="preserve"> Regulation 16 of the </w:t>
      </w:r>
      <w:r>
        <w:rPr>
          <w:rStyle w:val="CommentReference"/>
        </w:rPr>
        <w:t>Public Health and  Wellbeing (Prescribed Accommodation) Regulations 2009.</w:t>
      </w:r>
    </w:p>
  </w:footnote>
  <w:footnote w:id="77">
    <w:p w14:paraId="4373F279" w14:textId="67484440" w:rsidR="00737B12" w:rsidRDefault="00737B12" w:rsidP="00FB48D2">
      <w:pPr>
        <w:pStyle w:val="FootnoteText"/>
      </w:pPr>
      <w:r>
        <w:rPr>
          <w:rStyle w:val="FootnoteReference"/>
        </w:rPr>
        <w:footnoteRef/>
      </w:r>
      <w:r>
        <w:t xml:space="preserve"> </w:t>
      </w:r>
      <w:r w:rsidRPr="00F46991">
        <w:t>Jaguar Consulting</w:t>
      </w:r>
      <w:r>
        <w:t xml:space="preserve">. (2009). </w:t>
      </w:r>
      <w:r w:rsidRPr="00F0077F">
        <w:rPr>
          <w:i/>
          <w:iCs/>
        </w:rPr>
        <w:t>Regulatory Impact Statement Public Health and Wellbeing Regulations</w:t>
      </w:r>
      <w:r>
        <w:rPr>
          <w:i/>
          <w:iCs/>
        </w:rPr>
        <w:t>.</w:t>
      </w:r>
    </w:p>
  </w:footnote>
  <w:footnote w:id="78">
    <w:p w14:paraId="5229EEF0" w14:textId="3A13348A" w:rsidR="00737B12" w:rsidRDefault="00737B12" w:rsidP="00FB48D2">
      <w:pPr>
        <w:pStyle w:val="FootnoteText"/>
      </w:pPr>
      <w:r>
        <w:rPr>
          <w:rStyle w:val="FootnoteReference"/>
        </w:rPr>
        <w:footnoteRef/>
      </w:r>
      <w:r>
        <w:t xml:space="preserve"> Each Council charges fees for registration and renewal applications. Fees are individually set by each Council. Fees aim to cost recover Council resources consumed to monitor and enforce the Regulations, however since Council resources have been costed in this analysis, Council fees are excluded to avoid double counting. The assumption is that Council fees are equal to Council costs.</w:t>
      </w:r>
    </w:p>
  </w:footnote>
  <w:footnote w:id="79">
    <w:p w14:paraId="6464ED79" w14:textId="5A6F2862" w:rsidR="00737B12" w:rsidRPr="00F0077F" w:rsidRDefault="00737B12" w:rsidP="00832D37">
      <w:pPr>
        <w:pStyle w:val="FootnoteText"/>
        <w:rPr>
          <w:i/>
          <w:iCs/>
        </w:rPr>
      </w:pPr>
      <w:r>
        <w:rPr>
          <w:rStyle w:val="FootnoteReference"/>
        </w:rPr>
        <w:footnoteRef/>
      </w:r>
      <w:r>
        <w:t xml:space="preserve"> DHHS. (2019). </w:t>
      </w:r>
      <w:r w:rsidRPr="00F0077F">
        <w:rPr>
          <w:i/>
          <w:iCs/>
        </w:rPr>
        <w:t>Public Health and Wellbeing Regulations Sunset Review – Survey of Environmental Health Officers</w:t>
      </w:r>
      <w:r>
        <w:rPr>
          <w:i/>
          <w:iCs/>
        </w:rPr>
        <w:t>.</w:t>
      </w:r>
    </w:p>
  </w:footnote>
  <w:footnote w:id="80">
    <w:p w14:paraId="0EF72EA6" w14:textId="2CB02944" w:rsidR="00737B12" w:rsidRPr="00F0077F" w:rsidRDefault="00737B12" w:rsidP="00832D37">
      <w:pPr>
        <w:pStyle w:val="FootnoteText"/>
        <w:rPr>
          <w:i/>
          <w:iCs/>
        </w:rPr>
      </w:pPr>
      <w:r>
        <w:rPr>
          <w:rStyle w:val="FootnoteReference"/>
        </w:rPr>
        <w:footnoteRef/>
      </w:r>
      <w:r>
        <w:t xml:space="preserve"> Ibid.</w:t>
      </w:r>
    </w:p>
  </w:footnote>
  <w:footnote w:id="81">
    <w:p w14:paraId="2DC04501" w14:textId="6422E36B" w:rsidR="00737B12" w:rsidRDefault="00737B12" w:rsidP="00FB48D2">
      <w:pPr>
        <w:pStyle w:val="FootnoteText"/>
      </w:pPr>
      <w:r>
        <w:rPr>
          <w:rStyle w:val="FootnoteReference"/>
        </w:rPr>
        <w:footnoteRef/>
      </w:r>
      <w:r>
        <w:t xml:space="preserve"> Regulation 26 &amp; Regulation 34 of the </w:t>
      </w:r>
      <w:r>
        <w:rPr>
          <w:rFonts w:eastAsia="Times New Roman"/>
        </w:rPr>
        <w:t>Public Health and Wellbeing (Prescribed Accommodation) Regulations 2009</w:t>
      </w:r>
    </w:p>
  </w:footnote>
  <w:footnote w:id="82">
    <w:p w14:paraId="44240CB5" w14:textId="78BDDA1E" w:rsidR="00737B12" w:rsidRDefault="00737B12" w:rsidP="00FB48D2">
      <w:pPr>
        <w:pStyle w:val="FootnoteText"/>
      </w:pPr>
      <w:r>
        <w:rPr>
          <w:rStyle w:val="FootnoteReference"/>
        </w:rPr>
        <w:footnoteRef/>
      </w:r>
      <w:r>
        <w:t xml:space="preserve"> </w:t>
      </w:r>
      <w:r w:rsidRPr="00F46991">
        <w:t>Jaguar Consulting</w:t>
      </w:r>
      <w:r>
        <w:t xml:space="preserve">. (2009). </w:t>
      </w:r>
      <w:r w:rsidRPr="00F0077F">
        <w:rPr>
          <w:i/>
          <w:iCs/>
        </w:rPr>
        <w:t>Regulatory Impact Statement Public Health and Wellbeing Regulations.</w:t>
      </w:r>
    </w:p>
  </w:footnote>
  <w:footnote w:id="83">
    <w:p w14:paraId="36085153" w14:textId="3AF6021A" w:rsidR="00737B12" w:rsidRDefault="00737B12" w:rsidP="00FB48D2">
      <w:pPr>
        <w:pStyle w:val="FootnoteText"/>
      </w:pPr>
      <w:r>
        <w:rPr>
          <w:rStyle w:val="FootnoteReference"/>
        </w:rPr>
        <w:footnoteRef/>
      </w:r>
      <w:r>
        <w:t xml:space="preserve"> Regulation 17 of the </w:t>
      </w:r>
      <w:r>
        <w:rPr>
          <w:rFonts w:eastAsia="Times New Roman"/>
        </w:rPr>
        <w:t>Public Health and Wellbeing (Prescribed Accommodation) Regulations 2009</w:t>
      </w:r>
      <w:r w:rsidDel="00BA052D">
        <w:rPr>
          <w:rFonts w:eastAsia="Times New Roman"/>
        </w:rPr>
        <w:t>.</w:t>
      </w:r>
    </w:p>
  </w:footnote>
  <w:footnote w:id="84">
    <w:p w14:paraId="115DC4D4" w14:textId="65015D1A" w:rsidR="00737B12" w:rsidRDefault="00737B12">
      <w:pPr>
        <w:pStyle w:val="FootnoteText"/>
      </w:pPr>
    </w:p>
  </w:footnote>
  <w:footnote w:id="85">
    <w:p w14:paraId="7824A142" w14:textId="602F11D9" w:rsidR="00737B12" w:rsidRPr="00E5150E" w:rsidRDefault="00737B12" w:rsidP="00FB48D2">
      <w:pPr>
        <w:pStyle w:val="FootnoteText"/>
      </w:pPr>
      <w:r>
        <w:rPr>
          <w:rStyle w:val="FootnoteReference"/>
        </w:rPr>
        <w:footnoteRef/>
      </w:r>
      <w:r>
        <w:t xml:space="preserve"> ABS. (2016a). </w:t>
      </w:r>
      <w:hyperlink r:id="rId40" w:history="1">
        <w:r w:rsidRPr="000A704B">
          <w:rPr>
            <w:rStyle w:val="Hyperlink"/>
            <w:i/>
            <w:iCs/>
            <w:color w:val="002060"/>
          </w:rPr>
          <w:t>ABS catalogue 2049.0 Census of Population and Housing: Estimating homelessness, 2016</w:t>
        </w:r>
      </w:hyperlink>
      <w:r w:rsidRPr="000A704B">
        <w:rPr>
          <w:rStyle w:val="Hyperlink"/>
          <w:i/>
          <w:iCs/>
          <w:color w:val="002060"/>
        </w:rPr>
        <w:t xml:space="preserve">. </w:t>
      </w:r>
      <w:r w:rsidRPr="0084179A">
        <w:rPr>
          <w:rStyle w:val="Hyperlink"/>
          <w:color w:val="auto"/>
          <w:szCs w:val="16"/>
          <w:u w:val="none"/>
        </w:rPr>
        <w:t>&lt;</w:t>
      </w:r>
      <w:r w:rsidRPr="0084179A">
        <w:t>https://www.abs.gov.au/AUSSTATS/abs@.nsf/DetailsPage/2049.02016?OpenDocument</w:t>
      </w:r>
      <w:r>
        <w:rPr>
          <w:szCs w:val="16"/>
        </w:rPr>
        <w:t>&gt;</w:t>
      </w:r>
    </w:p>
  </w:footnote>
  <w:footnote w:id="86">
    <w:p w14:paraId="304B6573" w14:textId="77777777" w:rsidR="00737B12" w:rsidRDefault="00737B12" w:rsidP="00FB48D2">
      <w:pPr>
        <w:pStyle w:val="FootnoteText"/>
      </w:pPr>
      <w:r>
        <w:rPr>
          <w:rStyle w:val="FootnoteReference"/>
        </w:rPr>
        <w:footnoteRef/>
      </w:r>
      <w:r>
        <w:t xml:space="preserve"> Regulation 25 of the Regulations.</w:t>
      </w:r>
    </w:p>
  </w:footnote>
  <w:footnote w:id="87">
    <w:p w14:paraId="577FCC03" w14:textId="6687BCED" w:rsidR="00737B12" w:rsidRDefault="00737B12" w:rsidP="00FB48D2">
      <w:pPr>
        <w:pStyle w:val="FootnoteText"/>
      </w:pPr>
      <w:r>
        <w:rPr>
          <w:rStyle w:val="FootnoteReference"/>
        </w:rPr>
        <w:footnoteRef/>
      </w:r>
      <w:r>
        <w:t xml:space="preserve"> Home design directory. (2017). </w:t>
      </w:r>
      <w:hyperlink r:id="rId41" w:history="1">
        <w:r w:rsidRPr="000A704B">
          <w:rPr>
            <w:rStyle w:val="Hyperlink"/>
            <w:i/>
            <w:iCs/>
            <w:color w:val="002060"/>
          </w:rPr>
          <w:t>Bathroom cost calculator</w:t>
        </w:r>
      </w:hyperlink>
      <w:r w:rsidRPr="000A704B">
        <w:rPr>
          <w:rStyle w:val="Hyperlink"/>
          <w:i/>
          <w:iCs/>
          <w:color w:val="002060"/>
        </w:rPr>
        <w:t>.</w:t>
      </w:r>
      <w:r>
        <w:rPr>
          <w:rStyle w:val="Hyperlink"/>
          <w:i/>
          <w:iCs/>
        </w:rPr>
        <w:t xml:space="preserve"> </w:t>
      </w:r>
      <w:r w:rsidRPr="0084179A">
        <w:rPr>
          <w:rStyle w:val="Hyperlink"/>
          <w:color w:val="auto"/>
          <w:szCs w:val="16"/>
          <w:u w:val="none"/>
        </w:rPr>
        <w:t>&lt;</w:t>
      </w:r>
      <w:r w:rsidRPr="0084179A">
        <w:t>https://www.homedesigndirectory.com.au/calculators/bathroom-cost-estimates.php</w:t>
      </w:r>
      <w:r>
        <w:rPr>
          <w:szCs w:val="16"/>
        </w:rPr>
        <w:t>&gt;</w:t>
      </w:r>
    </w:p>
  </w:footnote>
  <w:footnote w:id="88">
    <w:p w14:paraId="5CC263C2" w14:textId="080531B2" w:rsidR="00737B12" w:rsidRDefault="00737B12" w:rsidP="00FB48D2">
      <w:pPr>
        <w:pStyle w:val="FootnoteText"/>
      </w:pPr>
      <w:r>
        <w:rPr>
          <w:rStyle w:val="FootnoteReference"/>
        </w:rPr>
        <w:footnoteRef/>
      </w:r>
      <w:r>
        <w:t xml:space="preserve"> Regulation 18 and 19 of the </w:t>
      </w:r>
      <w:r>
        <w:rPr>
          <w:rFonts w:eastAsia="Times New Roman"/>
        </w:rPr>
        <w:t>Public Health and Wellbeing (Prescribed Accommodation) Regulations 2009</w:t>
      </w:r>
      <w:r w:rsidRPr="0084179A">
        <w:rPr>
          <w:rStyle w:val="Hyperlink"/>
          <w:color w:val="auto"/>
          <w:u w:val="none"/>
        </w:rPr>
        <w:t>.</w:t>
      </w:r>
    </w:p>
  </w:footnote>
  <w:footnote w:id="89">
    <w:p w14:paraId="2879ED0F" w14:textId="165D80AE" w:rsidR="00737B12" w:rsidRPr="0084179A" w:rsidRDefault="00737B12" w:rsidP="00FB48D2">
      <w:pPr>
        <w:pStyle w:val="FootnoteText"/>
      </w:pPr>
      <w:r>
        <w:rPr>
          <w:rStyle w:val="FootnoteReference"/>
        </w:rPr>
        <w:footnoteRef/>
      </w:r>
      <w:r>
        <w:t xml:space="preserve"> Department of Health and Human Services. (2011). </w:t>
      </w:r>
      <w:hyperlink r:id="rId42" w:history="1">
        <w:r w:rsidRPr="000A704B">
          <w:rPr>
            <w:rStyle w:val="Hyperlink"/>
            <w:i/>
            <w:iCs/>
            <w:color w:val="002060"/>
          </w:rPr>
          <w:t>Proposed Residential Tenancies (Rooming House Standards) Regulations Regulatory Impact Statement.</w:t>
        </w:r>
      </w:hyperlink>
      <w:r>
        <w:rPr>
          <w:rStyle w:val="Hyperlink"/>
          <w:i/>
          <w:iCs/>
        </w:rPr>
        <w:t xml:space="preserve"> </w:t>
      </w:r>
      <w:r w:rsidRPr="0084179A">
        <w:rPr>
          <w:rStyle w:val="Hyperlink"/>
          <w:color w:val="auto"/>
          <w:szCs w:val="16"/>
          <w:u w:val="none"/>
        </w:rPr>
        <w:t>&lt;</w:t>
      </w:r>
      <w:r w:rsidRPr="0084179A">
        <w:t>https://www.vic.gov.au/sites/default/files/2019-11/Residential-tenancies-Rooming-house-standards-Regulations-2011-RIS.pdf</w:t>
      </w:r>
      <w:r>
        <w:rPr>
          <w:szCs w:val="16"/>
        </w:rPr>
        <w:t>&gt;</w:t>
      </w:r>
    </w:p>
  </w:footnote>
  <w:footnote w:id="90">
    <w:p w14:paraId="68881B48" w14:textId="39A8426A" w:rsidR="00737B12" w:rsidRPr="00F0077F" w:rsidRDefault="00737B12" w:rsidP="00FB48D2">
      <w:pPr>
        <w:pStyle w:val="FootnoteText"/>
        <w:rPr>
          <w:i/>
          <w:iCs/>
        </w:rPr>
      </w:pPr>
      <w:r>
        <w:rPr>
          <w:rStyle w:val="FootnoteReference"/>
        </w:rPr>
        <w:footnoteRef/>
      </w:r>
      <w:r>
        <w:t xml:space="preserve"> Department of Treasury and Finance Victoria. (2019). </w:t>
      </w:r>
      <w:hyperlink r:id="rId43" w:history="1">
        <w:r w:rsidRPr="000A704B">
          <w:rPr>
            <w:rStyle w:val="Hyperlink"/>
            <w:i/>
            <w:iCs/>
            <w:color w:val="002060"/>
          </w:rPr>
          <w:t>Macroeconomic data 2019-20 Budget Update</w:t>
        </w:r>
      </w:hyperlink>
      <w:r w:rsidRPr="000A704B">
        <w:rPr>
          <w:rStyle w:val="Hyperlink"/>
          <w:i/>
          <w:iCs/>
          <w:color w:val="002060"/>
        </w:rPr>
        <w:t xml:space="preserve">. </w:t>
      </w:r>
      <w:r w:rsidRPr="006D5280">
        <w:rPr>
          <w:rStyle w:val="Hyperlink"/>
          <w:color w:val="auto"/>
          <w:szCs w:val="16"/>
          <w:u w:val="none"/>
        </w:rPr>
        <w:t>&lt;</w:t>
      </w:r>
      <w:r w:rsidRPr="006D5280">
        <w:rPr>
          <w:szCs w:val="16"/>
        </w:rPr>
        <w:t>https://www.dtf.vic.gov.au/state-financial-data-sets/macroeconomic-indicators</w:t>
      </w:r>
      <w:r>
        <w:rPr>
          <w:szCs w:val="16"/>
        </w:rPr>
        <w:t>&gt;</w:t>
      </w:r>
    </w:p>
  </w:footnote>
  <w:footnote w:id="91">
    <w:p w14:paraId="488B9A42" w14:textId="3689E7E8" w:rsidR="00737B12" w:rsidRPr="00C86F9A" w:rsidRDefault="00737B12" w:rsidP="00FB48D2">
      <w:pPr>
        <w:pStyle w:val="FootnoteText"/>
      </w:pPr>
      <w:r>
        <w:rPr>
          <w:rStyle w:val="FootnoteReference"/>
        </w:rPr>
        <w:footnoteRef/>
      </w:r>
      <w:r>
        <w:t xml:space="preserve"> Chan, K. (2007). </w:t>
      </w:r>
      <w:hyperlink r:id="rId44" w:history="1">
        <w:r w:rsidRPr="000A704B">
          <w:rPr>
            <w:rStyle w:val="Hyperlink"/>
            <w:color w:val="002060"/>
          </w:rPr>
          <w:t>An empirical study of maintenance costs for hotels in Hong Kong</w:t>
        </w:r>
      </w:hyperlink>
      <w:r w:rsidRPr="000A704B">
        <w:rPr>
          <w:rStyle w:val="Hyperlink"/>
          <w:color w:val="002060"/>
        </w:rPr>
        <w:t xml:space="preserve">. </w:t>
      </w:r>
      <w:r w:rsidRPr="0084179A">
        <w:rPr>
          <w:rStyle w:val="Hyperlink"/>
          <w:color w:val="auto"/>
          <w:szCs w:val="16"/>
          <w:u w:val="none"/>
        </w:rPr>
        <w:t>&lt;</w:t>
      </w:r>
      <w:r w:rsidRPr="0084179A">
        <w:t>https://link.springer.com/content/pdf/10.1057/palgrave.rlp.5100081.pdf</w:t>
      </w:r>
      <w:r>
        <w:rPr>
          <w:szCs w:val="16"/>
        </w:rPr>
        <w:t>&gt;</w:t>
      </w:r>
    </w:p>
  </w:footnote>
  <w:footnote w:id="92">
    <w:p w14:paraId="2EA9AE8B" w14:textId="0E20E125" w:rsidR="00737B12" w:rsidRDefault="00737B12" w:rsidP="00FB48D2">
      <w:pPr>
        <w:pStyle w:val="FootnoteText"/>
      </w:pPr>
      <w:r>
        <w:rPr>
          <w:rStyle w:val="FootnoteReference"/>
        </w:rPr>
        <w:footnoteRef/>
      </w:r>
      <w:r>
        <w:t xml:space="preserve"> Regulation 20(1) and 20(2) of the </w:t>
      </w:r>
      <w:r>
        <w:rPr>
          <w:rFonts w:eastAsia="Times New Roman"/>
        </w:rPr>
        <w:t>Public Health and Wellbeing (Prescribed Accommodation) Regulations 2009</w:t>
      </w:r>
      <w:r w:rsidRPr="000A704B">
        <w:rPr>
          <w:rStyle w:val="Hyperlink"/>
          <w:color w:val="002060"/>
        </w:rPr>
        <w:t>.</w:t>
      </w:r>
    </w:p>
  </w:footnote>
  <w:footnote w:id="93">
    <w:p w14:paraId="3E99D8CC" w14:textId="1E69F5A0" w:rsidR="00737B12" w:rsidRPr="00597DA8" w:rsidRDefault="00737B12" w:rsidP="00FB48D2">
      <w:pPr>
        <w:pStyle w:val="FootnoteText"/>
      </w:pPr>
      <w:r>
        <w:rPr>
          <w:rStyle w:val="FootnoteReference"/>
        </w:rPr>
        <w:footnoteRef/>
      </w:r>
      <w:r>
        <w:t xml:space="preserve"> Regulation 22 of the </w:t>
      </w:r>
      <w:r>
        <w:rPr>
          <w:rFonts w:eastAsia="Times New Roman"/>
        </w:rPr>
        <w:t>Public Health and Wellbeing (Prescribed Accommodation) Regulations 2009</w:t>
      </w:r>
      <w:r w:rsidRPr="0084179A">
        <w:rPr>
          <w:rStyle w:val="Hyperlink"/>
          <w:color w:val="auto"/>
          <w:u w:val="none"/>
        </w:rPr>
        <w:t>.</w:t>
      </w:r>
    </w:p>
  </w:footnote>
  <w:footnote w:id="94">
    <w:p w14:paraId="2F1EDCD5" w14:textId="6200C2E8" w:rsidR="00737B12" w:rsidRPr="00597DA8" w:rsidRDefault="00737B12" w:rsidP="00FB48D2">
      <w:pPr>
        <w:pStyle w:val="FootnoteText"/>
      </w:pPr>
      <w:r w:rsidRPr="00597DA8">
        <w:rPr>
          <w:rStyle w:val="FootnoteReference"/>
        </w:rPr>
        <w:footnoteRef/>
      </w:r>
      <w:r w:rsidRPr="00597DA8">
        <w:t xml:space="preserve"> Regulation 23 of the </w:t>
      </w:r>
      <w:r w:rsidRPr="00597DA8">
        <w:rPr>
          <w:rFonts w:eastAsia="Times New Roman"/>
        </w:rPr>
        <w:t>Public Health and Wellbeing (Prescribed Accommodation) Regulations 2009</w:t>
      </w:r>
      <w:r w:rsidRPr="0084179A">
        <w:rPr>
          <w:rStyle w:val="Hyperlink"/>
          <w:color w:val="auto"/>
          <w:u w:val="none"/>
        </w:rPr>
        <w:t>.</w:t>
      </w:r>
    </w:p>
  </w:footnote>
  <w:footnote w:id="95">
    <w:p w14:paraId="4E0A9F3C" w14:textId="52421892" w:rsidR="00737B12" w:rsidRPr="00597DA8" w:rsidRDefault="00737B12" w:rsidP="00FB48D2">
      <w:pPr>
        <w:pStyle w:val="FootnoteText"/>
      </w:pPr>
      <w:r w:rsidRPr="00597DA8">
        <w:rPr>
          <w:rStyle w:val="FootnoteReference"/>
        </w:rPr>
        <w:footnoteRef/>
      </w:r>
      <w:r w:rsidRPr="00597DA8">
        <w:t xml:space="preserve"> Regulation 24 of the </w:t>
      </w:r>
      <w:r w:rsidRPr="00597DA8">
        <w:rPr>
          <w:rFonts w:eastAsia="Times New Roman"/>
        </w:rPr>
        <w:t>Public Health and Wellbeing (Prescribed Accommodation) Regulations 2009</w:t>
      </w:r>
      <w:r w:rsidRPr="0084179A">
        <w:rPr>
          <w:rStyle w:val="Hyperlink"/>
          <w:color w:val="auto"/>
          <w:u w:val="none"/>
        </w:rPr>
        <w:t>.</w:t>
      </w:r>
    </w:p>
  </w:footnote>
  <w:footnote w:id="96">
    <w:p w14:paraId="7F9E7104" w14:textId="77777777" w:rsidR="00737B12" w:rsidRDefault="00737B12" w:rsidP="00736A2E">
      <w:pPr>
        <w:pStyle w:val="FootnoteText"/>
      </w:pPr>
      <w:r>
        <w:rPr>
          <w:rStyle w:val="FootnoteReference"/>
        </w:rPr>
        <w:footnoteRef/>
      </w:r>
      <w:r>
        <w:t xml:space="preserve"> It is acknowledged that each Council charges fees for registration and renewal applications. Fees are individually set by each Council. Fees aim to cost recover Council resources consumed to monitor and enforce the Regulations, however since Council resources have been costed in this analysis, Council fees were excluded to avoid double counting.</w:t>
      </w:r>
    </w:p>
  </w:footnote>
  <w:footnote w:id="97">
    <w:p w14:paraId="7C62AAFF" w14:textId="77777777" w:rsidR="00737B12" w:rsidRPr="00274E6F" w:rsidRDefault="00737B12" w:rsidP="00736A2E">
      <w:pPr>
        <w:pStyle w:val="FootnoteText"/>
        <w:rPr>
          <w:i/>
          <w:iCs/>
        </w:rPr>
      </w:pPr>
      <w:r>
        <w:rPr>
          <w:rStyle w:val="FootnoteReference"/>
        </w:rPr>
        <w:footnoteRef/>
      </w:r>
      <w:r>
        <w:t xml:space="preserve"> Department of Health and Human Services. (2019). </w:t>
      </w:r>
      <w:r w:rsidRPr="00274E6F">
        <w:rPr>
          <w:i/>
          <w:iCs/>
        </w:rPr>
        <w:t>Public Health and Wellbeing Regulations Sunset Review – Survey of Environmental Health Officers</w:t>
      </w:r>
      <w:r>
        <w:rPr>
          <w:i/>
          <w:iCs/>
        </w:rPr>
        <w:t>.</w:t>
      </w:r>
    </w:p>
  </w:footnote>
  <w:footnote w:id="98">
    <w:p w14:paraId="70470546" w14:textId="77777777" w:rsidR="00737B12" w:rsidRDefault="00737B12" w:rsidP="00736A2E">
      <w:pPr>
        <w:pStyle w:val="FootnoteText"/>
      </w:pPr>
      <w:r w:rsidRPr="003332E5">
        <w:rPr>
          <w:rStyle w:val="FootnoteReference"/>
        </w:rPr>
        <w:footnoteRef/>
      </w:r>
      <w:r w:rsidRPr="003332E5">
        <w:t xml:space="preserve"> Assuming that enforcement activity grew at the same rate as the number of prescribed accommodation facilities across Victoria, it is estimated that 165 prohibition notices could be issued in 2021, or 1,823 over the life of the Regulations.</w:t>
      </w:r>
    </w:p>
  </w:footnote>
  <w:footnote w:id="99">
    <w:p w14:paraId="43986C4D" w14:textId="77777777" w:rsidR="00737B12" w:rsidRPr="00BB3E37" w:rsidRDefault="00737B12" w:rsidP="00FB48D2">
      <w:pPr>
        <w:pStyle w:val="FootnoteText"/>
        <w:rPr>
          <w:rStyle w:val="Hyperlink"/>
        </w:rPr>
      </w:pPr>
      <w:r>
        <w:rPr>
          <w:rStyle w:val="FootnoteReference"/>
        </w:rPr>
        <w:footnoteRef/>
      </w:r>
      <w:r>
        <w:t xml:space="preserve"> Greenhalgh, E., Miller, A., Minnery, J., Gurran, N., Jacobs, K. &amp; Phibbs, P. (2004). </w:t>
      </w:r>
      <w:r w:rsidRPr="00F0077F">
        <w:rPr>
          <w:i/>
          <w:iCs/>
        </w:rPr>
        <w:fldChar w:fldCharType="begin"/>
      </w:r>
      <w:r w:rsidRPr="00BB3E37">
        <w:instrText xml:space="preserve"> HYPERLINK "https://www.ahuri.edu.au/__data/assets/pdf_file/0016/2239/AHURI_Final_Report_No54_Boarding_houses_and_government_supply_side_intervention.pdf" </w:instrText>
      </w:r>
      <w:r w:rsidRPr="00F0077F">
        <w:rPr>
          <w:i/>
          <w:iCs/>
        </w:rPr>
        <w:fldChar w:fldCharType="separate"/>
      </w:r>
      <w:r w:rsidRPr="000A704B">
        <w:rPr>
          <w:rStyle w:val="Hyperlink"/>
          <w:color w:val="002060"/>
        </w:rPr>
        <w:t>Boarding houses and</w:t>
      </w:r>
    </w:p>
    <w:p w14:paraId="497FB1CB" w14:textId="276E7E33" w:rsidR="00737B12" w:rsidRPr="00BB3E37" w:rsidRDefault="00737B12" w:rsidP="00FB48D2">
      <w:pPr>
        <w:pStyle w:val="FootnoteText"/>
      </w:pPr>
      <w:r w:rsidRPr="000A704B">
        <w:rPr>
          <w:rStyle w:val="Hyperlink"/>
          <w:color w:val="002060"/>
        </w:rPr>
        <w:t>Government supply side intervention</w:t>
      </w:r>
      <w:r w:rsidRPr="00F0077F">
        <w:rPr>
          <w:i/>
          <w:iCs/>
        </w:rPr>
        <w:fldChar w:fldCharType="end"/>
      </w:r>
      <w:r w:rsidRPr="00BB3E37">
        <w:t>.</w:t>
      </w:r>
      <w:r w:rsidRPr="00774672">
        <w:rPr>
          <w:szCs w:val="16"/>
        </w:rPr>
        <w:t xml:space="preserve"> </w:t>
      </w:r>
      <w:r>
        <w:rPr>
          <w:szCs w:val="16"/>
        </w:rPr>
        <w:t>&lt;</w:t>
      </w:r>
      <w:r w:rsidRPr="0084179A">
        <w:t>https://www.ahuri.edu.au/__data/assets/pdf_file/0016/2239/AHURI_Final_Report_No54_Boarding_houses_and_government_supply_side_intervention.pdf</w:t>
      </w:r>
      <w:r>
        <w:rPr>
          <w:szCs w:val="16"/>
        </w:rPr>
        <w:t>&gt;</w:t>
      </w:r>
    </w:p>
  </w:footnote>
  <w:footnote w:id="100">
    <w:p w14:paraId="42D4A132" w14:textId="0686F8A1" w:rsidR="00737B12" w:rsidRPr="0084179A" w:rsidRDefault="00737B12" w:rsidP="00FB48D2">
      <w:pPr>
        <w:pStyle w:val="FootnoteText"/>
      </w:pPr>
      <w:r>
        <w:rPr>
          <w:rStyle w:val="FootnoteReference"/>
        </w:rPr>
        <w:footnoteRef/>
      </w:r>
      <w:r>
        <w:t xml:space="preserve"> Department of Health and Human Services. (2011</w:t>
      </w:r>
      <w:r w:rsidRPr="00BB3E37">
        <w:t>).</w:t>
      </w:r>
      <w:r w:rsidRPr="00F0077F">
        <w:rPr>
          <w:i/>
          <w:iCs/>
        </w:rPr>
        <w:t xml:space="preserve"> </w:t>
      </w:r>
      <w:hyperlink r:id="rId45" w:history="1">
        <w:r w:rsidRPr="000A704B">
          <w:rPr>
            <w:rStyle w:val="Hyperlink"/>
            <w:i/>
            <w:iCs/>
            <w:color w:val="002060"/>
          </w:rPr>
          <w:t>Proposed Residential Tenancies (Rooming House Standards) Regulations Regulatory Impact Statement.</w:t>
        </w:r>
      </w:hyperlink>
      <w:r>
        <w:rPr>
          <w:rStyle w:val="Hyperlink"/>
          <w:i/>
          <w:iCs/>
        </w:rPr>
        <w:t xml:space="preserve"> </w:t>
      </w:r>
      <w:r w:rsidRPr="0084179A">
        <w:rPr>
          <w:rStyle w:val="Hyperlink"/>
          <w:color w:val="auto"/>
          <w:u w:val="none"/>
        </w:rPr>
        <w:t>&lt;https://www.vic.gov.au/sites/default/files/2019-11/Residential-tenancies-Rooming-house-standards-Regulations-2011-RIS.pdf</w:t>
      </w:r>
      <w:r>
        <w:rPr>
          <w:rStyle w:val="Hyperlink"/>
          <w:color w:val="auto"/>
          <w:u w:val="none"/>
        </w:rPr>
        <w:t>&gt;</w:t>
      </w:r>
    </w:p>
  </w:footnote>
  <w:footnote w:id="101">
    <w:p w14:paraId="7238DCF1" w14:textId="01AB220E" w:rsidR="00737B12" w:rsidRPr="00F0077F" w:rsidRDefault="00737B12" w:rsidP="00FB48D2">
      <w:pPr>
        <w:pStyle w:val="FootnoteText"/>
        <w:rPr>
          <w:i/>
          <w:iCs/>
        </w:rPr>
      </w:pPr>
      <w:r>
        <w:rPr>
          <w:rStyle w:val="FootnoteReference"/>
        </w:rPr>
        <w:footnoteRef/>
      </w:r>
      <w:r>
        <w:t xml:space="preserve"> Ibid.</w:t>
      </w:r>
    </w:p>
  </w:footnote>
  <w:footnote w:id="102">
    <w:p w14:paraId="139C6013" w14:textId="263E6C7C" w:rsidR="00737B12" w:rsidRPr="00BB3E37" w:rsidRDefault="00737B12" w:rsidP="00FB48D2">
      <w:pPr>
        <w:pStyle w:val="FootnoteText"/>
      </w:pPr>
      <w:r>
        <w:rPr>
          <w:rStyle w:val="FootnoteReference"/>
        </w:rPr>
        <w:footnoteRef/>
      </w:r>
      <w:r>
        <w:t xml:space="preserve"> Greenhalghet al. (2004). </w:t>
      </w:r>
      <w:hyperlink r:id="rId46" w:history="1">
        <w:r w:rsidRPr="000A704B">
          <w:rPr>
            <w:rStyle w:val="Hyperlink"/>
            <w:i/>
            <w:iCs/>
            <w:color w:val="002060"/>
          </w:rPr>
          <w:t>Boarding houses and Government supply side intervention</w:t>
        </w:r>
      </w:hyperlink>
      <w:r>
        <w:rPr>
          <w:i/>
          <w:iCs/>
        </w:rPr>
        <w:t>.</w:t>
      </w:r>
      <w:r w:rsidRPr="000F3DBE">
        <w:rPr>
          <w:szCs w:val="16"/>
        </w:rPr>
        <w:t xml:space="preserve"> </w:t>
      </w:r>
      <w:r>
        <w:rPr>
          <w:szCs w:val="16"/>
        </w:rPr>
        <w:t>&lt;</w:t>
      </w:r>
      <w:r w:rsidRPr="006D5280">
        <w:rPr>
          <w:szCs w:val="16"/>
        </w:rPr>
        <w:t>https://www.ahuri.edu.au/__data/assets/pdf_file/0016/2239/AHURI_Final_Report_No54_Boarding_houses_and_government_supply_side_intervention.pdf</w:t>
      </w:r>
      <w:r>
        <w:rPr>
          <w:szCs w:val="16"/>
        </w:rPr>
        <w:t>&gt;</w:t>
      </w:r>
    </w:p>
  </w:footnote>
  <w:footnote w:id="103">
    <w:p w14:paraId="711E621C" w14:textId="77777777" w:rsidR="00737B12" w:rsidRPr="00843D1D" w:rsidRDefault="00737B12" w:rsidP="00FB48D2">
      <w:pPr>
        <w:pStyle w:val="FootnoteText"/>
        <w:rPr>
          <w:rStyle w:val="Hyperlink"/>
        </w:rPr>
      </w:pPr>
      <w:r>
        <w:rPr>
          <w:rStyle w:val="FootnoteReference"/>
        </w:rPr>
        <w:footnoteRef/>
      </w:r>
      <w:r>
        <w:t xml:space="preserve"> Dalton, T., Pawson, H. &amp; Hulse, K. (2015). </w:t>
      </w:r>
      <w:r>
        <w:fldChar w:fldCharType="begin"/>
      </w:r>
      <w:r>
        <w:instrText xml:space="preserve"> HYPERLINK "https://www.ahuri.edu.au/research/final-reports/245" </w:instrText>
      </w:r>
      <w:r>
        <w:fldChar w:fldCharType="separate"/>
      </w:r>
      <w:r w:rsidRPr="000A704B">
        <w:rPr>
          <w:rStyle w:val="Hyperlink"/>
          <w:color w:val="002060"/>
        </w:rPr>
        <w:t>Rooming house futures: governing for growth,</w:t>
      </w:r>
    </w:p>
    <w:p w14:paraId="35A6C8A1" w14:textId="45957487" w:rsidR="00737B12" w:rsidRDefault="00737B12" w:rsidP="00FB48D2">
      <w:pPr>
        <w:pStyle w:val="FootnoteText"/>
      </w:pPr>
      <w:r w:rsidRPr="000A704B">
        <w:rPr>
          <w:rStyle w:val="Hyperlink"/>
          <w:color w:val="002060"/>
        </w:rPr>
        <w:t>fairness and transparency</w:t>
      </w:r>
      <w:r>
        <w:fldChar w:fldCharType="end"/>
      </w:r>
      <w:r>
        <w:t>. &lt;</w:t>
      </w:r>
      <w:r w:rsidRPr="0084179A">
        <w:t>https://www.ahuri.edu.au/research/final-reports/245</w:t>
      </w:r>
      <w:r w:rsidRPr="000A704B">
        <w:rPr>
          <w:rStyle w:val="Hyperlink"/>
          <w:color w:val="002060"/>
          <w:szCs w:val="16"/>
        </w:rPr>
        <w:t>&gt;</w:t>
      </w:r>
    </w:p>
  </w:footnote>
  <w:footnote w:id="104">
    <w:p w14:paraId="5A6B9716" w14:textId="77777777" w:rsidR="00737B12" w:rsidRPr="00C607DC" w:rsidRDefault="00737B12" w:rsidP="00FB48D2">
      <w:pPr>
        <w:pStyle w:val="FootnoteText"/>
        <w:rPr>
          <w:rStyle w:val="Hyperlink"/>
        </w:rPr>
      </w:pPr>
      <w:r>
        <w:rPr>
          <w:rStyle w:val="FootnoteReference"/>
        </w:rPr>
        <w:footnoteRef/>
      </w:r>
      <w:r>
        <w:t xml:space="preserve"> Greenhalgh, E., Miller, A., Minnery, J., Gurran, N., Jacobs, K. &amp; Phibbs, P. (2004). </w:t>
      </w:r>
      <w:r>
        <w:fldChar w:fldCharType="begin"/>
      </w:r>
      <w:r>
        <w:instrText xml:space="preserve"> HYPERLINK "https://www.ahuri.edu.au/__data/assets/pdf_file/0016/2239/AHURI_Final_Report_No54_Boarding_houses_and_government_supply_side_intervention.pdf" </w:instrText>
      </w:r>
      <w:r>
        <w:fldChar w:fldCharType="separate"/>
      </w:r>
      <w:r w:rsidRPr="000A704B">
        <w:rPr>
          <w:rStyle w:val="Hyperlink"/>
          <w:color w:val="002060"/>
        </w:rPr>
        <w:t>Boarding houses and</w:t>
      </w:r>
    </w:p>
    <w:p w14:paraId="6C901595" w14:textId="09C383EB" w:rsidR="00737B12" w:rsidRDefault="00737B12" w:rsidP="00FB48D2">
      <w:pPr>
        <w:pStyle w:val="FootnoteText"/>
      </w:pPr>
      <w:r w:rsidRPr="000A704B">
        <w:rPr>
          <w:rStyle w:val="Hyperlink"/>
          <w:color w:val="002060"/>
        </w:rPr>
        <w:t>Government supply side intervention</w:t>
      </w:r>
      <w:r>
        <w:fldChar w:fldCharType="end"/>
      </w:r>
      <w:r>
        <w:t xml:space="preserve">. </w:t>
      </w:r>
      <w:r>
        <w:rPr>
          <w:szCs w:val="16"/>
        </w:rPr>
        <w:t>&lt;</w:t>
      </w:r>
      <w:r w:rsidRPr="006D5280">
        <w:rPr>
          <w:szCs w:val="16"/>
        </w:rPr>
        <w:t>https://www.ahuri.edu.au/__data/assets/pdf_file/0016/2239/AHURI_Final_Report_No54_Boarding_houses_and_government_supply_side_intervention.pdf</w:t>
      </w:r>
      <w:r>
        <w:rPr>
          <w:szCs w:val="16"/>
        </w:rPr>
        <w:t>&gt;</w:t>
      </w:r>
    </w:p>
  </w:footnote>
  <w:footnote w:id="105">
    <w:p w14:paraId="6E98F93A" w14:textId="5B056CC6" w:rsidR="00737B12" w:rsidRPr="0084179A" w:rsidRDefault="00737B12" w:rsidP="00FB48D2">
      <w:pPr>
        <w:pStyle w:val="FootnoteText"/>
      </w:pPr>
      <w:r>
        <w:rPr>
          <w:rStyle w:val="FootnoteReference"/>
        </w:rPr>
        <w:footnoteRef/>
      </w:r>
      <w:r>
        <w:t xml:space="preserve"> The Salvation Army Adult Services. (2011). </w:t>
      </w:r>
      <w:hyperlink r:id="rId47" w:history="1">
        <w:r w:rsidRPr="000A704B">
          <w:rPr>
            <w:rStyle w:val="Hyperlink"/>
            <w:i/>
            <w:iCs/>
            <w:color w:val="002060"/>
          </w:rPr>
          <w:t>No Room to move? Report of the Outer West Rooming House Project</w:t>
        </w:r>
      </w:hyperlink>
      <w:r w:rsidRPr="000A704B">
        <w:rPr>
          <w:rStyle w:val="Hyperlink"/>
          <w:i/>
          <w:iCs/>
          <w:color w:val="002060"/>
        </w:rPr>
        <w:t xml:space="preserve">. </w:t>
      </w:r>
      <w:r>
        <w:rPr>
          <w:rStyle w:val="Hyperlink"/>
          <w:color w:val="auto"/>
          <w:u w:val="none"/>
        </w:rPr>
        <w:t>&lt;</w:t>
      </w:r>
      <w:r w:rsidRPr="0084179A">
        <w:t>http://www.nwhn.net.au/admin/file/content101/c6/No%20Room%20to%20move%20Report_1332384268120.pdf</w:t>
      </w:r>
      <w:r w:rsidRPr="0084179A">
        <w:rPr>
          <w:rStyle w:val="Hyperlink"/>
          <w:color w:val="auto"/>
          <w:szCs w:val="16"/>
          <w:u w:val="none"/>
        </w:rPr>
        <w:t>&gt;</w:t>
      </w:r>
    </w:p>
  </w:footnote>
  <w:footnote w:id="106">
    <w:p w14:paraId="7D9E08E6" w14:textId="04DAFF82" w:rsidR="00737B12" w:rsidRDefault="00737B12" w:rsidP="00FB48D2">
      <w:pPr>
        <w:pStyle w:val="FootnoteText"/>
      </w:pPr>
      <w:r>
        <w:rPr>
          <w:rStyle w:val="FootnoteReference"/>
        </w:rPr>
        <w:footnoteRef/>
      </w:r>
      <w:r>
        <w:t xml:space="preserve"> ABS. (2016a). </w:t>
      </w:r>
      <w:hyperlink r:id="rId48" w:history="1">
        <w:r w:rsidRPr="000A704B">
          <w:rPr>
            <w:rStyle w:val="Hyperlink"/>
            <w:i/>
            <w:iCs/>
            <w:color w:val="002060"/>
          </w:rPr>
          <w:t>ABS2049.0 - Census of Population and Housing: Estimating homelessness, 2016.</w:t>
        </w:r>
      </w:hyperlink>
      <w:r>
        <w:t xml:space="preserve"> &lt;</w:t>
      </w:r>
      <w:hyperlink r:id="rId49" w:history="1">
        <w:r w:rsidRPr="00120237">
          <w:rPr>
            <w:rStyle w:val="Hyperlink"/>
            <w:color w:val="auto"/>
            <w:szCs w:val="16"/>
            <w:u w:val="none"/>
          </w:rPr>
          <w:t>https://www.abs.gov.au/AUSSTATS/abs@.nsf/DetailsPage/2049.02016?OpenDocument</w:t>
        </w:r>
      </w:hyperlink>
      <w:r>
        <w:rPr>
          <w:rStyle w:val="Hyperlink"/>
          <w:color w:val="auto"/>
          <w:szCs w:val="16"/>
          <w:u w:val="none"/>
        </w:rPr>
        <w:t>&gt;</w:t>
      </w:r>
    </w:p>
  </w:footnote>
  <w:footnote w:id="107">
    <w:p w14:paraId="32C84FE0" w14:textId="25D297D8" w:rsidR="00737B12" w:rsidRDefault="00737B12" w:rsidP="00FB48D2">
      <w:pPr>
        <w:pStyle w:val="FootnoteText"/>
      </w:pPr>
      <w:r>
        <w:rPr>
          <w:rStyle w:val="FootnoteReference"/>
        </w:rPr>
        <w:footnoteRef/>
      </w:r>
      <w:r>
        <w:t xml:space="preserve"> MacKenzie, D., Flatau, P., Steen, A., Thielking, M. (2016). </w:t>
      </w:r>
      <w:hyperlink r:id="rId50" w:history="1">
        <w:r w:rsidRPr="000A704B">
          <w:rPr>
            <w:rStyle w:val="Hyperlink"/>
            <w:color w:val="002060"/>
          </w:rPr>
          <w:t>The cost of youth homelessness in Australia</w:t>
        </w:r>
      </w:hyperlink>
      <w:r w:rsidRPr="000A704B">
        <w:rPr>
          <w:rStyle w:val="Hyperlink"/>
          <w:color w:val="002060"/>
        </w:rPr>
        <w:t xml:space="preserve">. </w:t>
      </w:r>
      <w:r>
        <w:rPr>
          <w:szCs w:val="16"/>
        </w:rPr>
        <w:t>&lt;</w:t>
      </w:r>
      <w:r w:rsidRPr="0084179A">
        <w:t>https://researchbank.swinburne.edu.au/file/30e52c92-64a1-477c-993a-0e547c6c7371/1/PDF%20%28Published%20version%29.pdf</w:t>
      </w:r>
      <w:r>
        <w:rPr>
          <w:rStyle w:val="Hyperlink"/>
          <w:color w:val="auto"/>
          <w:szCs w:val="16"/>
          <w:u w:val="none"/>
        </w:rPr>
        <w:t>&gt;</w:t>
      </w:r>
    </w:p>
  </w:footnote>
  <w:footnote w:id="108">
    <w:p w14:paraId="49AD02A4" w14:textId="693B7F8A" w:rsidR="00737B12" w:rsidRDefault="00737B12" w:rsidP="00FB48D2">
      <w:pPr>
        <w:pStyle w:val="FootnoteText"/>
      </w:pPr>
      <w:r>
        <w:rPr>
          <w:rStyle w:val="FootnoteReference"/>
        </w:rPr>
        <w:footnoteRef/>
      </w:r>
      <w:r>
        <w:t xml:space="preserve"> MacKenzie et al. (2016). </w:t>
      </w:r>
      <w:hyperlink r:id="rId51" w:history="1">
        <w:r w:rsidRPr="000A704B">
          <w:rPr>
            <w:rStyle w:val="Hyperlink"/>
            <w:color w:val="002060"/>
          </w:rPr>
          <w:t>The cost of youth homelessness in Australia</w:t>
        </w:r>
      </w:hyperlink>
      <w:r w:rsidRPr="000A704B">
        <w:rPr>
          <w:rStyle w:val="Hyperlink"/>
          <w:color w:val="002060"/>
        </w:rPr>
        <w:t xml:space="preserve">. </w:t>
      </w:r>
      <w:r>
        <w:rPr>
          <w:szCs w:val="16"/>
        </w:rPr>
        <w:t>&lt;</w:t>
      </w:r>
      <w:r w:rsidRPr="006D5280">
        <w:rPr>
          <w:szCs w:val="16"/>
        </w:rPr>
        <w:t>https://researchbank.swinburne.edu.au/file/30e52c92-64a1-477c-993a-0e547c6c7371/1/PDF%20%28Published%20version%29.pdf</w:t>
      </w:r>
      <w:r>
        <w:rPr>
          <w:rStyle w:val="Hyperlink"/>
          <w:color w:val="auto"/>
          <w:szCs w:val="16"/>
          <w:u w:val="none"/>
        </w:rPr>
        <w:t>&gt;</w:t>
      </w:r>
    </w:p>
  </w:footnote>
  <w:footnote w:id="109">
    <w:p w14:paraId="16E0A94C" w14:textId="00FD3120" w:rsidR="00737B12" w:rsidRPr="00412D71" w:rsidRDefault="00737B12" w:rsidP="00C25894">
      <w:pPr>
        <w:pStyle w:val="FootnoteText"/>
        <w:rPr>
          <w:iCs/>
        </w:rPr>
      </w:pPr>
      <w:r>
        <w:rPr>
          <w:rStyle w:val="FootnoteReference"/>
        </w:rPr>
        <w:footnoteRef/>
      </w:r>
      <w:r>
        <w:t xml:space="preserve"> Witte, E. (2017). </w:t>
      </w:r>
      <w:hyperlink r:id="rId52" w:history="1">
        <w:r w:rsidRPr="000A704B">
          <w:rPr>
            <w:rStyle w:val="Hyperlink"/>
            <w:i/>
            <w:color w:val="002060"/>
          </w:rPr>
          <w:t>The case for investing in last resort housing, MSSI Issues Paper No. 10.</w:t>
        </w:r>
      </w:hyperlink>
      <w:r>
        <w:rPr>
          <w:rStyle w:val="Hyperlink"/>
          <w:i/>
        </w:rPr>
        <w:t xml:space="preserve"> </w:t>
      </w:r>
      <w:r>
        <w:rPr>
          <w:rStyle w:val="Hyperlink"/>
          <w:iCs/>
          <w:color w:val="auto"/>
        </w:rPr>
        <w:t>&lt;</w:t>
      </w:r>
      <w:hyperlink r:id="rId53" w:history="1">
        <w:r w:rsidRPr="00120237">
          <w:rPr>
            <w:rStyle w:val="Hyperlink"/>
            <w:color w:val="auto"/>
            <w:szCs w:val="16"/>
            <w:u w:val="none"/>
          </w:rPr>
          <w:t>https://www.sgsep.com.au/assets/main/SGS-Economics-and-Planning-Last-Resort-Housing.pdf</w:t>
        </w:r>
      </w:hyperlink>
      <w:r>
        <w:rPr>
          <w:rStyle w:val="Hyperlink"/>
          <w:color w:val="auto"/>
          <w:szCs w:val="16"/>
          <w:u w:val="none"/>
        </w:rPr>
        <w:t>&gt;</w:t>
      </w:r>
    </w:p>
  </w:footnote>
  <w:footnote w:id="110">
    <w:p w14:paraId="43CB800E" w14:textId="540C7326" w:rsidR="00737B12" w:rsidRPr="00412D71" w:rsidRDefault="00737B12" w:rsidP="00FB48D2">
      <w:pPr>
        <w:pStyle w:val="FootnoteText"/>
      </w:pPr>
      <w:r>
        <w:rPr>
          <w:rStyle w:val="FootnoteReference"/>
        </w:rPr>
        <w:footnoteRef/>
      </w:r>
      <w:r>
        <w:t xml:space="preserve"> Department of Health and Human Services. (2011). </w:t>
      </w:r>
      <w:hyperlink r:id="rId54" w:history="1">
        <w:r w:rsidRPr="000A704B">
          <w:rPr>
            <w:rStyle w:val="Hyperlink"/>
            <w:i/>
            <w:iCs/>
            <w:color w:val="002060"/>
          </w:rPr>
          <w:t>Proposed Residential Tenancies (Rooming House Standards) Regulations Regulatory Impact Statement.</w:t>
        </w:r>
      </w:hyperlink>
      <w:r>
        <w:rPr>
          <w:rStyle w:val="Hyperlink"/>
          <w:i/>
          <w:iCs/>
        </w:rPr>
        <w:t xml:space="preserve"> </w:t>
      </w:r>
      <w:r>
        <w:rPr>
          <w:rStyle w:val="Hyperlink"/>
          <w:color w:val="auto"/>
          <w:u w:val="none"/>
        </w:rPr>
        <w:t>&lt;</w:t>
      </w:r>
      <w:hyperlink r:id="rId55" w:history="1">
        <w:r w:rsidRPr="00120237">
          <w:rPr>
            <w:rStyle w:val="Hyperlink"/>
            <w:color w:val="auto"/>
            <w:szCs w:val="16"/>
            <w:u w:val="none"/>
          </w:rPr>
          <w:t>https://www.vic.gov.au/sites/default/files/2019-11/Residential-tenancies-Rooming-house-standards-Regulations-2011-RIS.pdf</w:t>
        </w:r>
      </w:hyperlink>
      <w:r>
        <w:rPr>
          <w:rStyle w:val="Hyperlink"/>
          <w:color w:val="auto"/>
          <w:szCs w:val="16"/>
          <w:u w:val="none"/>
        </w:rPr>
        <w:t>&gt;</w:t>
      </w:r>
    </w:p>
  </w:footnote>
  <w:footnote w:id="111">
    <w:p w14:paraId="70FC82CF" w14:textId="74A11CE2" w:rsidR="00737B12" w:rsidRPr="008919CF" w:rsidRDefault="00737B12" w:rsidP="00FB48D2">
      <w:pPr>
        <w:pStyle w:val="FootnoteText"/>
      </w:pPr>
      <w:r>
        <w:rPr>
          <w:rStyle w:val="FootnoteReference"/>
        </w:rPr>
        <w:footnoteRef/>
      </w:r>
      <w:r>
        <w:t xml:space="preserve"> Baker et al. (2016). </w:t>
      </w:r>
      <w:hyperlink r:id="rId56" w:history="1">
        <w:r w:rsidRPr="000A704B">
          <w:rPr>
            <w:rStyle w:val="Hyperlink"/>
            <w:i/>
            <w:iCs/>
            <w:color w:val="002060"/>
          </w:rPr>
          <w:t>Poor housing quality: Prevalence and health effects.</w:t>
        </w:r>
      </w:hyperlink>
      <w:r>
        <w:rPr>
          <w:i/>
          <w:iCs/>
        </w:rPr>
        <w:t xml:space="preserve"> </w:t>
      </w:r>
      <w:r>
        <w:t>&lt;</w:t>
      </w:r>
      <w:hyperlink r:id="rId57" w:history="1">
        <w:r w:rsidRPr="00120237">
          <w:rPr>
            <w:rStyle w:val="Hyperlink"/>
            <w:color w:val="auto"/>
            <w:szCs w:val="16"/>
            <w:u w:val="none"/>
          </w:rPr>
          <w:t>https://www.tandfonline.com/doi/full/10.1080/10852352.2016.1197714</w:t>
        </w:r>
      </w:hyperlink>
      <w:r>
        <w:rPr>
          <w:rStyle w:val="Hyperlink"/>
          <w:color w:val="auto"/>
          <w:szCs w:val="16"/>
          <w:u w:val="none"/>
        </w:rPr>
        <w:t>&gt;</w:t>
      </w:r>
    </w:p>
  </w:footnote>
  <w:footnote w:id="112">
    <w:p w14:paraId="5CEB68F9" w14:textId="02EE8618" w:rsidR="00737B12" w:rsidRDefault="00737B12">
      <w:pPr>
        <w:pStyle w:val="FootnoteText"/>
      </w:pPr>
      <w:r>
        <w:rPr>
          <w:rStyle w:val="FootnoteReference"/>
        </w:rPr>
        <w:footnoteRef/>
      </w:r>
      <w:r>
        <w:t xml:space="preserve"> Section 4(1)(b) Public Health and Wellbeing Act 2008.</w:t>
      </w:r>
    </w:p>
  </w:footnote>
  <w:footnote w:id="113">
    <w:p w14:paraId="2233245B" w14:textId="67DEE28F" w:rsidR="00737B12" w:rsidRPr="000456AA" w:rsidRDefault="00737B12" w:rsidP="00FB48D2">
      <w:pPr>
        <w:pStyle w:val="FootnoteText"/>
      </w:pPr>
      <w:r>
        <w:rPr>
          <w:rStyle w:val="FootnoteReference"/>
        </w:rPr>
        <w:footnoteRef/>
      </w:r>
      <w:r>
        <w:t xml:space="preserve"> Mwambi et al. (2007). Chapter 13: Mapping and Modelling Disease Risk Among Mobile Populations. </w:t>
      </w:r>
      <w:r>
        <w:rPr>
          <w:i/>
          <w:iCs/>
        </w:rPr>
        <w:t xml:space="preserve">Population Mobility and Infectious Disease. </w:t>
      </w:r>
      <w:r>
        <w:t>Springer Science + Business Media: Boston. Pg. 244-266.</w:t>
      </w:r>
    </w:p>
  </w:footnote>
  <w:footnote w:id="114">
    <w:p w14:paraId="1F0672EE" w14:textId="2A99245C" w:rsidR="00737B12" w:rsidRDefault="00737B12" w:rsidP="00FB48D2">
      <w:pPr>
        <w:pStyle w:val="FootnoteText"/>
      </w:pPr>
      <w:r>
        <w:rPr>
          <w:rStyle w:val="FootnoteReference"/>
        </w:rPr>
        <w:footnoteRef/>
      </w:r>
      <w:r>
        <w:t xml:space="preserve"> Baker et al. (2012). </w:t>
      </w:r>
      <w:hyperlink r:id="rId58" w:history="1">
        <w:r w:rsidRPr="000A704B">
          <w:rPr>
            <w:rStyle w:val="Hyperlink"/>
            <w:color w:val="002060"/>
          </w:rPr>
          <w:t>Increasing incidence of serious infectious diseases and inequalities in New Zealand: a national epidemiological study</w:t>
        </w:r>
      </w:hyperlink>
      <w:r w:rsidRPr="008B5B90">
        <w:t>.</w:t>
      </w:r>
      <w:r>
        <w:t>&lt;</w:t>
      </w:r>
      <w:r w:rsidRPr="00556B60">
        <w:rPr>
          <w:szCs w:val="16"/>
        </w:rPr>
        <w:t xml:space="preserve"> </w:t>
      </w:r>
      <w:hyperlink r:id="rId59" w:history="1">
        <w:r w:rsidRPr="00120237">
          <w:rPr>
            <w:rStyle w:val="Hyperlink"/>
            <w:color w:val="auto"/>
            <w:szCs w:val="16"/>
            <w:u w:val="none"/>
          </w:rPr>
          <w:t>https://d1wqtxts1xzle7.cloudfront.net/39652920/Increasing_Incidence_of_Serious_Infectio20151103-22313-1add3pq.pdf?1446593837=&amp;response-content-disposition=inline%3B+filename%3DIncreasing_incidence_of_serious_infectio.pdf&amp;Expires=1598324221&amp;Signature=FSsvC4w0vjChfKAxZhh-eJAXt~g3AeAV3N5OAFruLm7WK143H--onNHgrVTsN9r8Nsg2t-3UA0RSnEbd4uRQWAJNM69Rk-6S5k-U6kGJ2Z-TJfIWIiR6xmlHwLZ2cokboER0fdOI2Sv8FMJPFAaxxT0XBWvwpISVKku5JbeVWtbdivjbmtfQ4bIUJkEa9d~zG3040d7nZd92dyZPbrzc565PniFgv9Zfz8eKYGzY5M8Ko7X5h1BAA310xqLrHUBZCkP6lXS1~Rmxec2hKq5EnMJiVQcIAXHSn6IjpBzEpq7NyzWd91p8ui5BoidfPcw4Bg9SikzLKGyxi4q~C3k1Dw__&amp;Key-Pair-Id=APKAJLOHF5GGSLRBV4ZA</w:t>
        </w:r>
      </w:hyperlink>
      <w:r>
        <w:rPr>
          <w:rStyle w:val="Hyperlink"/>
          <w:color w:val="auto"/>
          <w:szCs w:val="16"/>
          <w:u w:val="none"/>
        </w:rPr>
        <w:t>&gt;</w:t>
      </w:r>
    </w:p>
  </w:footnote>
  <w:footnote w:id="115">
    <w:p w14:paraId="5573CCF5" w14:textId="1FF356FE" w:rsidR="00737B12" w:rsidRDefault="00737B12" w:rsidP="00FB48D2">
      <w:pPr>
        <w:pStyle w:val="FootnoteText"/>
      </w:pPr>
      <w:r>
        <w:rPr>
          <w:rStyle w:val="FootnoteReference"/>
        </w:rPr>
        <w:footnoteRef/>
      </w:r>
      <w:r>
        <w:t xml:space="preserve"> </w:t>
      </w:r>
      <w:r w:rsidRPr="00CC39C9">
        <w:t xml:space="preserve">World Health Organisation. (2018). </w:t>
      </w:r>
      <w:hyperlink r:id="rId60" w:history="1">
        <w:r w:rsidRPr="000A704B">
          <w:rPr>
            <w:rStyle w:val="Hyperlink"/>
            <w:i/>
            <w:iCs/>
            <w:color w:val="002060"/>
          </w:rPr>
          <w:t>WHO Housing and Health Guidelines</w:t>
        </w:r>
      </w:hyperlink>
      <w:r w:rsidRPr="00CC39C9">
        <w:t xml:space="preserve">. </w:t>
      </w:r>
      <w:r>
        <w:t>&lt;</w:t>
      </w:r>
      <w:hyperlink r:id="rId61" w:history="1">
        <w:r w:rsidRPr="00120237">
          <w:rPr>
            <w:rStyle w:val="Hyperlink"/>
            <w:color w:val="auto"/>
            <w:szCs w:val="16"/>
            <w:u w:val="none"/>
          </w:rPr>
          <w:t>https://www.who.int/publications/i/item/who-housing-and-health-guidelines</w:t>
        </w:r>
      </w:hyperlink>
      <w:r>
        <w:rPr>
          <w:szCs w:val="16"/>
        </w:rPr>
        <w:t>&gt;</w:t>
      </w:r>
    </w:p>
  </w:footnote>
  <w:footnote w:id="116">
    <w:p w14:paraId="568AAB32" w14:textId="3AB9087A" w:rsidR="00737B12" w:rsidRPr="00B04C6E" w:rsidRDefault="00737B12" w:rsidP="00FB48D2">
      <w:pPr>
        <w:pStyle w:val="FootnoteText"/>
      </w:pPr>
      <w:r>
        <w:rPr>
          <w:rStyle w:val="FootnoteReference"/>
        </w:rPr>
        <w:footnoteRef/>
      </w:r>
      <w:r>
        <w:t xml:space="preserve"> NSW Department of Health (2010). </w:t>
      </w:r>
      <w:hyperlink r:id="rId62" w:history="1">
        <w:r w:rsidRPr="000A704B">
          <w:rPr>
            <w:rStyle w:val="Hyperlink"/>
            <w:i/>
            <w:iCs/>
            <w:color w:val="002060"/>
          </w:rPr>
          <w:t xml:space="preserve">Closing the gap: 10 Years of </w:t>
        </w:r>
        <w:r w:rsidRPr="000A704B">
          <w:rPr>
            <w:rStyle w:val="Hyperlink"/>
            <w:color w:val="002060"/>
          </w:rPr>
          <w:t>Housing for Health</w:t>
        </w:r>
        <w:r w:rsidRPr="000A704B">
          <w:rPr>
            <w:rStyle w:val="Hyperlink"/>
            <w:i/>
            <w:color w:val="002060"/>
          </w:rPr>
          <w:t xml:space="preserve"> </w:t>
        </w:r>
        <w:r w:rsidRPr="000A704B">
          <w:rPr>
            <w:rStyle w:val="Hyperlink"/>
            <w:i/>
            <w:iCs/>
            <w:color w:val="002060"/>
          </w:rPr>
          <w:t>in NSW – An evaluation of a health housing intervention</w:t>
        </w:r>
      </w:hyperlink>
      <w:r>
        <w:t>. &lt;</w:t>
      </w:r>
      <w:hyperlink r:id="rId63" w:history="1">
        <w:r w:rsidRPr="00120237">
          <w:rPr>
            <w:rStyle w:val="Hyperlink"/>
            <w:color w:val="auto"/>
            <w:szCs w:val="16"/>
            <w:u w:val="none"/>
          </w:rPr>
          <w:t>https://www.health.nsw.gov.au/environment/aboriginal/Publications/housing-health.pdf</w:t>
        </w:r>
      </w:hyperlink>
      <w:r>
        <w:rPr>
          <w:rStyle w:val="Hyperlink"/>
          <w:color w:val="auto"/>
          <w:szCs w:val="16"/>
          <w:u w:val="none"/>
        </w:rPr>
        <w:t>&gt;</w:t>
      </w:r>
    </w:p>
  </w:footnote>
  <w:footnote w:id="117">
    <w:p w14:paraId="20D66EFD" w14:textId="40988F60" w:rsidR="00737B12" w:rsidRDefault="00737B12" w:rsidP="00FB48D2">
      <w:pPr>
        <w:pStyle w:val="FootnoteText"/>
      </w:pPr>
      <w:r>
        <w:rPr>
          <w:rStyle w:val="FootnoteReference"/>
        </w:rPr>
        <w:footnoteRef/>
      </w:r>
      <w:r>
        <w:t xml:space="preserve"> Better Health (2020). </w:t>
      </w:r>
      <w:hyperlink r:id="rId64" w:history="1">
        <w:r w:rsidRPr="000A704B">
          <w:rPr>
            <w:rStyle w:val="Hyperlink"/>
            <w:i/>
            <w:iCs/>
            <w:color w:val="002060"/>
          </w:rPr>
          <w:t>Mould and your health</w:t>
        </w:r>
      </w:hyperlink>
      <w:r w:rsidRPr="004615A1">
        <w:t xml:space="preserve">. </w:t>
      </w:r>
      <w:r>
        <w:t>&lt;</w:t>
      </w:r>
      <w:r w:rsidRPr="0008153B">
        <w:t>https://www.betterhealth.vic.gov.au/health/conditionsandtreatments/mould-and-your-health#:~:text=Mould%20associated%20with%20damp%20buildings,allergies</w:t>
      </w:r>
      <w:r>
        <w:t>&gt;</w:t>
      </w:r>
    </w:p>
  </w:footnote>
  <w:footnote w:id="118">
    <w:p w14:paraId="5D6CA0DF" w14:textId="555D1AA0" w:rsidR="00737B12" w:rsidRDefault="00737B12" w:rsidP="00FB48D2">
      <w:pPr>
        <w:pStyle w:val="FootnoteText"/>
      </w:pPr>
      <w:r>
        <w:rPr>
          <w:rStyle w:val="FootnoteReference"/>
        </w:rPr>
        <w:footnoteRef/>
      </w:r>
      <w:r>
        <w:t xml:space="preserve"> National Centre for Housing Health. (2009). </w:t>
      </w:r>
      <w:hyperlink r:id="rId65" w:history="1">
        <w:r w:rsidRPr="000A704B">
          <w:rPr>
            <w:rStyle w:val="Hyperlink"/>
            <w:i/>
            <w:iCs/>
            <w:color w:val="002060"/>
          </w:rPr>
          <w:t>Housing interventions and health</w:t>
        </w:r>
      </w:hyperlink>
      <w:r w:rsidRPr="008D3F85">
        <w:rPr>
          <w:i/>
          <w:iCs/>
        </w:rPr>
        <w:t>.</w:t>
      </w:r>
      <w:r>
        <w:t xml:space="preserve"> &lt;</w:t>
      </w:r>
      <w:hyperlink r:id="rId66" w:history="1">
        <w:r w:rsidRPr="00120237">
          <w:rPr>
            <w:rStyle w:val="Hyperlink"/>
            <w:color w:val="auto"/>
            <w:szCs w:val="16"/>
            <w:u w:val="none"/>
          </w:rPr>
          <w:t>https://nchh.org/resource-library/Housing%20Interventions%20and%20Health.pdf</w:t>
        </w:r>
      </w:hyperlink>
      <w:r>
        <w:rPr>
          <w:rStyle w:val="Hyperlink"/>
          <w:color w:val="auto"/>
          <w:szCs w:val="16"/>
          <w:u w:val="none"/>
        </w:rPr>
        <w:t>&gt;</w:t>
      </w:r>
    </w:p>
  </w:footnote>
  <w:footnote w:id="119">
    <w:p w14:paraId="2B64775C" w14:textId="5E81D326" w:rsidR="00737B12" w:rsidRPr="00750123" w:rsidRDefault="00737B12" w:rsidP="00FB48D2">
      <w:pPr>
        <w:pStyle w:val="FootnoteText"/>
      </w:pPr>
      <w:r>
        <w:rPr>
          <w:rStyle w:val="FootnoteReference"/>
        </w:rPr>
        <w:footnoteRef/>
      </w:r>
      <w:r>
        <w:t xml:space="preserve"> Fisk et al. (2007). </w:t>
      </w:r>
      <w:hyperlink r:id="rId67" w:history="1">
        <w:r w:rsidRPr="000A704B">
          <w:rPr>
            <w:rStyle w:val="Hyperlink"/>
            <w:color w:val="002060"/>
          </w:rPr>
          <w:t>Meta-analyses of the association of respiratory health effects with dampness and mould in homes</w:t>
        </w:r>
      </w:hyperlink>
      <w:r>
        <w:t>. &lt;</w:t>
      </w:r>
      <w:hyperlink r:id="rId68" w:history="1">
        <w:r w:rsidRPr="00120237">
          <w:rPr>
            <w:rStyle w:val="Hyperlink"/>
            <w:color w:val="auto"/>
            <w:szCs w:val="16"/>
            <w:u w:val="none"/>
          </w:rPr>
          <w:t>https://onlinelibrary.wiley.com/doi/full/10.1111/j.1600-0668.2007.00475.x</w:t>
        </w:r>
      </w:hyperlink>
      <w:r>
        <w:rPr>
          <w:rStyle w:val="Hyperlink"/>
          <w:color w:val="auto"/>
          <w:szCs w:val="16"/>
          <w:u w:val="none"/>
        </w:rPr>
        <w:t>&gt;</w:t>
      </w:r>
    </w:p>
  </w:footnote>
  <w:footnote w:id="120">
    <w:p w14:paraId="4843D0EC" w14:textId="4EDB6F5D" w:rsidR="00737B12" w:rsidRDefault="00737B12" w:rsidP="00FB48D2">
      <w:pPr>
        <w:pStyle w:val="FootnoteText"/>
      </w:pPr>
      <w:r>
        <w:rPr>
          <w:rStyle w:val="FootnoteReference"/>
        </w:rPr>
        <w:footnoteRef/>
      </w:r>
      <w:r>
        <w:t xml:space="preserve"> Walters, A.M (2001). </w:t>
      </w:r>
      <w:hyperlink r:id="rId69" w:history="1">
        <w:r w:rsidRPr="000A704B">
          <w:rPr>
            <w:rStyle w:val="Hyperlink"/>
            <w:i/>
            <w:iCs/>
            <w:color w:val="002060"/>
          </w:rPr>
          <w:t>Do housing conditions impact on health inequalities between Australia's rich and poor? AHURI Final Report No. 4</w:t>
        </w:r>
      </w:hyperlink>
      <w:r>
        <w:t>.&lt;</w:t>
      </w:r>
      <w:r w:rsidRPr="00E26FA8">
        <w:rPr>
          <w:szCs w:val="16"/>
        </w:rPr>
        <w:t xml:space="preserve"> </w:t>
      </w:r>
      <w:hyperlink r:id="rId70" w:history="1">
        <w:r w:rsidRPr="00120237">
          <w:rPr>
            <w:rStyle w:val="Hyperlink"/>
            <w:color w:val="auto"/>
            <w:szCs w:val="16"/>
            <w:u w:val="none"/>
          </w:rPr>
          <w:t>https://www.ahuri.edu.au/research/final-reports/4</w:t>
        </w:r>
      </w:hyperlink>
      <w:r>
        <w:rPr>
          <w:rStyle w:val="Hyperlink"/>
          <w:color w:val="auto"/>
          <w:szCs w:val="16"/>
          <w:u w:val="none"/>
        </w:rPr>
        <w:t>&gt;</w:t>
      </w:r>
    </w:p>
  </w:footnote>
  <w:footnote w:id="121">
    <w:p w14:paraId="6CB2D907" w14:textId="393D21E6" w:rsidR="00737B12" w:rsidRPr="00215F33" w:rsidRDefault="00737B12" w:rsidP="00FB48D2">
      <w:pPr>
        <w:pStyle w:val="FootnoteText"/>
      </w:pPr>
      <w:r>
        <w:rPr>
          <w:rStyle w:val="FootnoteReference"/>
        </w:rPr>
        <w:footnoteRef/>
      </w:r>
      <w:r>
        <w:t xml:space="preserve"> Harker, L (2006). </w:t>
      </w:r>
      <w:hyperlink r:id="rId71" w:history="1">
        <w:r w:rsidRPr="000A704B">
          <w:rPr>
            <w:rStyle w:val="Hyperlink"/>
            <w:i/>
            <w:iCs/>
            <w:color w:val="002060"/>
          </w:rPr>
          <w:t>Chance of a Lifetime: The impact of bad housing on children’s lives</w:t>
        </w:r>
      </w:hyperlink>
      <w:r w:rsidRPr="004615A1">
        <w:t>.</w:t>
      </w:r>
      <w:r>
        <w:t>&lt;</w:t>
      </w:r>
      <w:r w:rsidRPr="0084179A">
        <w:t>https://england.shelter.org.uk/__data/assets/pdf_file/0016/39202/Chance_of_a_Lifetime.pdf</w:t>
      </w:r>
      <w:r>
        <w:t>&gt;</w:t>
      </w:r>
    </w:p>
  </w:footnote>
  <w:footnote w:id="122">
    <w:p w14:paraId="243CE5F1" w14:textId="3ADB9D30" w:rsidR="00737B12" w:rsidRDefault="00737B12" w:rsidP="00FB48D2">
      <w:pPr>
        <w:pStyle w:val="FootnoteText"/>
      </w:pPr>
      <w:r>
        <w:rPr>
          <w:rStyle w:val="FootnoteReference"/>
        </w:rPr>
        <w:footnoteRef/>
      </w:r>
      <w:r>
        <w:t xml:space="preserve"> National Centre for Housing Health. (2009). </w:t>
      </w:r>
      <w:hyperlink r:id="rId72" w:history="1">
        <w:r w:rsidRPr="000A704B">
          <w:rPr>
            <w:rStyle w:val="Hyperlink"/>
            <w:i/>
            <w:iCs/>
            <w:color w:val="002060"/>
          </w:rPr>
          <w:t>Housing interventions and health</w:t>
        </w:r>
      </w:hyperlink>
      <w:r w:rsidRPr="004615A1">
        <w:t>.</w:t>
      </w:r>
      <w:r>
        <w:t xml:space="preserve"> &lt;</w:t>
      </w:r>
      <w:hyperlink r:id="rId73" w:history="1">
        <w:r w:rsidRPr="00120237">
          <w:rPr>
            <w:rStyle w:val="Hyperlink"/>
            <w:color w:val="auto"/>
            <w:szCs w:val="16"/>
            <w:u w:val="none"/>
          </w:rPr>
          <w:t>https://nchh.org/resource-library/Housing%20Interventions%20and%20Health.pdf</w:t>
        </w:r>
      </w:hyperlink>
      <w:r>
        <w:rPr>
          <w:rStyle w:val="Hyperlink"/>
          <w:color w:val="auto"/>
          <w:szCs w:val="16"/>
          <w:u w:val="none"/>
        </w:rPr>
        <w:t>&gt;</w:t>
      </w:r>
    </w:p>
  </w:footnote>
  <w:footnote w:id="123">
    <w:p w14:paraId="50C78F14" w14:textId="35B13E1B" w:rsidR="00737B12" w:rsidRPr="00E54063" w:rsidRDefault="00737B12" w:rsidP="00BA01D0">
      <w:pPr>
        <w:pStyle w:val="FootnoteText"/>
      </w:pPr>
      <w:r>
        <w:rPr>
          <w:rStyle w:val="FootnoteReference"/>
        </w:rPr>
        <w:footnoteRef/>
      </w:r>
      <w:r>
        <w:t xml:space="preserve"> Victorian Injury Surveillance Unit (2013). </w:t>
      </w:r>
      <w:r>
        <w:rPr>
          <w:i/>
          <w:iCs/>
        </w:rPr>
        <w:t xml:space="preserve">A settings-based analysis of injury data in Victoria. </w:t>
      </w:r>
      <w:r>
        <w:t>Hazard, (76). &lt;</w:t>
      </w:r>
      <w:hyperlink r:id="rId74" w:history="1">
        <w:r w:rsidRPr="000A704B">
          <w:rPr>
            <w:rStyle w:val="Hyperlink"/>
            <w:color w:val="002060"/>
          </w:rPr>
          <w:t>https://www.monash.edu/__data/assets/pdf_file/0008/218492/haz76.pdf</w:t>
        </w:r>
      </w:hyperlink>
      <w:r>
        <w:t>&gt;</w:t>
      </w:r>
    </w:p>
  </w:footnote>
  <w:footnote w:id="124">
    <w:p w14:paraId="12C8D4F3" w14:textId="303B093F" w:rsidR="00737B12" w:rsidRDefault="00737B12" w:rsidP="00BA01D0">
      <w:pPr>
        <w:pStyle w:val="FootnoteText"/>
      </w:pPr>
      <w:r>
        <w:rPr>
          <w:rStyle w:val="FootnoteReference"/>
        </w:rPr>
        <w:footnoteRef/>
      </w:r>
      <w:r>
        <w:t xml:space="preserve"> Australian Bureau of Statistics (2006). Death Unit Record File 2004-2006. </w:t>
      </w:r>
    </w:p>
  </w:footnote>
  <w:footnote w:id="125">
    <w:p w14:paraId="3D9E2A38" w14:textId="77777777" w:rsidR="00737B12" w:rsidRDefault="00737B12" w:rsidP="00BA01D0">
      <w:pPr>
        <w:pStyle w:val="FootnoteText"/>
      </w:pPr>
      <w:r>
        <w:rPr>
          <w:rStyle w:val="FootnoteReference"/>
        </w:rPr>
        <w:footnoteRef/>
      </w:r>
      <w:r>
        <w:t xml:space="preserve"> It is important to note that the location of the injury incident was not specified in one fifth (20%) of injury death cases (ABS, 2006). </w:t>
      </w:r>
    </w:p>
  </w:footnote>
  <w:footnote w:id="126">
    <w:p w14:paraId="77C68C2B" w14:textId="77777777" w:rsidR="00737B12" w:rsidRDefault="00737B12" w:rsidP="00BA01D0">
      <w:pPr>
        <w:pStyle w:val="FootnoteText"/>
      </w:pPr>
      <w:r>
        <w:rPr>
          <w:rStyle w:val="FootnoteReference"/>
        </w:rPr>
        <w:footnoteRef/>
      </w:r>
      <w:r>
        <w:t xml:space="preserve"> For the period 2009/10-2011/12, of home-based injuries, falls represented 60% of hospital admissions (n=17,303, 85% of hospital bed days (n=237,195), 74% of direct hospital costs ($168.5m), and 65% of years lived with disability (n=1730) (VISU, 2013). The most common falls leading to hospital admissions in adults aged 25-44 years included slips, trips and stumbles (26%), other same level falls (18%), falls involving stairs or steps (13%), falls on or through buildings or structures (9.5%) (VISU, 2013).</w:t>
      </w:r>
    </w:p>
  </w:footnote>
  <w:footnote w:id="127">
    <w:p w14:paraId="16FC480F" w14:textId="77777777" w:rsidR="00737B12" w:rsidRDefault="00737B12" w:rsidP="00BA01D0">
      <w:pPr>
        <w:pStyle w:val="FootnoteText"/>
      </w:pPr>
      <w:r>
        <w:rPr>
          <w:rStyle w:val="FootnoteReference"/>
        </w:rPr>
        <w:footnoteRef/>
      </w:r>
      <w:r>
        <w:t xml:space="preserve"> For the period 2009/10-2011/12, of home-based injuries, injuries resulting from fires, urns and scalds accounted for 7% of years lived with disability (VISU, 2013). The most common causes of serve burns were exposure to ignition of highly flammable materials (for example, gasoline, kerosene and petrol) (VISU, 2013). </w:t>
      </w:r>
    </w:p>
  </w:footnote>
  <w:footnote w:id="128">
    <w:p w14:paraId="4F4E26E4" w14:textId="2E274441" w:rsidR="00737B12" w:rsidRDefault="00737B12" w:rsidP="00FB48D2">
      <w:pPr>
        <w:pStyle w:val="FootnoteText"/>
      </w:pPr>
      <w:r>
        <w:rPr>
          <w:rStyle w:val="FootnoteReference"/>
        </w:rPr>
        <w:footnoteRef/>
      </w:r>
      <w:r>
        <w:t xml:space="preserve"> Building Research Establishment (2015). </w:t>
      </w:r>
      <w:hyperlink r:id="rId75" w:history="1">
        <w:r w:rsidRPr="000A704B">
          <w:rPr>
            <w:rStyle w:val="Hyperlink"/>
            <w:i/>
            <w:iCs/>
            <w:color w:val="002060"/>
          </w:rPr>
          <w:t>Briefing Paper: the cost of poor housing to the NHS</w:t>
        </w:r>
      </w:hyperlink>
      <w:r w:rsidRPr="00E47DBE">
        <w:rPr>
          <w:i/>
          <w:iCs/>
        </w:rPr>
        <w:t>.</w:t>
      </w:r>
      <w:r>
        <w:t xml:space="preserve"> &lt;</w:t>
      </w:r>
      <w:r w:rsidRPr="009F5FA4">
        <w:t>https://www.bre.co.uk/filelibrary/pdf/87741-Cost-of-Poor-Housing-Briefing-Paper-v3.pdf</w:t>
      </w:r>
      <w:r>
        <w:t>&gt;</w:t>
      </w:r>
    </w:p>
  </w:footnote>
  <w:footnote w:id="129">
    <w:p w14:paraId="0436D897" w14:textId="2024D748" w:rsidR="00737B12" w:rsidRDefault="00737B12" w:rsidP="00FB48D2">
      <w:pPr>
        <w:pStyle w:val="FootnoteText"/>
      </w:pPr>
      <w:r>
        <w:rPr>
          <w:rStyle w:val="FootnoteReference"/>
        </w:rPr>
        <w:footnoteRef/>
      </w:r>
      <w:r>
        <w:t xml:space="preserve"> NSW Department of Health (2010). </w:t>
      </w:r>
      <w:hyperlink r:id="rId76" w:history="1">
        <w:r w:rsidRPr="000A704B">
          <w:rPr>
            <w:rStyle w:val="Hyperlink"/>
            <w:i/>
            <w:iCs/>
            <w:color w:val="002060"/>
          </w:rPr>
          <w:t xml:space="preserve">Closing the gap: 10 Years of </w:t>
        </w:r>
        <w:r w:rsidRPr="000A704B">
          <w:rPr>
            <w:rStyle w:val="Hyperlink"/>
            <w:color w:val="002060"/>
          </w:rPr>
          <w:t>Housing for Health</w:t>
        </w:r>
        <w:r w:rsidRPr="000A704B">
          <w:rPr>
            <w:rStyle w:val="Hyperlink"/>
            <w:i/>
            <w:iCs/>
            <w:color w:val="002060"/>
          </w:rPr>
          <w:t xml:space="preserve"> in NSW – An evaluation of a health housing intervention</w:t>
        </w:r>
      </w:hyperlink>
      <w:r>
        <w:t>. &lt;</w:t>
      </w:r>
      <w:hyperlink r:id="rId77" w:history="1">
        <w:r w:rsidRPr="00120237">
          <w:rPr>
            <w:rStyle w:val="Hyperlink"/>
            <w:color w:val="auto"/>
            <w:szCs w:val="16"/>
            <w:u w:val="none"/>
          </w:rPr>
          <w:t>https://www.health.nsw.gov.au/environment/aboriginal/Publications/housing-health.pdf</w:t>
        </w:r>
      </w:hyperlink>
      <w:r>
        <w:rPr>
          <w:rStyle w:val="Hyperlink"/>
          <w:color w:val="auto"/>
          <w:szCs w:val="16"/>
          <w:u w:val="none"/>
        </w:rPr>
        <w:t>&gt;</w:t>
      </w:r>
    </w:p>
  </w:footnote>
  <w:footnote w:id="130">
    <w:p w14:paraId="471FD193" w14:textId="77777777" w:rsidR="00737B12" w:rsidRDefault="00737B12" w:rsidP="00FB48D2">
      <w:pPr>
        <w:pStyle w:val="FootnoteText"/>
      </w:pPr>
      <w:r>
        <w:rPr>
          <w:rStyle w:val="FootnoteReference"/>
        </w:rPr>
        <w:footnoteRef/>
      </w:r>
      <w:r>
        <w:t xml:space="preserve"> A hospital separation is when a patient leaves a hospital or health facility after having been admitted for treatment. </w:t>
      </w:r>
    </w:p>
  </w:footnote>
  <w:footnote w:id="131">
    <w:p w14:paraId="2AB7E180" w14:textId="199B48CE" w:rsidR="00737B12" w:rsidRDefault="00737B12" w:rsidP="00FB48D2">
      <w:pPr>
        <w:pStyle w:val="FootnoteText"/>
      </w:pPr>
      <w:r>
        <w:rPr>
          <w:rStyle w:val="FootnoteReference"/>
        </w:rPr>
        <w:footnoteRef/>
      </w:r>
      <w:r>
        <w:t xml:space="preserve"> NSW Department of Health (2010). </w:t>
      </w:r>
      <w:hyperlink r:id="rId78" w:history="1">
        <w:r w:rsidRPr="000A704B">
          <w:rPr>
            <w:rStyle w:val="Hyperlink"/>
            <w:i/>
            <w:iCs/>
            <w:color w:val="002060"/>
          </w:rPr>
          <w:t xml:space="preserve">Closing the gap: 10 Years of </w:t>
        </w:r>
        <w:r w:rsidRPr="000A704B">
          <w:rPr>
            <w:rStyle w:val="Hyperlink"/>
            <w:color w:val="002060"/>
          </w:rPr>
          <w:t>Housing for Health</w:t>
        </w:r>
        <w:r w:rsidRPr="000A704B">
          <w:rPr>
            <w:rStyle w:val="Hyperlink"/>
            <w:i/>
            <w:iCs/>
            <w:color w:val="002060"/>
          </w:rPr>
          <w:t xml:space="preserve"> in NSW – An evaluation of a health housing intervention.</w:t>
        </w:r>
      </w:hyperlink>
      <w:r>
        <w:t xml:space="preserve"> &lt;</w:t>
      </w:r>
      <w:hyperlink r:id="rId79" w:history="1">
        <w:r w:rsidRPr="00120237">
          <w:rPr>
            <w:rStyle w:val="Hyperlink"/>
            <w:color w:val="auto"/>
            <w:szCs w:val="16"/>
            <w:u w:val="none"/>
          </w:rPr>
          <w:t>https://www.health.nsw.gov.au/environment/aboriginal/Publications/housing-health.pdf</w:t>
        </w:r>
      </w:hyperlink>
      <w:r>
        <w:rPr>
          <w:rStyle w:val="Hyperlink"/>
          <w:color w:val="auto"/>
          <w:szCs w:val="16"/>
          <w:u w:val="none"/>
        </w:rPr>
        <w:t>&gt;</w:t>
      </w:r>
    </w:p>
  </w:footnote>
  <w:footnote w:id="132">
    <w:p w14:paraId="6B52B0F5" w14:textId="275745A3" w:rsidR="00737B12" w:rsidRDefault="00737B12" w:rsidP="00FB48D2">
      <w:pPr>
        <w:pStyle w:val="FootnoteText"/>
      </w:pPr>
      <w:r>
        <w:rPr>
          <w:rStyle w:val="FootnoteReference"/>
        </w:rPr>
        <w:footnoteRef/>
      </w:r>
      <w:r>
        <w:t xml:space="preserve"> I</w:t>
      </w:r>
      <w:r w:rsidRPr="008A1D39">
        <w:t>dentified by the incidence of Category 1 hazards according to the Housing Health and Safety Rating System</w:t>
      </w:r>
      <w:r>
        <w:t xml:space="preserve"> (Building Research Establishment, 2015). </w:t>
      </w:r>
    </w:p>
  </w:footnote>
  <w:footnote w:id="133">
    <w:p w14:paraId="5E5B8F74" w14:textId="4062508B" w:rsidR="00737B12" w:rsidRDefault="00737B12" w:rsidP="00FB48D2">
      <w:pPr>
        <w:pStyle w:val="FootnoteText"/>
      </w:pPr>
      <w:r>
        <w:rPr>
          <w:rStyle w:val="FootnoteReference"/>
        </w:rPr>
        <w:footnoteRef/>
      </w:r>
      <w:r>
        <w:t xml:space="preserve"> Ibid.</w:t>
      </w:r>
    </w:p>
  </w:footnote>
  <w:footnote w:id="134">
    <w:p w14:paraId="799B3712" w14:textId="0FCAE14D" w:rsidR="00737B12" w:rsidRDefault="00737B12" w:rsidP="00FB48D2">
      <w:pPr>
        <w:pStyle w:val="FootnoteText"/>
      </w:pPr>
      <w:r>
        <w:rPr>
          <w:rStyle w:val="FootnoteReference"/>
        </w:rPr>
        <w:footnoteRef/>
      </w:r>
      <w:r>
        <w:t xml:space="preserve"> Ibid.</w:t>
      </w:r>
    </w:p>
  </w:footnote>
  <w:footnote w:id="135">
    <w:p w14:paraId="6888680A" w14:textId="77777777" w:rsidR="00737B12" w:rsidRDefault="00737B12" w:rsidP="000E38D2">
      <w:pPr>
        <w:pStyle w:val="FootnoteText"/>
      </w:pPr>
      <w:r>
        <w:rPr>
          <w:rStyle w:val="FootnoteReference"/>
        </w:rPr>
        <w:footnoteRef/>
      </w:r>
      <w:r>
        <w:t xml:space="preserve"> It is the view of the local council stakeholder consulted that short-term, holiday and high-rise residential accommodation should be </w:t>
      </w:r>
      <w:r w:rsidRPr="007F489B">
        <w:t>required to be registered as Prescribed Accommodation under the PHWA (</w:t>
      </w:r>
      <w:r>
        <w:t>data provided to Deloitte for the purposes of the RIS</w:t>
      </w:r>
      <w:r w:rsidRPr="007F489B">
        <w:t>).</w:t>
      </w:r>
    </w:p>
  </w:footnote>
  <w:footnote w:id="136">
    <w:p w14:paraId="3F3A0FB7" w14:textId="125256CB" w:rsidR="00737B12" w:rsidRDefault="00737B12">
      <w:pPr>
        <w:pStyle w:val="FootnoteText"/>
      </w:pPr>
      <w:r>
        <w:rPr>
          <w:rStyle w:val="FootnoteReference"/>
        </w:rPr>
        <w:footnoteRef/>
      </w:r>
      <w:r>
        <w:t xml:space="preserve"> Small Business Economy Review (Visitor Economy) (2018), </w:t>
      </w:r>
      <w:hyperlink r:id="rId80" w:history="1">
        <w:r w:rsidRPr="000A704B">
          <w:rPr>
            <w:rStyle w:val="Hyperlink"/>
            <w:color w:val="002060"/>
          </w:rPr>
          <w:t>https://engage.vic.gov.au/smallbizreview</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6B2B1" w14:textId="0A93C2CB" w:rsidR="00737B12" w:rsidRDefault="00737B1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080CF" w14:textId="621FE0F1" w:rsidR="00737B12" w:rsidRDefault="00737B1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FE225" w14:textId="7C055AD5" w:rsidR="00737B12" w:rsidRDefault="00737B12" w:rsidP="00392D56">
    <w:pPr>
      <w:pStyle w:val="Header"/>
      <w:tabs>
        <w:tab w:val="clear" w:pos="4513"/>
        <w:tab w:val="clear" w:pos="9026"/>
        <w:tab w:val="left" w:pos="1638"/>
      </w:tabs>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E27F3" w14:textId="68961E93" w:rsidR="00737B12" w:rsidRDefault="00737B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2250E" w14:textId="61A492B4" w:rsidR="00737B12" w:rsidRDefault="007C0DB9" w:rsidP="00474643">
    <w:pPr>
      <w:pStyle w:val="Header"/>
    </w:pPr>
    <w:sdt>
      <w:sdtPr>
        <w:rPr>
          <w:lang w:val="en-US"/>
        </w:rPr>
        <w:alias w:val="Title"/>
        <w:id w:val="122897596"/>
        <w:placeholder>
          <w:docPart w:val="DE0BF9AEC28240C986C566BD6C883CA3"/>
        </w:placeholder>
        <w:dataBinding w:prefixMappings="xmlns:ns0='http://purl.org/dc/elements/1.1/' xmlns:ns1='http://schemas.openxmlformats.org/package/2006/metadata/core-properties' " w:xpath="/ns1:coreProperties[1]/ns0:title[1]" w:storeItemID="{6C3C8BC8-F283-45AE-878A-BAB7291924A1}"/>
        <w:text/>
      </w:sdtPr>
      <w:sdtEndPr/>
      <w:sdtContent>
        <w:r w:rsidR="00737B12">
          <w:rPr>
            <w:lang w:val="en-US"/>
          </w:rPr>
          <w:t>Regulatory Impact Statement: Public Health and Wellbeing (Prescribed Accommodation) Regulations 2020</w:t>
        </w:r>
      </w:sdtContent>
    </w:sdt>
  </w:p>
  <w:p w14:paraId="2A92250F" w14:textId="77777777" w:rsidR="00737B12" w:rsidRPr="00474643" w:rsidRDefault="00737B12" w:rsidP="004746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68595" w14:textId="3F646C19" w:rsidR="00737B12" w:rsidRDefault="00737B1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267D6" w14:textId="79C8F323" w:rsidR="00737B12" w:rsidRDefault="00737B1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22514" w14:textId="29EED8AE" w:rsidR="00737B12" w:rsidRDefault="00737B12" w:rsidP="00612D76">
    <w:pPr>
      <w:pStyle w:val="Header"/>
      <w:spacing w:line="14" w:lineRule="exact"/>
    </w:pPr>
  </w:p>
  <w:p w14:paraId="2A922515" w14:textId="0DB859BF" w:rsidR="00737B12" w:rsidRPr="000116B0" w:rsidRDefault="007C0DB9" w:rsidP="00474643">
    <w:pPr>
      <w:pStyle w:val="Header"/>
    </w:pPr>
    <w:sdt>
      <w:sdtPr>
        <w:alias w:val="Title"/>
        <w:id w:val="-1019540038"/>
        <w:dataBinding w:prefixMappings="xmlns:ns0='http://purl.org/dc/elements/1.1/' xmlns:ns1='http://schemas.openxmlformats.org/package/2006/metadata/core-properties' " w:xpath="/ns1:coreProperties[1]/ns0:title[1]" w:storeItemID="{6C3C8BC8-F283-45AE-878A-BAB7291924A1}"/>
        <w:text/>
      </w:sdtPr>
      <w:sdtEndPr/>
      <w:sdtContent>
        <w:r w:rsidR="00737B12">
          <w:t>Regulatory Impact Statement: Public Health and Wellbeing (Prescribed Accommodation) Regulations 2020</w:t>
        </w:r>
      </w:sdtContent>
    </w:sdt>
  </w:p>
  <w:p w14:paraId="2A922516" w14:textId="1D855367" w:rsidR="00737B12" w:rsidRDefault="00737B12" w:rsidP="00474643">
    <w:pPr>
      <w:pStyle w:val="Header"/>
    </w:pPr>
  </w:p>
  <w:p w14:paraId="2A922517" w14:textId="77777777" w:rsidR="00737B12" w:rsidRDefault="00737B12" w:rsidP="0047464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070CE" w14:textId="019CDCA2" w:rsidR="00737B12" w:rsidRDefault="00737B1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9EB1E" w14:textId="6C522FBE" w:rsidR="00737B12" w:rsidRDefault="00737B1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22519" w14:textId="27FE79DF" w:rsidR="00737B12" w:rsidRPr="000116B0" w:rsidRDefault="007C0DB9" w:rsidP="00E33B5F">
    <w:pPr>
      <w:pStyle w:val="Header"/>
    </w:pPr>
    <w:sdt>
      <w:sdtPr>
        <w:alias w:val="Title"/>
        <w:id w:val="-768001879"/>
        <w:dataBinding w:prefixMappings="xmlns:ns0='http://purl.org/dc/elements/1.1/' xmlns:ns1='http://schemas.openxmlformats.org/package/2006/metadata/core-properties' " w:xpath="/ns1:coreProperties[1]/ns0:title[1]" w:storeItemID="{6C3C8BC8-F283-45AE-878A-BAB7291924A1}"/>
        <w:text/>
      </w:sdtPr>
      <w:sdtEndPr/>
      <w:sdtContent>
        <w:r w:rsidR="00737B12">
          <w:t>Regulatory Impact Statement: Public Health and Wellbeing (Prescribed Accommodation) Regulations 2020</w:t>
        </w:r>
      </w:sdtContent>
    </w:sdt>
  </w:p>
  <w:p w14:paraId="2A92251A" w14:textId="46E2C4CD" w:rsidR="00737B12" w:rsidRDefault="00737B12" w:rsidP="00E33B5F">
    <w:pPr>
      <w:pStyle w:val="Header"/>
    </w:pPr>
  </w:p>
  <w:p w14:paraId="2A92251B" w14:textId="77777777" w:rsidR="00737B12" w:rsidRPr="00E33B5F" w:rsidRDefault="00737B12" w:rsidP="00E33B5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30B6C" w14:textId="2D248013" w:rsidR="00737B12" w:rsidRDefault="00737B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6649B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multilevel"/>
    <w:tmpl w:val="42CAA2C8"/>
    <w:lvl w:ilvl="0">
      <w:start w:val="1"/>
      <w:numFmt w:val="decimal"/>
      <w:pStyle w:val="ListNumber4"/>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80"/>
    <w:multiLevelType w:val="singleLevel"/>
    <w:tmpl w:val="13643CF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5A6A322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0D34AE9"/>
    <w:multiLevelType w:val="hybridMultilevel"/>
    <w:tmpl w:val="7DB8865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2A06C2F"/>
    <w:multiLevelType w:val="hybridMultilevel"/>
    <w:tmpl w:val="0D26E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2AD663A"/>
    <w:multiLevelType w:val="multilevel"/>
    <w:tmpl w:val="9022E37A"/>
    <w:lvl w:ilvl="0">
      <w:start w:val="1"/>
      <w:numFmt w:val="lowerLetter"/>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7" w15:restartNumberingAfterBreak="0">
    <w:nsid w:val="02DB2827"/>
    <w:multiLevelType w:val="hybridMultilevel"/>
    <w:tmpl w:val="E0023528"/>
    <w:lvl w:ilvl="0" w:tplc="A75639F6">
      <w:start w:val="1"/>
      <w:numFmt w:val="upperLetter"/>
      <w:pStyle w:val="AlphabeticList"/>
      <w:lvlText w:val="%1"/>
      <w:lvlJc w:val="left"/>
      <w:pPr>
        <w:ind w:left="340" w:hanging="340"/>
      </w:pPr>
      <w:rPr>
        <w:rFonts w:hint="default"/>
      </w:rPr>
    </w:lvl>
    <w:lvl w:ilvl="1" w:tplc="FAFACB08">
      <w:start w:val="1"/>
      <w:numFmt w:val="lowerLetter"/>
      <w:pStyle w:val="AlphabeticList2"/>
      <w:lvlText w:val="%2"/>
      <w:lvlJc w:val="left"/>
      <w:pPr>
        <w:ind w:left="680" w:hanging="340"/>
      </w:pPr>
      <w:rPr>
        <w:rFonts w:hint="default"/>
      </w:rPr>
    </w:lvl>
    <w:lvl w:ilvl="2" w:tplc="688643EE">
      <w:start w:val="1"/>
      <w:numFmt w:val="lowerRoman"/>
      <w:lvlText w:val="%3."/>
      <w:lvlJc w:val="left"/>
      <w:pPr>
        <w:ind w:left="1020" w:hanging="340"/>
      </w:pPr>
      <w:rPr>
        <w:rFonts w:hint="default"/>
      </w:rPr>
    </w:lvl>
    <w:lvl w:ilvl="3" w:tplc="96860B26">
      <w:start w:val="1"/>
      <w:numFmt w:val="decimal"/>
      <w:lvlText w:val="(%4)"/>
      <w:lvlJc w:val="left"/>
      <w:pPr>
        <w:ind w:left="1360" w:hanging="340"/>
      </w:pPr>
      <w:rPr>
        <w:rFonts w:hint="default"/>
      </w:rPr>
    </w:lvl>
    <w:lvl w:ilvl="4" w:tplc="055881B4">
      <w:start w:val="1"/>
      <w:numFmt w:val="lowerLetter"/>
      <w:lvlText w:val="(%5)"/>
      <w:lvlJc w:val="left"/>
      <w:pPr>
        <w:ind w:left="1700" w:hanging="340"/>
      </w:pPr>
      <w:rPr>
        <w:rFonts w:hint="default"/>
      </w:rPr>
    </w:lvl>
    <w:lvl w:ilvl="5" w:tplc="55D8A7C6">
      <w:start w:val="1"/>
      <w:numFmt w:val="lowerRoman"/>
      <w:lvlText w:val="(%6)"/>
      <w:lvlJc w:val="left"/>
      <w:pPr>
        <w:ind w:left="2040" w:hanging="340"/>
      </w:pPr>
      <w:rPr>
        <w:rFonts w:hint="default"/>
      </w:rPr>
    </w:lvl>
    <w:lvl w:ilvl="6" w:tplc="FC84F24E">
      <w:start w:val="1"/>
      <w:numFmt w:val="decimal"/>
      <w:lvlText w:val="%7."/>
      <w:lvlJc w:val="left"/>
      <w:pPr>
        <w:ind w:left="2380" w:hanging="340"/>
      </w:pPr>
      <w:rPr>
        <w:rFonts w:hint="default"/>
      </w:rPr>
    </w:lvl>
    <w:lvl w:ilvl="7" w:tplc="3EDE3642">
      <w:start w:val="1"/>
      <w:numFmt w:val="lowerLetter"/>
      <w:lvlText w:val="%8."/>
      <w:lvlJc w:val="left"/>
      <w:pPr>
        <w:ind w:left="2720" w:hanging="340"/>
      </w:pPr>
      <w:rPr>
        <w:rFonts w:hint="default"/>
      </w:rPr>
    </w:lvl>
    <w:lvl w:ilvl="8" w:tplc="C89EE3A0">
      <w:start w:val="1"/>
      <w:numFmt w:val="lowerRoman"/>
      <w:lvlText w:val="%9."/>
      <w:lvlJc w:val="left"/>
      <w:pPr>
        <w:ind w:left="3060" w:hanging="340"/>
      </w:pPr>
      <w:rPr>
        <w:rFonts w:hint="default"/>
      </w:rPr>
    </w:lvl>
  </w:abstractNum>
  <w:abstractNum w:abstractNumId="8" w15:restartNumberingAfterBreak="0">
    <w:nsid w:val="04973D5C"/>
    <w:multiLevelType w:val="hybridMultilevel"/>
    <w:tmpl w:val="7954F4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994120D"/>
    <w:multiLevelType w:val="hybridMultilevel"/>
    <w:tmpl w:val="7F0216B4"/>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0" w15:restartNumberingAfterBreak="0">
    <w:nsid w:val="0A080518"/>
    <w:multiLevelType w:val="multilevel"/>
    <w:tmpl w:val="B1DA7FBE"/>
    <w:lvl w:ilvl="0">
      <w:start w:val="1"/>
      <w:numFmt w:val="decimal"/>
      <w:lvlText w:val="%1"/>
      <w:lvlJc w:val="left"/>
      <w:pPr>
        <w:ind w:left="432" w:hanging="432"/>
      </w:pPr>
    </w:lvl>
    <w:lvl w:ilvl="1">
      <w:start w:val="1"/>
      <w:numFmt w:val="decimal"/>
      <w:lvlText w:val="%1.%2"/>
      <w:lvlJc w:val="left"/>
      <w:pPr>
        <w:ind w:left="576" w:hanging="576"/>
      </w:pPr>
      <w:rPr>
        <w:b/>
        <w:bCs w:val="0"/>
        <w:i w:val="0"/>
        <w:iCs w:val="0"/>
        <w:caps w:val="0"/>
        <w:smallCaps w:val="0"/>
        <w:strike w:val="0"/>
        <w:dstrike w:val="0"/>
        <w:outline w:val="0"/>
        <w:shadow w:val="0"/>
        <w:emboss w:val="0"/>
        <w:imprint w:val="0"/>
        <w:noProof w:val="0"/>
        <w:vanish w:val="0"/>
        <w:color w:val="62B5E5" w:themeColor="accent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rPr>
        <w:b/>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0A8248CC"/>
    <w:multiLevelType w:val="hybridMultilevel"/>
    <w:tmpl w:val="0AEC5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A91084A"/>
    <w:multiLevelType w:val="multilevel"/>
    <w:tmpl w:val="60867668"/>
    <w:lvl w:ilvl="0">
      <w:start w:val="1"/>
      <w:numFmt w:val="decimal"/>
      <w:lvlText w:val="%1"/>
      <w:lvlJc w:val="left"/>
      <w:pPr>
        <w:ind w:left="432" w:hanging="432"/>
      </w:pPr>
    </w:lvl>
    <w:lvl w:ilvl="1">
      <w:start w:val="1"/>
      <w:numFmt w:val="decimal"/>
      <w:lvlText w:val="%1.%2"/>
      <w:lvlJc w:val="left"/>
      <w:pPr>
        <w:ind w:left="576" w:hanging="576"/>
      </w:pPr>
      <w:rPr>
        <w:b/>
        <w:bCs w:val="0"/>
        <w:i w:val="0"/>
        <w:iCs w:val="0"/>
        <w:caps w:val="0"/>
        <w:smallCaps w:val="0"/>
        <w:strike w:val="0"/>
        <w:dstrike w:val="0"/>
        <w:noProof w:val="0"/>
        <w:vanish w:val="0"/>
        <w:color w:val="62B5E5" w:themeColor="accent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0BE805CD"/>
    <w:multiLevelType w:val="multilevel"/>
    <w:tmpl w:val="BE0A3C7C"/>
    <w:lvl w:ilvl="0">
      <w:start w:val="1"/>
      <w:numFmt w:val="upperLetter"/>
      <w:pStyle w:val="Appendixhead1"/>
      <w:suff w:val="nothing"/>
      <w:lvlText w:val="Appendix %1"/>
      <w:lvlJc w:val="left"/>
      <w:pPr>
        <w:ind w:left="0" w:firstLine="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794" w:hanging="794"/>
      </w:pPr>
      <w:rPr>
        <w:rFonts w:hint="default"/>
      </w:rPr>
    </w:lvl>
    <w:lvl w:ilvl="4">
      <w:start w:val="1"/>
      <w:numFmt w:val="decimal"/>
      <w:lvlText w:val="%1.%2.%3.%4.%5."/>
      <w:lvlJc w:val="left"/>
      <w:pPr>
        <w:ind w:left="1134" w:hanging="1134"/>
      </w:pPr>
      <w:rPr>
        <w:rFonts w:hint="default"/>
        <w:color w:val="44546A" w:themeColor="text2"/>
        <w:sz w:val="22"/>
      </w:rPr>
    </w:lvl>
    <w:lvl w:ilvl="5">
      <w:start w:val="1"/>
      <w:numFmt w:val="decimal"/>
      <w:lvlText w:val="%1.%2.%3.%4.%5.%6."/>
      <w:lvlJc w:val="left"/>
      <w:pPr>
        <w:ind w:left="1701" w:hanging="1701"/>
      </w:pPr>
      <w:rPr>
        <w:rFonts w:hint="default"/>
      </w:rPr>
    </w:lvl>
    <w:lvl w:ilvl="6">
      <w:start w:val="1"/>
      <w:numFmt w:val="decimal"/>
      <w:lvlRestart w:val="1"/>
      <w:suff w:val="nothing"/>
      <w:lvlText w:val="Table %1.%7"/>
      <w:lvlJc w:val="left"/>
      <w:pPr>
        <w:ind w:left="0" w:firstLine="0"/>
      </w:pPr>
      <w:rPr>
        <w:rFonts w:hint="default"/>
      </w:rPr>
    </w:lvl>
    <w:lvl w:ilvl="7">
      <w:start w:val="1"/>
      <w:numFmt w:val="decimal"/>
      <w:lvlRestart w:val="1"/>
      <w:suff w:val="nothing"/>
      <w:lvlText w:val="Chart %1.%8"/>
      <w:lvlJc w:val="left"/>
      <w:pPr>
        <w:ind w:left="0" w:firstLine="0"/>
      </w:pPr>
      <w:rPr>
        <w:rFonts w:hint="default"/>
      </w:rPr>
    </w:lvl>
    <w:lvl w:ilvl="8">
      <w:start w:val="1"/>
      <w:numFmt w:val="decimal"/>
      <w:lvlRestart w:val="1"/>
      <w:suff w:val="nothing"/>
      <w:lvlText w:val="Figure %1.%9"/>
      <w:lvlJc w:val="left"/>
      <w:pPr>
        <w:ind w:left="0" w:firstLine="0"/>
      </w:pPr>
      <w:rPr>
        <w:rFonts w:hint="default"/>
      </w:rPr>
    </w:lvl>
  </w:abstractNum>
  <w:abstractNum w:abstractNumId="14" w15:restartNumberingAfterBreak="0">
    <w:nsid w:val="0D495AD1"/>
    <w:multiLevelType w:val="hybridMultilevel"/>
    <w:tmpl w:val="895AA7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15E059C"/>
    <w:multiLevelType w:val="hybridMultilevel"/>
    <w:tmpl w:val="ADB0C2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25920E7"/>
    <w:multiLevelType w:val="multilevel"/>
    <w:tmpl w:val="0A0E1412"/>
    <w:lvl w:ilvl="0">
      <w:start w:val="1"/>
      <w:numFmt w:val="bullet"/>
      <w:lvlText w:val=""/>
      <w:lvlJc w:val="left"/>
      <w:pPr>
        <w:ind w:left="227" w:hanging="227"/>
      </w:pPr>
      <w:rPr>
        <w:rFonts w:ascii="Symbol" w:hAnsi="Symbol" w:hint="default"/>
      </w:rPr>
    </w:lvl>
    <w:lvl w:ilvl="1">
      <w:start w:val="1"/>
      <w:numFmt w:val="bullet"/>
      <w:lvlRestart w:val="0"/>
      <w:lvlText w:val="–"/>
      <w:lvlJc w:val="left"/>
      <w:pPr>
        <w:tabs>
          <w:tab w:val="num" w:pos="227"/>
        </w:tabs>
        <w:ind w:left="454" w:hanging="227"/>
      </w:pPr>
      <w:rPr>
        <w:rFonts w:ascii="Calibri" w:hAnsi="Calibri" w:cs="Times New Roman" w:hint="default"/>
      </w:rPr>
    </w:lvl>
    <w:lvl w:ilvl="2">
      <w:start w:val="1"/>
      <w:numFmt w:val="none"/>
      <w:lvlRestart w:val="0"/>
      <w:lvlText w:val=""/>
      <w:lvlJc w:val="left"/>
      <w:pPr>
        <w:ind w:left="0" w:firstLine="0"/>
      </w:pPr>
    </w:lvl>
    <w:lvl w:ilvl="3">
      <w:start w:val="1"/>
      <w:numFmt w:val="none"/>
      <w:lvlRestart w:val="0"/>
      <w:lvlText w:val=""/>
      <w:lvlJc w:val="left"/>
      <w:pPr>
        <w:ind w:left="0" w:firstLine="0"/>
      </w:pPr>
    </w:lvl>
    <w:lvl w:ilvl="4">
      <w:start w:val="1"/>
      <w:numFmt w:val="none"/>
      <w:lvlRestart w:val="0"/>
      <w:lvlText w:val=""/>
      <w:lvlJc w:val="left"/>
      <w:pPr>
        <w:ind w:left="0" w:firstLine="0"/>
      </w:pPr>
    </w:lvl>
    <w:lvl w:ilvl="5">
      <w:start w:val="1"/>
      <w:numFmt w:val="none"/>
      <w:lvlRestart w:val="0"/>
      <w:lvlText w:val=""/>
      <w:lvlJc w:val="left"/>
      <w:pPr>
        <w:ind w:left="0" w:firstLine="0"/>
      </w:pPr>
    </w:lvl>
    <w:lvl w:ilvl="6">
      <w:start w:val="1"/>
      <w:numFmt w:val="none"/>
      <w:lvlRestart w:val="0"/>
      <w:lvlText w:val=""/>
      <w:lvlJc w:val="left"/>
      <w:pPr>
        <w:ind w:left="0" w:firstLine="0"/>
      </w:pPr>
    </w:lvl>
    <w:lvl w:ilvl="7">
      <w:start w:val="1"/>
      <w:numFmt w:val="none"/>
      <w:lvlRestart w:val="0"/>
      <w:lvlText w:val=""/>
      <w:lvlJc w:val="left"/>
      <w:pPr>
        <w:ind w:left="0" w:firstLine="0"/>
      </w:pPr>
    </w:lvl>
    <w:lvl w:ilvl="8">
      <w:start w:val="1"/>
      <w:numFmt w:val="none"/>
      <w:lvlRestart w:val="0"/>
      <w:lvlText w:val=""/>
      <w:lvlJc w:val="left"/>
      <w:pPr>
        <w:ind w:left="0" w:firstLine="0"/>
      </w:pPr>
    </w:lvl>
  </w:abstractNum>
  <w:abstractNum w:abstractNumId="17" w15:restartNumberingAfterBreak="0">
    <w:nsid w:val="131B2FFD"/>
    <w:multiLevelType w:val="hybridMultilevel"/>
    <w:tmpl w:val="F168DCCE"/>
    <w:lvl w:ilvl="0" w:tplc="D2CA212C">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15:restartNumberingAfterBreak="0">
    <w:nsid w:val="150C1FFF"/>
    <w:multiLevelType w:val="hybridMultilevel"/>
    <w:tmpl w:val="FE5A8D2E"/>
    <w:lvl w:ilvl="0" w:tplc="7B829156">
      <w:numFmt w:val="bullet"/>
      <w:lvlText w:val="•"/>
      <w:lvlJc w:val="left"/>
      <w:pPr>
        <w:ind w:left="717" w:hanging="660"/>
      </w:pPr>
      <w:rPr>
        <w:rFonts w:ascii="Verdana" w:eastAsiaTheme="minorHAnsi" w:hAnsi="Verdana" w:cs="Segoe UI Light" w:hint="default"/>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19" w15:restartNumberingAfterBreak="0">
    <w:nsid w:val="1579747A"/>
    <w:multiLevelType w:val="multilevel"/>
    <w:tmpl w:val="8BF83372"/>
    <w:lvl w:ilvl="0">
      <w:start w:val="1"/>
      <w:numFmt w:val="none"/>
      <w:pStyle w:val="ExecutiveHeading"/>
      <w:suff w:val="nothing"/>
      <w:lvlText w:val=""/>
      <w:lvlJc w:val="left"/>
      <w:pPr>
        <w:ind w:left="0" w:firstLine="0"/>
      </w:pPr>
      <w:rPr>
        <w:rFonts w:hint="default"/>
      </w:rPr>
    </w:lvl>
    <w:lvl w:ilvl="1">
      <w:start w:val="1"/>
      <w:numFmt w:val="lowerRoman"/>
      <w:lvlRestart w:val="0"/>
      <w:pStyle w:val="ExecTableCaption"/>
      <w:suff w:val="nothing"/>
      <w:lvlText w:val="Table %2"/>
      <w:lvlJc w:val="left"/>
      <w:pPr>
        <w:ind w:left="0" w:firstLine="0"/>
      </w:pPr>
      <w:rPr>
        <w:rFonts w:hint="default"/>
      </w:rPr>
    </w:lvl>
    <w:lvl w:ilvl="2">
      <w:start w:val="1"/>
      <w:numFmt w:val="lowerRoman"/>
      <w:lvlRestart w:val="0"/>
      <w:pStyle w:val="ExecChartCaption"/>
      <w:suff w:val="nothing"/>
      <w:lvlText w:val="Chart %3"/>
      <w:lvlJc w:val="left"/>
      <w:pPr>
        <w:ind w:left="0" w:firstLine="0"/>
      </w:pPr>
      <w:rPr>
        <w:rFonts w:hint="default"/>
      </w:rPr>
    </w:lvl>
    <w:lvl w:ilvl="3">
      <w:start w:val="1"/>
      <w:numFmt w:val="lowerRoman"/>
      <w:lvlRestart w:val="0"/>
      <w:pStyle w:val="ExecFigureCaption"/>
      <w:suff w:val="nothing"/>
      <w:lvlText w:val="Figure %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20" w15:restartNumberingAfterBreak="0">
    <w:nsid w:val="18331C7E"/>
    <w:multiLevelType w:val="hybridMultilevel"/>
    <w:tmpl w:val="91283A1E"/>
    <w:lvl w:ilvl="0" w:tplc="1FE0315E">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864683E"/>
    <w:multiLevelType w:val="hybridMultilevel"/>
    <w:tmpl w:val="9B8E32A0"/>
    <w:lvl w:ilvl="0" w:tplc="FCE21184">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18825C36"/>
    <w:multiLevelType w:val="hybridMultilevel"/>
    <w:tmpl w:val="A446AB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8E0104F"/>
    <w:multiLevelType w:val="multilevel"/>
    <w:tmpl w:val="57629E32"/>
    <w:lvl w:ilvl="0">
      <w:start w:val="1"/>
      <w:numFmt w:val="bullet"/>
      <w:pStyle w:val="ListBullet3"/>
      <w:lvlText w:val=""/>
      <w:lvlJc w:val="left"/>
      <w:pPr>
        <w:ind w:left="1021" w:hanging="341"/>
      </w:pPr>
      <w:rPr>
        <w:rFonts w:ascii="Symbol" w:hAnsi="Symbol" w:hint="default"/>
      </w:rPr>
    </w:lvl>
    <w:lvl w:ilvl="1">
      <w:start w:val="1"/>
      <w:numFmt w:val="bullet"/>
      <w:lvlText w:val="–"/>
      <w:lvlJc w:val="left"/>
      <w:pPr>
        <w:ind w:left="1361" w:hanging="341"/>
      </w:pPr>
      <w:rPr>
        <w:rFonts w:ascii="Verdana" w:hAnsi="Verdana" w:hint="default"/>
      </w:rPr>
    </w:lvl>
    <w:lvl w:ilvl="2">
      <w:start w:val="1"/>
      <w:numFmt w:val="bullet"/>
      <w:lvlText w:val=""/>
      <w:lvlJc w:val="left"/>
      <w:pPr>
        <w:ind w:left="1701" w:hanging="341"/>
      </w:pPr>
      <w:rPr>
        <w:rFonts w:ascii="Symbol" w:hAnsi="Symbol" w:hint="default"/>
      </w:rPr>
    </w:lvl>
    <w:lvl w:ilvl="3">
      <w:start w:val="1"/>
      <w:numFmt w:val="bullet"/>
      <w:lvlText w:val="–"/>
      <w:lvlJc w:val="left"/>
      <w:pPr>
        <w:ind w:left="2041" w:hanging="341"/>
      </w:pPr>
      <w:rPr>
        <w:rFonts w:ascii="Verdana" w:hAnsi="Verdana" w:hint="default"/>
      </w:rPr>
    </w:lvl>
    <w:lvl w:ilvl="4">
      <w:start w:val="1"/>
      <w:numFmt w:val="bullet"/>
      <w:lvlText w:val=""/>
      <w:lvlJc w:val="left"/>
      <w:pPr>
        <w:ind w:left="2381" w:hanging="341"/>
      </w:pPr>
      <w:rPr>
        <w:rFonts w:ascii="Symbol" w:hAnsi="Symbol" w:hint="default"/>
      </w:rPr>
    </w:lvl>
    <w:lvl w:ilvl="5">
      <w:start w:val="1"/>
      <w:numFmt w:val="bullet"/>
      <w:lvlText w:val="–"/>
      <w:lvlJc w:val="left"/>
      <w:pPr>
        <w:ind w:left="2721" w:hanging="341"/>
      </w:pPr>
      <w:rPr>
        <w:rFonts w:ascii="Verdana" w:hAnsi="Verdana" w:hint="default"/>
      </w:rPr>
    </w:lvl>
    <w:lvl w:ilvl="6">
      <w:start w:val="1"/>
      <w:numFmt w:val="bullet"/>
      <w:lvlText w:val=""/>
      <w:lvlJc w:val="left"/>
      <w:pPr>
        <w:ind w:left="3061" w:hanging="341"/>
      </w:pPr>
      <w:rPr>
        <w:rFonts w:ascii="Symbol" w:hAnsi="Symbol" w:hint="default"/>
      </w:rPr>
    </w:lvl>
    <w:lvl w:ilvl="7">
      <w:start w:val="1"/>
      <w:numFmt w:val="bullet"/>
      <w:lvlText w:val="–"/>
      <w:lvlJc w:val="left"/>
      <w:pPr>
        <w:ind w:left="3401" w:hanging="341"/>
      </w:pPr>
      <w:rPr>
        <w:rFonts w:ascii="Verdana" w:hAnsi="Verdana" w:hint="default"/>
      </w:rPr>
    </w:lvl>
    <w:lvl w:ilvl="8">
      <w:start w:val="1"/>
      <w:numFmt w:val="bullet"/>
      <w:lvlText w:val=""/>
      <w:lvlJc w:val="left"/>
      <w:pPr>
        <w:ind w:left="3741" w:hanging="341"/>
      </w:pPr>
      <w:rPr>
        <w:rFonts w:ascii="Symbol" w:hAnsi="Symbol" w:hint="default"/>
      </w:rPr>
    </w:lvl>
  </w:abstractNum>
  <w:abstractNum w:abstractNumId="24" w15:restartNumberingAfterBreak="0">
    <w:nsid w:val="1AB95D5E"/>
    <w:multiLevelType w:val="hybridMultilevel"/>
    <w:tmpl w:val="FBDEF9B6"/>
    <w:lvl w:ilvl="0" w:tplc="0C090011">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B985244"/>
    <w:multiLevelType w:val="hybridMultilevel"/>
    <w:tmpl w:val="E6EC7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BD03BAC"/>
    <w:multiLevelType w:val="hybridMultilevel"/>
    <w:tmpl w:val="A5D8F8C2"/>
    <w:lvl w:ilvl="0" w:tplc="B568E6B0">
      <w:start w:val="1"/>
      <w:numFmt w:val="bullet"/>
      <w:lvlText w:val="-"/>
      <w:lvlJc w:val="left"/>
      <w:pPr>
        <w:ind w:left="72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D1D0DAA"/>
    <w:multiLevelType w:val="hybridMultilevel"/>
    <w:tmpl w:val="AEF2E9AA"/>
    <w:lvl w:ilvl="0" w:tplc="7B829156">
      <w:numFmt w:val="bullet"/>
      <w:lvlText w:val="•"/>
      <w:lvlJc w:val="left"/>
      <w:pPr>
        <w:ind w:left="1077" w:hanging="660"/>
      </w:pPr>
      <w:rPr>
        <w:rFonts w:ascii="Verdana" w:eastAsiaTheme="minorHAnsi" w:hAnsi="Verdana" w:cs="Segoe UI 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1D3367B0"/>
    <w:multiLevelType w:val="hybridMultilevel"/>
    <w:tmpl w:val="0B8AF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FCB5C9C"/>
    <w:multiLevelType w:val="hybridMultilevel"/>
    <w:tmpl w:val="FD24FAE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11B4768"/>
    <w:multiLevelType w:val="hybridMultilevel"/>
    <w:tmpl w:val="44B8BC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29BC5B3C"/>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2A7A4256"/>
    <w:multiLevelType w:val="hybridMultilevel"/>
    <w:tmpl w:val="0E5EA3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A7D2EC2"/>
    <w:multiLevelType w:val="hybridMultilevel"/>
    <w:tmpl w:val="F78C6226"/>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4" w15:restartNumberingAfterBreak="0">
    <w:nsid w:val="2B9F302D"/>
    <w:multiLevelType w:val="hybridMultilevel"/>
    <w:tmpl w:val="58063B50"/>
    <w:lvl w:ilvl="0" w:tplc="EEF276F0">
      <w:start w:val="1"/>
      <w:numFmt w:val="bullet"/>
      <w:pStyle w:val="BulletedText1"/>
      <w:lvlText w:val=""/>
      <w:lvlJc w:val="left"/>
      <w:pPr>
        <w:ind w:left="227" w:hanging="227"/>
      </w:pPr>
      <w:rPr>
        <w:rFonts w:ascii="Wingdings" w:hAnsi="Wingdings" w:hint="default"/>
        <w:color w:val="44546A" w:themeColor="text2"/>
        <w:sz w:val="18"/>
      </w:rPr>
    </w:lvl>
    <w:lvl w:ilvl="1" w:tplc="358A665A">
      <w:start w:val="1"/>
      <w:numFmt w:val="bullet"/>
      <w:pStyle w:val="BulletedText2"/>
      <w:lvlText w:val="–"/>
      <w:lvlJc w:val="left"/>
      <w:pPr>
        <w:ind w:left="454" w:hanging="227"/>
      </w:pPr>
      <w:rPr>
        <w:rFonts w:ascii="Verdana" w:hAnsi="Verdana" w:hint="default"/>
      </w:rPr>
    </w:lvl>
    <w:lvl w:ilvl="2" w:tplc="0ADAA20E">
      <w:start w:val="1"/>
      <w:numFmt w:val="bullet"/>
      <w:lvlText w:val=""/>
      <w:lvlJc w:val="left"/>
      <w:pPr>
        <w:ind w:left="681" w:hanging="227"/>
      </w:pPr>
      <w:rPr>
        <w:rFonts w:ascii="Wingdings" w:hAnsi="Wingdings" w:hint="default"/>
        <w:color w:val="44546A" w:themeColor="text2"/>
      </w:rPr>
    </w:lvl>
    <w:lvl w:ilvl="3" w:tplc="72EE9DD2">
      <w:start w:val="1"/>
      <w:numFmt w:val="bullet"/>
      <w:lvlText w:val="–"/>
      <w:lvlJc w:val="left"/>
      <w:pPr>
        <w:ind w:left="908" w:hanging="227"/>
      </w:pPr>
      <w:rPr>
        <w:rFonts w:ascii="Gotham Bold" w:hAnsi="Gotham Bold" w:hint="default"/>
        <w:color w:val="64645A"/>
      </w:rPr>
    </w:lvl>
    <w:lvl w:ilvl="4" w:tplc="2FD6AEF0">
      <w:start w:val="1"/>
      <w:numFmt w:val="bullet"/>
      <w:lvlText w:val=""/>
      <w:lvlJc w:val="left"/>
      <w:pPr>
        <w:ind w:left="1135" w:hanging="227"/>
      </w:pPr>
      <w:rPr>
        <w:rFonts w:ascii="Wingdings" w:hAnsi="Wingdings" w:hint="default"/>
        <w:color w:val="44546A" w:themeColor="text2"/>
      </w:rPr>
    </w:lvl>
    <w:lvl w:ilvl="5" w:tplc="C71C3038">
      <w:start w:val="1"/>
      <w:numFmt w:val="bullet"/>
      <w:lvlText w:val="–"/>
      <w:lvlJc w:val="left"/>
      <w:pPr>
        <w:ind w:left="1362" w:hanging="227"/>
      </w:pPr>
      <w:rPr>
        <w:rFonts w:ascii="Gotham Bold" w:hAnsi="Gotham Bold" w:hint="default"/>
        <w:color w:val="64645A"/>
      </w:rPr>
    </w:lvl>
    <w:lvl w:ilvl="6" w:tplc="44BEB63A">
      <w:start w:val="1"/>
      <w:numFmt w:val="bullet"/>
      <w:lvlText w:val=""/>
      <w:lvlJc w:val="left"/>
      <w:pPr>
        <w:ind w:left="1589" w:hanging="227"/>
      </w:pPr>
      <w:rPr>
        <w:rFonts w:ascii="Wingdings" w:hAnsi="Wingdings" w:hint="default"/>
        <w:color w:val="44546A" w:themeColor="text2"/>
      </w:rPr>
    </w:lvl>
    <w:lvl w:ilvl="7" w:tplc="5AD04576">
      <w:start w:val="1"/>
      <w:numFmt w:val="bullet"/>
      <w:lvlText w:val="–"/>
      <w:lvlJc w:val="left"/>
      <w:pPr>
        <w:ind w:left="1816" w:hanging="227"/>
      </w:pPr>
      <w:rPr>
        <w:rFonts w:ascii="Gotham Bold" w:hAnsi="Gotham Bold" w:hint="default"/>
        <w:color w:val="64645A"/>
      </w:rPr>
    </w:lvl>
    <w:lvl w:ilvl="8" w:tplc="267471FA">
      <w:start w:val="1"/>
      <w:numFmt w:val="bullet"/>
      <w:lvlText w:val=""/>
      <w:lvlJc w:val="left"/>
      <w:pPr>
        <w:ind w:left="2043" w:hanging="227"/>
      </w:pPr>
      <w:rPr>
        <w:rFonts w:ascii="Wingdings" w:hAnsi="Wingdings" w:hint="default"/>
        <w:color w:val="44546A" w:themeColor="text2"/>
      </w:rPr>
    </w:lvl>
  </w:abstractNum>
  <w:abstractNum w:abstractNumId="35" w15:restartNumberingAfterBreak="0">
    <w:nsid w:val="2BDE21FF"/>
    <w:multiLevelType w:val="hybridMultilevel"/>
    <w:tmpl w:val="F88A5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CF268A6"/>
    <w:multiLevelType w:val="multilevel"/>
    <w:tmpl w:val="0C090025"/>
    <w:lvl w:ilvl="0">
      <w:start w:val="1"/>
      <w:numFmt w:val="decimal"/>
      <w:lvlText w:val="%1"/>
      <w:lvlJc w:val="left"/>
      <w:pPr>
        <w:ind w:left="432" w:hanging="432"/>
      </w:pPr>
      <w:rPr>
        <w:rFonts w:hint="default"/>
      </w:rPr>
    </w:lvl>
    <w:lvl w:ilvl="1">
      <w:start w:val="1"/>
      <w:numFmt w:val="decimal"/>
      <w:lvlText w:val="%1.%2"/>
      <w:lvlJc w:val="left"/>
      <w:pPr>
        <w:ind w:left="576"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2D110FB0"/>
    <w:multiLevelType w:val="hybridMultilevel"/>
    <w:tmpl w:val="331881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2DF248C2"/>
    <w:multiLevelType w:val="hybridMultilevel"/>
    <w:tmpl w:val="FFE8EC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E081366"/>
    <w:multiLevelType w:val="multilevel"/>
    <w:tmpl w:val="0FF2389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2E9833A3"/>
    <w:multiLevelType w:val="hybridMultilevel"/>
    <w:tmpl w:val="5DC237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0CA6647"/>
    <w:multiLevelType w:val="hybridMultilevel"/>
    <w:tmpl w:val="F62A5D4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1930EE5"/>
    <w:multiLevelType w:val="hybridMultilevel"/>
    <w:tmpl w:val="FA288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2AA5A3B"/>
    <w:multiLevelType w:val="hybridMultilevel"/>
    <w:tmpl w:val="9022E37A"/>
    <w:lvl w:ilvl="0" w:tplc="FE0464F8">
      <w:start w:val="1"/>
      <w:numFmt w:val="lowerLetter"/>
      <w:lvlText w:val="%1)"/>
      <w:lvlJc w:val="left"/>
      <w:pPr>
        <w:ind w:left="700" w:hanging="340"/>
      </w:pPr>
      <w:rPr>
        <w:rFonts w:hint="default"/>
      </w:rPr>
    </w:lvl>
    <w:lvl w:ilvl="1" w:tplc="DDA49432">
      <w:start w:val="1"/>
      <w:numFmt w:val="lowerLetter"/>
      <w:lvlText w:val="%2)"/>
      <w:lvlJc w:val="left"/>
      <w:pPr>
        <w:ind w:left="1040" w:hanging="340"/>
      </w:pPr>
      <w:rPr>
        <w:rFonts w:hint="default"/>
      </w:rPr>
    </w:lvl>
    <w:lvl w:ilvl="2" w:tplc="EEB8A096">
      <w:start w:val="1"/>
      <w:numFmt w:val="lowerRoman"/>
      <w:lvlText w:val="%3)"/>
      <w:lvlJc w:val="left"/>
      <w:pPr>
        <w:ind w:left="1380" w:hanging="340"/>
      </w:pPr>
      <w:rPr>
        <w:rFonts w:hint="default"/>
      </w:rPr>
    </w:lvl>
    <w:lvl w:ilvl="3" w:tplc="13C0F520">
      <w:start w:val="1"/>
      <w:numFmt w:val="decimal"/>
      <w:lvlText w:val="(%4)"/>
      <w:lvlJc w:val="left"/>
      <w:pPr>
        <w:ind w:left="1720" w:hanging="340"/>
      </w:pPr>
      <w:rPr>
        <w:rFonts w:hint="default"/>
      </w:rPr>
    </w:lvl>
    <w:lvl w:ilvl="4" w:tplc="52F869D8">
      <w:start w:val="1"/>
      <w:numFmt w:val="lowerLetter"/>
      <w:lvlText w:val="(%5)"/>
      <w:lvlJc w:val="left"/>
      <w:pPr>
        <w:ind w:left="2060" w:hanging="340"/>
      </w:pPr>
      <w:rPr>
        <w:rFonts w:hint="default"/>
      </w:rPr>
    </w:lvl>
    <w:lvl w:ilvl="5" w:tplc="F1D4F48A">
      <w:start w:val="1"/>
      <w:numFmt w:val="lowerRoman"/>
      <w:lvlText w:val="(%6)"/>
      <w:lvlJc w:val="left"/>
      <w:pPr>
        <w:ind w:left="2400" w:hanging="340"/>
      </w:pPr>
      <w:rPr>
        <w:rFonts w:hint="default"/>
      </w:rPr>
    </w:lvl>
    <w:lvl w:ilvl="6" w:tplc="0750028E">
      <w:start w:val="1"/>
      <w:numFmt w:val="decimal"/>
      <w:lvlText w:val="%7."/>
      <w:lvlJc w:val="left"/>
      <w:pPr>
        <w:ind w:left="2740" w:hanging="340"/>
      </w:pPr>
      <w:rPr>
        <w:rFonts w:hint="default"/>
      </w:rPr>
    </w:lvl>
    <w:lvl w:ilvl="7" w:tplc="3A5C466E">
      <w:start w:val="1"/>
      <w:numFmt w:val="lowerLetter"/>
      <w:lvlText w:val="%8."/>
      <w:lvlJc w:val="left"/>
      <w:pPr>
        <w:ind w:left="3080" w:hanging="340"/>
      </w:pPr>
      <w:rPr>
        <w:rFonts w:hint="default"/>
      </w:rPr>
    </w:lvl>
    <w:lvl w:ilvl="8" w:tplc="808294E4">
      <w:start w:val="1"/>
      <w:numFmt w:val="lowerRoman"/>
      <w:lvlText w:val="%9."/>
      <w:lvlJc w:val="left"/>
      <w:pPr>
        <w:ind w:left="3420" w:hanging="340"/>
      </w:pPr>
      <w:rPr>
        <w:rFonts w:hint="default"/>
      </w:rPr>
    </w:lvl>
  </w:abstractNum>
  <w:abstractNum w:abstractNumId="44" w15:restartNumberingAfterBreak="0">
    <w:nsid w:val="32FB11EE"/>
    <w:multiLevelType w:val="hybridMultilevel"/>
    <w:tmpl w:val="08AAE71E"/>
    <w:lvl w:ilvl="0" w:tplc="7D0800C0">
      <w:start w:val="1"/>
      <w:numFmt w:val="decimal"/>
      <w:lvlText w:val="%1."/>
      <w:lvlJc w:val="left"/>
      <w:pPr>
        <w:tabs>
          <w:tab w:val="num" w:pos="720"/>
        </w:tabs>
        <w:ind w:left="720" w:hanging="720"/>
      </w:pPr>
    </w:lvl>
    <w:lvl w:ilvl="1" w:tplc="198EAAD2">
      <w:start w:val="1"/>
      <w:numFmt w:val="decimal"/>
      <w:lvlText w:val="%2."/>
      <w:lvlJc w:val="left"/>
      <w:pPr>
        <w:tabs>
          <w:tab w:val="num" w:pos="1440"/>
        </w:tabs>
        <w:ind w:left="1440" w:hanging="720"/>
      </w:pPr>
    </w:lvl>
    <w:lvl w:ilvl="2" w:tplc="E0720F26">
      <w:start w:val="1"/>
      <w:numFmt w:val="decimal"/>
      <w:lvlText w:val="%3."/>
      <w:lvlJc w:val="left"/>
      <w:pPr>
        <w:tabs>
          <w:tab w:val="num" w:pos="2160"/>
        </w:tabs>
        <w:ind w:left="2160" w:hanging="720"/>
      </w:pPr>
    </w:lvl>
    <w:lvl w:ilvl="3" w:tplc="7C5EB788">
      <w:start w:val="1"/>
      <w:numFmt w:val="decimal"/>
      <w:lvlText w:val="%4."/>
      <w:lvlJc w:val="left"/>
      <w:pPr>
        <w:tabs>
          <w:tab w:val="num" w:pos="2880"/>
        </w:tabs>
        <w:ind w:left="2880" w:hanging="720"/>
      </w:pPr>
    </w:lvl>
    <w:lvl w:ilvl="4" w:tplc="87FE930C">
      <w:start w:val="1"/>
      <w:numFmt w:val="decimal"/>
      <w:lvlText w:val="%5."/>
      <w:lvlJc w:val="left"/>
      <w:pPr>
        <w:tabs>
          <w:tab w:val="num" w:pos="3600"/>
        </w:tabs>
        <w:ind w:left="3600" w:hanging="720"/>
      </w:pPr>
    </w:lvl>
    <w:lvl w:ilvl="5" w:tplc="AC0A936C">
      <w:start w:val="1"/>
      <w:numFmt w:val="decimal"/>
      <w:lvlText w:val="%6."/>
      <w:lvlJc w:val="left"/>
      <w:pPr>
        <w:tabs>
          <w:tab w:val="num" w:pos="4320"/>
        </w:tabs>
        <w:ind w:left="4320" w:hanging="720"/>
      </w:pPr>
    </w:lvl>
    <w:lvl w:ilvl="6" w:tplc="3E1E7AE4">
      <w:start w:val="1"/>
      <w:numFmt w:val="decimal"/>
      <w:lvlText w:val="%7."/>
      <w:lvlJc w:val="left"/>
      <w:pPr>
        <w:tabs>
          <w:tab w:val="num" w:pos="5040"/>
        </w:tabs>
        <w:ind w:left="5040" w:hanging="720"/>
      </w:pPr>
    </w:lvl>
    <w:lvl w:ilvl="7" w:tplc="DB92E9F2">
      <w:start w:val="1"/>
      <w:numFmt w:val="decimal"/>
      <w:lvlText w:val="%8."/>
      <w:lvlJc w:val="left"/>
      <w:pPr>
        <w:tabs>
          <w:tab w:val="num" w:pos="5760"/>
        </w:tabs>
        <w:ind w:left="5760" w:hanging="720"/>
      </w:pPr>
    </w:lvl>
    <w:lvl w:ilvl="8" w:tplc="68A6380E">
      <w:start w:val="1"/>
      <w:numFmt w:val="decimal"/>
      <w:lvlText w:val="%9."/>
      <w:lvlJc w:val="left"/>
      <w:pPr>
        <w:tabs>
          <w:tab w:val="num" w:pos="6480"/>
        </w:tabs>
        <w:ind w:left="6480" w:hanging="720"/>
      </w:pPr>
    </w:lvl>
  </w:abstractNum>
  <w:abstractNum w:abstractNumId="45" w15:restartNumberingAfterBreak="0">
    <w:nsid w:val="33DB1099"/>
    <w:multiLevelType w:val="hybridMultilevel"/>
    <w:tmpl w:val="F49ED32C"/>
    <w:lvl w:ilvl="0" w:tplc="0C090003">
      <w:start w:val="1"/>
      <w:numFmt w:val="bullet"/>
      <w:lvlText w:val="o"/>
      <w:lvlJc w:val="left"/>
      <w:pPr>
        <w:ind w:left="1080" w:hanging="360"/>
      </w:pPr>
      <w:rPr>
        <w:rFonts w:ascii="Courier New" w:hAnsi="Courier New" w:cs="Courier New" w:hint="default"/>
      </w:rPr>
    </w:lvl>
    <w:lvl w:ilvl="1" w:tplc="2E32833E">
      <w:numFmt w:val="bullet"/>
      <w:lvlText w:val="•"/>
      <w:lvlJc w:val="left"/>
      <w:pPr>
        <w:ind w:left="2160" w:hanging="720"/>
      </w:pPr>
      <w:rPr>
        <w:rFonts w:ascii="Verdana" w:eastAsiaTheme="minorHAnsi" w:hAnsi="Verdana" w:cstheme="minorBidi"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 w15:restartNumberingAfterBreak="0">
    <w:nsid w:val="37713B65"/>
    <w:multiLevelType w:val="hybridMultilevel"/>
    <w:tmpl w:val="A9CA4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8803360"/>
    <w:multiLevelType w:val="hybridMultilevel"/>
    <w:tmpl w:val="549C64C2"/>
    <w:lvl w:ilvl="0" w:tplc="77C2CB30">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 w15:restartNumberingAfterBreak="0">
    <w:nsid w:val="38D339C2"/>
    <w:multiLevelType w:val="hybridMultilevel"/>
    <w:tmpl w:val="0A0E1412"/>
    <w:lvl w:ilvl="0" w:tplc="AD144588">
      <w:start w:val="1"/>
      <w:numFmt w:val="bullet"/>
      <w:lvlText w:val=""/>
      <w:lvlJc w:val="left"/>
      <w:pPr>
        <w:ind w:left="227" w:hanging="227"/>
      </w:pPr>
      <w:rPr>
        <w:rFonts w:ascii="Symbol" w:hAnsi="Symbol" w:hint="default"/>
      </w:rPr>
    </w:lvl>
    <w:lvl w:ilvl="1" w:tplc="C4A6BBB2">
      <w:start w:val="1"/>
      <w:numFmt w:val="bullet"/>
      <w:lvlRestart w:val="0"/>
      <w:lvlText w:val="–"/>
      <w:lvlJc w:val="left"/>
      <w:pPr>
        <w:tabs>
          <w:tab w:val="num" w:pos="227"/>
        </w:tabs>
        <w:ind w:left="454" w:hanging="227"/>
      </w:pPr>
      <w:rPr>
        <w:rFonts w:ascii="Calibri" w:hAnsi="Calibri" w:cs="Times New Roman" w:hint="default"/>
      </w:rPr>
    </w:lvl>
    <w:lvl w:ilvl="2" w:tplc="3D7C4348">
      <w:start w:val="1"/>
      <w:numFmt w:val="none"/>
      <w:lvlRestart w:val="0"/>
      <w:lvlText w:val=""/>
      <w:lvlJc w:val="left"/>
      <w:pPr>
        <w:ind w:left="0" w:firstLine="0"/>
      </w:pPr>
    </w:lvl>
    <w:lvl w:ilvl="3" w:tplc="9EEE77F6">
      <w:start w:val="1"/>
      <w:numFmt w:val="none"/>
      <w:lvlRestart w:val="0"/>
      <w:lvlText w:val=""/>
      <w:lvlJc w:val="left"/>
      <w:pPr>
        <w:ind w:left="0" w:firstLine="0"/>
      </w:pPr>
    </w:lvl>
    <w:lvl w:ilvl="4" w:tplc="A282EB84">
      <w:start w:val="1"/>
      <w:numFmt w:val="none"/>
      <w:lvlRestart w:val="0"/>
      <w:lvlText w:val=""/>
      <w:lvlJc w:val="left"/>
      <w:pPr>
        <w:ind w:left="0" w:firstLine="0"/>
      </w:pPr>
    </w:lvl>
    <w:lvl w:ilvl="5" w:tplc="D3609FA0">
      <w:start w:val="1"/>
      <w:numFmt w:val="none"/>
      <w:lvlRestart w:val="0"/>
      <w:lvlText w:val=""/>
      <w:lvlJc w:val="left"/>
      <w:pPr>
        <w:ind w:left="0" w:firstLine="0"/>
      </w:pPr>
    </w:lvl>
    <w:lvl w:ilvl="6" w:tplc="241A619E">
      <w:start w:val="1"/>
      <w:numFmt w:val="none"/>
      <w:lvlRestart w:val="0"/>
      <w:lvlText w:val=""/>
      <w:lvlJc w:val="left"/>
      <w:pPr>
        <w:ind w:left="0" w:firstLine="0"/>
      </w:pPr>
    </w:lvl>
    <w:lvl w:ilvl="7" w:tplc="5CB4C9DE">
      <w:start w:val="1"/>
      <w:numFmt w:val="none"/>
      <w:lvlRestart w:val="0"/>
      <w:lvlText w:val=""/>
      <w:lvlJc w:val="left"/>
      <w:pPr>
        <w:ind w:left="0" w:firstLine="0"/>
      </w:pPr>
    </w:lvl>
    <w:lvl w:ilvl="8" w:tplc="C6AEAB12">
      <w:start w:val="1"/>
      <w:numFmt w:val="none"/>
      <w:lvlRestart w:val="0"/>
      <w:lvlText w:val=""/>
      <w:lvlJc w:val="left"/>
      <w:pPr>
        <w:ind w:left="0" w:firstLine="0"/>
      </w:pPr>
    </w:lvl>
  </w:abstractNum>
  <w:abstractNum w:abstractNumId="49" w15:restartNumberingAfterBreak="0">
    <w:nsid w:val="390821B6"/>
    <w:multiLevelType w:val="hybridMultilevel"/>
    <w:tmpl w:val="F8F69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95B1C49"/>
    <w:multiLevelType w:val="hybridMultilevel"/>
    <w:tmpl w:val="A6FEE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9B16D4B"/>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39F36B2C"/>
    <w:multiLevelType w:val="hybridMultilevel"/>
    <w:tmpl w:val="BD4A384C"/>
    <w:lvl w:ilvl="0" w:tplc="910843D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3A2E2332"/>
    <w:multiLevelType w:val="hybridMultilevel"/>
    <w:tmpl w:val="E26E19A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EB01802"/>
    <w:multiLevelType w:val="hybridMultilevel"/>
    <w:tmpl w:val="4F60961E"/>
    <w:lvl w:ilvl="0" w:tplc="8A04411C">
      <w:start w:val="1"/>
      <w:numFmt w:val="bullet"/>
      <w:lvlText w:val=""/>
      <w:lvlJc w:val="left"/>
      <w:pPr>
        <w:ind w:left="227" w:hanging="227"/>
      </w:pPr>
      <w:rPr>
        <w:rFonts w:ascii="Symbol" w:hAnsi="Symbol" w:hint="default"/>
      </w:rPr>
    </w:lvl>
    <w:lvl w:ilvl="1" w:tplc="55504444">
      <w:start w:val="1"/>
      <w:numFmt w:val="bullet"/>
      <w:lvlRestart w:val="0"/>
      <w:lvlText w:val="–"/>
      <w:lvlJc w:val="left"/>
      <w:pPr>
        <w:tabs>
          <w:tab w:val="num" w:pos="227"/>
        </w:tabs>
        <w:ind w:left="454" w:hanging="227"/>
      </w:pPr>
      <w:rPr>
        <w:rFonts w:ascii="Calibri" w:hAnsi="Calibri" w:cs="Times New Roman" w:hint="default"/>
      </w:rPr>
    </w:lvl>
    <w:lvl w:ilvl="2" w:tplc="3E00CEBC">
      <w:start w:val="1"/>
      <w:numFmt w:val="none"/>
      <w:lvlRestart w:val="0"/>
      <w:lvlText w:val=""/>
      <w:lvlJc w:val="left"/>
      <w:pPr>
        <w:ind w:left="0" w:firstLine="0"/>
      </w:pPr>
    </w:lvl>
    <w:lvl w:ilvl="3" w:tplc="8B9C7EA6">
      <w:start w:val="1"/>
      <w:numFmt w:val="none"/>
      <w:lvlRestart w:val="0"/>
      <w:lvlText w:val=""/>
      <w:lvlJc w:val="left"/>
      <w:pPr>
        <w:ind w:left="0" w:firstLine="0"/>
      </w:pPr>
    </w:lvl>
    <w:lvl w:ilvl="4" w:tplc="238E8B14">
      <w:start w:val="1"/>
      <w:numFmt w:val="none"/>
      <w:lvlRestart w:val="0"/>
      <w:lvlText w:val=""/>
      <w:lvlJc w:val="left"/>
      <w:pPr>
        <w:ind w:left="0" w:firstLine="0"/>
      </w:pPr>
    </w:lvl>
    <w:lvl w:ilvl="5" w:tplc="0364686A">
      <w:start w:val="1"/>
      <w:numFmt w:val="none"/>
      <w:lvlRestart w:val="0"/>
      <w:lvlText w:val=""/>
      <w:lvlJc w:val="left"/>
      <w:pPr>
        <w:ind w:left="0" w:firstLine="0"/>
      </w:pPr>
    </w:lvl>
    <w:lvl w:ilvl="6" w:tplc="3E72FDF8">
      <w:start w:val="1"/>
      <w:numFmt w:val="none"/>
      <w:lvlRestart w:val="0"/>
      <w:lvlText w:val=""/>
      <w:lvlJc w:val="left"/>
      <w:pPr>
        <w:ind w:left="0" w:firstLine="0"/>
      </w:pPr>
    </w:lvl>
    <w:lvl w:ilvl="7" w:tplc="AAD8B6AC">
      <w:start w:val="1"/>
      <w:numFmt w:val="none"/>
      <w:lvlRestart w:val="0"/>
      <w:lvlText w:val=""/>
      <w:lvlJc w:val="left"/>
      <w:pPr>
        <w:ind w:left="0" w:firstLine="0"/>
      </w:pPr>
    </w:lvl>
    <w:lvl w:ilvl="8" w:tplc="96220ED4">
      <w:start w:val="1"/>
      <w:numFmt w:val="none"/>
      <w:lvlRestart w:val="0"/>
      <w:lvlText w:val=""/>
      <w:lvlJc w:val="left"/>
      <w:pPr>
        <w:ind w:left="0" w:firstLine="0"/>
      </w:pPr>
    </w:lvl>
  </w:abstractNum>
  <w:abstractNum w:abstractNumId="55" w15:restartNumberingAfterBreak="0">
    <w:nsid w:val="3FAD01D2"/>
    <w:multiLevelType w:val="multilevel"/>
    <w:tmpl w:val="7F4E45FC"/>
    <w:lvl w:ilvl="0">
      <w:start w:val="1"/>
      <w:numFmt w:val="decimal"/>
      <w:lvlText w:val="%1"/>
      <w:lvlJc w:val="left"/>
      <w:pPr>
        <w:ind w:left="794" w:hanging="79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077" w:hanging="1077"/>
      </w:pPr>
      <w:rPr>
        <w:rFonts w:hint="default"/>
      </w:rPr>
    </w:lvl>
    <w:lvl w:ilvl="5">
      <w:start w:val="1"/>
      <w:numFmt w:val="decimal"/>
      <w:lvlText w:val="%1.%2.%3.%4.%5.%6"/>
      <w:lvlJc w:val="left"/>
      <w:pPr>
        <w:ind w:left="1247" w:hanging="1247"/>
      </w:pPr>
      <w:rPr>
        <w:rFonts w:hint="default"/>
      </w:rPr>
    </w:lvl>
    <w:lvl w:ilvl="6">
      <w:start w:val="1"/>
      <w:numFmt w:val="decimal"/>
      <w:lvlRestart w:val="1"/>
      <w:suff w:val="nothing"/>
      <w:lvlText w:val="Table %1.%7"/>
      <w:lvlJc w:val="left"/>
      <w:pPr>
        <w:ind w:left="0" w:firstLine="0"/>
      </w:pPr>
      <w:rPr>
        <w:rFonts w:hint="default"/>
        <w:sz w:val="14"/>
        <w:szCs w:val="14"/>
      </w:rPr>
    </w:lvl>
    <w:lvl w:ilvl="7">
      <w:start w:val="1"/>
      <w:numFmt w:val="decimal"/>
      <w:lvlRestart w:val="1"/>
      <w:suff w:val="nothing"/>
      <w:lvlText w:val="Chart %1.%8"/>
      <w:lvlJc w:val="left"/>
      <w:pPr>
        <w:ind w:left="0" w:firstLine="0"/>
      </w:pPr>
      <w:rPr>
        <w:rFonts w:hint="default"/>
      </w:rPr>
    </w:lvl>
    <w:lvl w:ilvl="8">
      <w:start w:val="1"/>
      <w:numFmt w:val="decimal"/>
      <w:lvlRestart w:val="1"/>
      <w:suff w:val="nothing"/>
      <w:lvlText w:val="Figure %1.%9"/>
      <w:lvlJc w:val="left"/>
      <w:pPr>
        <w:ind w:left="0" w:firstLine="0"/>
      </w:pPr>
      <w:rPr>
        <w:rFonts w:hint="default"/>
      </w:rPr>
    </w:lvl>
  </w:abstractNum>
  <w:abstractNum w:abstractNumId="56" w15:restartNumberingAfterBreak="0">
    <w:nsid w:val="405F4842"/>
    <w:multiLevelType w:val="hybridMultilevel"/>
    <w:tmpl w:val="202812EC"/>
    <w:lvl w:ilvl="0" w:tplc="F5041CC4">
      <w:start w:val="1"/>
      <w:numFmt w:val="decimal"/>
      <w:lvlText w:val="%1."/>
      <w:lvlJc w:val="left"/>
      <w:pPr>
        <w:ind w:left="340" w:hanging="340"/>
      </w:pPr>
      <w:rPr>
        <w:rFonts w:hint="default"/>
      </w:rPr>
    </w:lvl>
    <w:lvl w:ilvl="1" w:tplc="D30020AA">
      <w:start w:val="1"/>
      <w:numFmt w:val="lowerLetter"/>
      <w:lvlText w:val="%2)"/>
      <w:lvlJc w:val="left"/>
      <w:pPr>
        <w:ind w:left="680" w:hanging="340"/>
      </w:pPr>
      <w:rPr>
        <w:rFonts w:hint="default"/>
      </w:rPr>
    </w:lvl>
    <w:lvl w:ilvl="2" w:tplc="99C6E3C6">
      <w:start w:val="1"/>
      <w:numFmt w:val="lowerRoman"/>
      <w:lvlText w:val="%3)"/>
      <w:lvlJc w:val="left"/>
      <w:pPr>
        <w:ind w:left="1020" w:hanging="340"/>
      </w:pPr>
      <w:rPr>
        <w:rFonts w:hint="default"/>
      </w:rPr>
    </w:lvl>
    <w:lvl w:ilvl="3" w:tplc="CE02CA2C">
      <w:start w:val="1"/>
      <w:numFmt w:val="decimal"/>
      <w:lvlText w:val="(%4)"/>
      <w:lvlJc w:val="left"/>
      <w:pPr>
        <w:ind w:left="1360" w:hanging="340"/>
      </w:pPr>
      <w:rPr>
        <w:rFonts w:hint="default"/>
      </w:rPr>
    </w:lvl>
    <w:lvl w:ilvl="4" w:tplc="A20A075C">
      <w:start w:val="1"/>
      <w:numFmt w:val="lowerLetter"/>
      <w:lvlText w:val="(%5)"/>
      <w:lvlJc w:val="left"/>
      <w:pPr>
        <w:ind w:left="1700" w:hanging="340"/>
      </w:pPr>
      <w:rPr>
        <w:rFonts w:hint="default"/>
      </w:rPr>
    </w:lvl>
    <w:lvl w:ilvl="5" w:tplc="AB708BA6">
      <w:start w:val="1"/>
      <w:numFmt w:val="lowerRoman"/>
      <w:lvlText w:val="(%6)"/>
      <w:lvlJc w:val="left"/>
      <w:pPr>
        <w:ind w:left="2040" w:hanging="340"/>
      </w:pPr>
      <w:rPr>
        <w:rFonts w:hint="default"/>
      </w:rPr>
    </w:lvl>
    <w:lvl w:ilvl="6" w:tplc="ED7C5242">
      <w:start w:val="1"/>
      <w:numFmt w:val="decimal"/>
      <w:lvlText w:val="%7."/>
      <w:lvlJc w:val="left"/>
      <w:pPr>
        <w:ind w:left="2380" w:hanging="340"/>
      </w:pPr>
      <w:rPr>
        <w:rFonts w:hint="default"/>
      </w:rPr>
    </w:lvl>
    <w:lvl w:ilvl="7" w:tplc="1526C8AC">
      <w:start w:val="1"/>
      <w:numFmt w:val="lowerLetter"/>
      <w:lvlText w:val="%8."/>
      <w:lvlJc w:val="left"/>
      <w:pPr>
        <w:ind w:left="2720" w:hanging="340"/>
      </w:pPr>
      <w:rPr>
        <w:rFonts w:hint="default"/>
      </w:rPr>
    </w:lvl>
    <w:lvl w:ilvl="8" w:tplc="00C85C06">
      <w:start w:val="1"/>
      <w:numFmt w:val="lowerRoman"/>
      <w:lvlText w:val="%9."/>
      <w:lvlJc w:val="left"/>
      <w:pPr>
        <w:ind w:left="3060" w:hanging="340"/>
      </w:pPr>
      <w:rPr>
        <w:rFonts w:hint="default"/>
      </w:rPr>
    </w:lvl>
  </w:abstractNum>
  <w:abstractNum w:abstractNumId="57" w15:restartNumberingAfterBreak="0">
    <w:nsid w:val="41447E71"/>
    <w:multiLevelType w:val="hybridMultilevel"/>
    <w:tmpl w:val="0F4E8A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15E6D62"/>
    <w:multiLevelType w:val="hybridMultilevel"/>
    <w:tmpl w:val="A09C2A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43D32C16"/>
    <w:multiLevelType w:val="hybridMultilevel"/>
    <w:tmpl w:val="F3AA8592"/>
    <w:lvl w:ilvl="0" w:tplc="1408D6D6">
      <w:start w:val="1"/>
      <w:numFmt w:val="decimal"/>
      <w:pStyle w:val="RegBody1"/>
      <w:lvlText w:val="(%1)"/>
      <w:lvlJc w:val="left"/>
      <w:pPr>
        <w:tabs>
          <w:tab w:val="num" w:pos="1276"/>
        </w:tabs>
        <w:ind w:left="1276"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0" w15:restartNumberingAfterBreak="0">
    <w:nsid w:val="440418D7"/>
    <w:multiLevelType w:val="hybridMultilevel"/>
    <w:tmpl w:val="5BE0297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61" w15:restartNumberingAfterBreak="0">
    <w:nsid w:val="44565C15"/>
    <w:multiLevelType w:val="hybridMultilevel"/>
    <w:tmpl w:val="B69E5CF2"/>
    <w:lvl w:ilvl="0" w:tplc="806E79C2">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448446B6"/>
    <w:multiLevelType w:val="hybridMultilevel"/>
    <w:tmpl w:val="0D664454"/>
    <w:lvl w:ilvl="0" w:tplc="C86EAA8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44F81907"/>
    <w:multiLevelType w:val="hybridMultilevel"/>
    <w:tmpl w:val="5A4455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4" w15:restartNumberingAfterBreak="0">
    <w:nsid w:val="451578A7"/>
    <w:multiLevelType w:val="multilevel"/>
    <w:tmpl w:val="1356211C"/>
    <w:lvl w:ilvl="0">
      <w:start w:val="1"/>
      <w:numFmt w:val="bullet"/>
      <w:lvlText w:val=""/>
      <w:lvlJc w:val="left"/>
      <w:pPr>
        <w:ind w:left="340" w:hanging="340"/>
      </w:pPr>
      <w:rPr>
        <w:rFonts w:ascii="Symbol" w:hAnsi="Symbol" w:hint="default"/>
        <w:color w:val="auto"/>
      </w:rPr>
    </w:lvl>
    <w:lvl w:ilvl="1">
      <w:start w:val="1"/>
      <w:numFmt w:val="bullet"/>
      <w:lvlText w:val="–"/>
      <w:lvlJc w:val="left"/>
      <w:pPr>
        <w:ind w:left="680" w:hanging="340"/>
      </w:pPr>
      <w:rPr>
        <w:rFonts w:ascii="Verdana" w:hAnsi="Verdana" w:hint="default"/>
      </w:rPr>
    </w:lvl>
    <w:lvl w:ilvl="2">
      <w:start w:val="1"/>
      <w:numFmt w:val="bullet"/>
      <w:lvlText w:val=""/>
      <w:lvlJc w:val="left"/>
      <w:pPr>
        <w:ind w:left="1020" w:hanging="340"/>
      </w:pPr>
      <w:rPr>
        <w:rFonts w:ascii="Symbol" w:hAnsi="Symbol" w:hint="default"/>
        <w:color w:val="auto"/>
      </w:rPr>
    </w:lvl>
    <w:lvl w:ilvl="3">
      <w:start w:val="1"/>
      <w:numFmt w:val="bullet"/>
      <w:lvlText w:val="–"/>
      <w:lvlJc w:val="left"/>
      <w:pPr>
        <w:ind w:left="1360" w:hanging="340"/>
      </w:pPr>
      <w:rPr>
        <w:rFonts w:ascii="Verdana" w:hAnsi="Verdana"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Verdana" w:hAnsi="Verdana"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Verdana" w:hAnsi="Verdana" w:hint="default"/>
      </w:rPr>
    </w:lvl>
    <w:lvl w:ilvl="8">
      <w:start w:val="1"/>
      <w:numFmt w:val="bullet"/>
      <w:lvlText w:val=""/>
      <w:lvlJc w:val="left"/>
      <w:pPr>
        <w:ind w:left="3060" w:hanging="340"/>
      </w:pPr>
      <w:rPr>
        <w:rFonts w:ascii="Symbol" w:hAnsi="Symbol" w:hint="default"/>
      </w:rPr>
    </w:lvl>
  </w:abstractNum>
  <w:abstractNum w:abstractNumId="65" w15:restartNumberingAfterBreak="0">
    <w:nsid w:val="457C67BE"/>
    <w:multiLevelType w:val="hybridMultilevel"/>
    <w:tmpl w:val="9A7E6C42"/>
    <w:lvl w:ilvl="0" w:tplc="2E444D5E">
      <w:start w:val="1"/>
      <w:numFmt w:val="bullet"/>
      <w:pStyle w:val="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77E6EBC"/>
    <w:multiLevelType w:val="multilevel"/>
    <w:tmpl w:val="7B98EE74"/>
    <w:lvl w:ilvl="0">
      <w:start w:val="1"/>
      <w:numFmt w:val="decimal"/>
      <w:pStyle w:val="Numberslevel1"/>
      <w:lvlText w:val="%1."/>
      <w:lvlJc w:val="left"/>
      <w:pPr>
        <w:ind w:left="360" w:hanging="360"/>
      </w:pPr>
      <w:rPr>
        <w:rFonts w:hint="default"/>
      </w:rPr>
    </w:lvl>
    <w:lvl w:ilvl="1">
      <w:start w:val="1"/>
      <w:numFmt w:val="lowerLetter"/>
      <w:pStyle w:val="Numberslevel2"/>
      <w:lvlText w:val="%2)"/>
      <w:lvlJc w:val="left"/>
      <w:pPr>
        <w:ind w:left="720" w:hanging="360"/>
      </w:pPr>
      <w:rPr>
        <w:rFonts w:hint="default"/>
      </w:rPr>
    </w:lvl>
    <w:lvl w:ilvl="2">
      <w:start w:val="1"/>
      <w:numFmt w:val="lowerRoman"/>
      <w:pStyle w:val="Numberslevel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486B6D21"/>
    <w:multiLevelType w:val="hybridMultilevel"/>
    <w:tmpl w:val="C3066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4B3B51C1"/>
    <w:multiLevelType w:val="hybridMultilevel"/>
    <w:tmpl w:val="3A46F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4B7D2C87"/>
    <w:multiLevelType w:val="hybridMultilevel"/>
    <w:tmpl w:val="E33AC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4C923AAA"/>
    <w:multiLevelType w:val="multilevel"/>
    <w:tmpl w:val="79BCBDDE"/>
    <w:lvl w:ilvl="0">
      <w:start w:val="1"/>
      <w:numFmt w:val="decimal"/>
      <w:lvlText w:val="%1."/>
      <w:lvlJc w:val="left"/>
      <w:pPr>
        <w:ind w:left="340" w:hanging="340"/>
      </w:pPr>
      <w:rPr>
        <w:rFonts w:hint="default"/>
      </w:rPr>
    </w:lvl>
    <w:lvl w:ilvl="1">
      <w:start w:val="1"/>
      <w:numFmt w:val="lowerRoman"/>
      <w:lvlText w:val="%2."/>
      <w:lvlJc w:val="righ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71" w15:restartNumberingAfterBreak="0">
    <w:nsid w:val="4D6854A9"/>
    <w:multiLevelType w:val="hybridMultilevel"/>
    <w:tmpl w:val="2B24716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4DCE2E8E"/>
    <w:multiLevelType w:val="multilevel"/>
    <w:tmpl w:val="3D485516"/>
    <w:name w:val="BulletList"/>
    <w:lvl w:ilvl="0">
      <w:numFmt w:val="none"/>
      <w:lvlText w:val=""/>
      <w:lvlJc w:val="left"/>
      <w:pPr>
        <w:tabs>
          <w:tab w:val="num" w:pos="360"/>
        </w:tabs>
      </w:pPr>
    </w:lvl>
    <w:lvl w:ilvl="1">
      <w:start w:val="1"/>
      <w:numFmt w:val="bullet"/>
      <w:lvlRestart w:val="0"/>
      <w:lvlText w:val=""/>
      <w:lvlJc w:val="left"/>
      <w:pPr>
        <w:tabs>
          <w:tab w:val="num" w:pos="1134"/>
        </w:tabs>
        <w:ind w:left="1134" w:hanging="567"/>
      </w:pPr>
      <w:rPr>
        <w:rFonts w:ascii="Wingdings 3" w:hAnsi="Wingdings 3" w:hint="default"/>
        <w:b/>
        <w:i w:val="0"/>
        <w:color w:val="931638"/>
        <w:sz w:val="24"/>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3" w15:restartNumberingAfterBreak="0">
    <w:nsid w:val="4F6E62A2"/>
    <w:multiLevelType w:val="multilevel"/>
    <w:tmpl w:val="8612DB4A"/>
    <w:lvl w:ilvl="0">
      <w:start w:val="1"/>
      <w:numFmt w:val="lowerLetter"/>
      <w:lvlText w:val="%1)"/>
      <w:lvlJc w:val="left"/>
      <w:pPr>
        <w:ind w:left="340" w:hanging="340"/>
      </w:pPr>
      <w:rPr>
        <w:rFonts w:hint="default"/>
        <w:i w:val="0"/>
        <w:iCs/>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74" w15:restartNumberingAfterBreak="0">
    <w:nsid w:val="5015012A"/>
    <w:multiLevelType w:val="hybridMultilevel"/>
    <w:tmpl w:val="BB3A3F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502315FF"/>
    <w:multiLevelType w:val="hybridMultilevel"/>
    <w:tmpl w:val="0FEC50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6" w15:restartNumberingAfterBreak="0">
    <w:nsid w:val="504B1D48"/>
    <w:multiLevelType w:val="hybridMultilevel"/>
    <w:tmpl w:val="DE8A163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527F29D5"/>
    <w:multiLevelType w:val="multilevel"/>
    <w:tmpl w:val="1DDE4BB8"/>
    <w:lvl w:ilvl="0">
      <w:start w:val="1"/>
      <w:numFmt w:val="bullet"/>
      <w:lvlText w:val=""/>
      <w:lvlJc w:val="left"/>
      <w:pPr>
        <w:ind w:left="227" w:hanging="227"/>
      </w:pPr>
      <w:rPr>
        <w:rFonts w:ascii="Symbol" w:hAnsi="Symbol" w:hint="default"/>
      </w:rPr>
    </w:lvl>
    <w:lvl w:ilvl="1">
      <w:start w:val="1"/>
      <w:numFmt w:val="bullet"/>
      <w:lvlRestart w:val="0"/>
      <w:lvlText w:val="–"/>
      <w:lvlJc w:val="left"/>
      <w:pPr>
        <w:tabs>
          <w:tab w:val="num" w:pos="227"/>
        </w:tabs>
        <w:ind w:left="454" w:hanging="227"/>
      </w:pPr>
      <w:rPr>
        <w:rFonts w:ascii="Calibri" w:hAnsi="Calibri" w:cs="Times New Roman" w:hint="default"/>
      </w:rPr>
    </w:lvl>
    <w:lvl w:ilvl="2">
      <w:start w:val="1"/>
      <w:numFmt w:val="none"/>
      <w:lvlRestart w:val="0"/>
      <w:lvlText w:val=""/>
      <w:lvlJc w:val="left"/>
      <w:pPr>
        <w:ind w:left="0" w:firstLine="0"/>
      </w:pPr>
    </w:lvl>
    <w:lvl w:ilvl="3">
      <w:start w:val="1"/>
      <w:numFmt w:val="none"/>
      <w:lvlRestart w:val="0"/>
      <w:lvlText w:val=""/>
      <w:lvlJc w:val="left"/>
      <w:pPr>
        <w:ind w:left="0" w:firstLine="0"/>
      </w:pPr>
    </w:lvl>
    <w:lvl w:ilvl="4">
      <w:start w:val="1"/>
      <w:numFmt w:val="none"/>
      <w:lvlRestart w:val="0"/>
      <w:lvlText w:val=""/>
      <w:lvlJc w:val="left"/>
      <w:pPr>
        <w:ind w:left="0" w:firstLine="0"/>
      </w:pPr>
    </w:lvl>
    <w:lvl w:ilvl="5">
      <w:start w:val="1"/>
      <w:numFmt w:val="none"/>
      <w:lvlRestart w:val="0"/>
      <w:lvlText w:val=""/>
      <w:lvlJc w:val="left"/>
      <w:pPr>
        <w:ind w:left="0" w:firstLine="0"/>
      </w:pPr>
    </w:lvl>
    <w:lvl w:ilvl="6">
      <w:start w:val="1"/>
      <w:numFmt w:val="none"/>
      <w:lvlRestart w:val="0"/>
      <w:lvlText w:val=""/>
      <w:lvlJc w:val="left"/>
      <w:pPr>
        <w:ind w:left="0" w:firstLine="0"/>
      </w:pPr>
    </w:lvl>
    <w:lvl w:ilvl="7">
      <w:start w:val="1"/>
      <w:numFmt w:val="none"/>
      <w:lvlRestart w:val="0"/>
      <w:lvlText w:val=""/>
      <w:lvlJc w:val="left"/>
      <w:pPr>
        <w:ind w:left="0" w:firstLine="0"/>
      </w:pPr>
    </w:lvl>
    <w:lvl w:ilvl="8">
      <w:start w:val="1"/>
      <w:numFmt w:val="none"/>
      <w:lvlRestart w:val="0"/>
      <w:lvlText w:val=""/>
      <w:lvlJc w:val="left"/>
      <w:pPr>
        <w:ind w:left="0" w:firstLine="0"/>
      </w:pPr>
    </w:lvl>
  </w:abstractNum>
  <w:abstractNum w:abstractNumId="78" w15:restartNumberingAfterBreak="0">
    <w:nsid w:val="541611C2"/>
    <w:multiLevelType w:val="multilevel"/>
    <w:tmpl w:val="96B4DF56"/>
    <w:styleLink w:val="ZZTablebullets"/>
    <w:lvl w:ilvl="0">
      <w:start w:val="1"/>
      <w:numFmt w:val="bullet"/>
      <w:pStyle w:val="DHHStablebullet1"/>
      <w:lvlText w:val="•"/>
      <w:lvlJc w:val="left"/>
      <w:pPr>
        <w:ind w:left="227" w:hanging="227"/>
      </w:pPr>
      <w:rPr>
        <w:rFonts w:ascii="Calibri" w:hAnsi="Calibri" w:cs="Times New Roman" w:hint="default"/>
      </w:rPr>
    </w:lvl>
    <w:lvl w:ilvl="1">
      <w:start w:val="1"/>
      <w:numFmt w:val="bullet"/>
      <w:lvlRestart w:val="0"/>
      <w:pStyle w:val="DHHStablebullet2"/>
      <w:lvlText w:val="–"/>
      <w:lvlJc w:val="left"/>
      <w:pPr>
        <w:tabs>
          <w:tab w:val="num" w:pos="227"/>
        </w:tabs>
        <w:ind w:left="454" w:hanging="227"/>
      </w:pPr>
      <w:rPr>
        <w:rFonts w:ascii="Calibri" w:hAnsi="Calibri" w:cs="Times New Roman" w:hint="default"/>
      </w:rPr>
    </w:lvl>
    <w:lvl w:ilvl="2">
      <w:start w:val="1"/>
      <w:numFmt w:val="none"/>
      <w:lvlRestart w:val="0"/>
      <w:lvlText w:val=""/>
      <w:lvlJc w:val="left"/>
      <w:pPr>
        <w:ind w:left="0" w:firstLine="0"/>
      </w:pPr>
    </w:lvl>
    <w:lvl w:ilvl="3">
      <w:start w:val="1"/>
      <w:numFmt w:val="none"/>
      <w:lvlRestart w:val="0"/>
      <w:lvlText w:val=""/>
      <w:lvlJc w:val="left"/>
      <w:pPr>
        <w:ind w:left="0" w:firstLine="0"/>
      </w:pPr>
    </w:lvl>
    <w:lvl w:ilvl="4">
      <w:start w:val="1"/>
      <w:numFmt w:val="none"/>
      <w:lvlRestart w:val="0"/>
      <w:lvlText w:val=""/>
      <w:lvlJc w:val="left"/>
      <w:pPr>
        <w:ind w:left="0" w:firstLine="0"/>
      </w:pPr>
    </w:lvl>
    <w:lvl w:ilvl="5">
      <w:start w:val="1"/>
      <w:numFmt w:val="none"/>
      <w:lvlRestart w:val="0"/>
      <w:lvlText w:val=""/>
      <w:lvlJc w:val="left"/>
      <w:pPr>
        <w:ind w:left="0" w:firstLine="0"/>
      </w:pPr>
    </w:lvl>
    <w:lvl w:ilvl="6">
      <w:start w:val="1"/>
      <w:numFmt w:val="none"/>
      <w:lvlRestart w:val="0"/>
      <w:lvlText w:val=""/>
      <w:lvlJc w:val="left"/>
      <w:pPr>
        <w:ind w:left="0" w:firstLine="0"/>
      </w:pPr>
    </w:lvl>
    <w:lvl w:ilvl="7">
      <w:start w:val="1"/>
      <w:numFmt w:val="none"/>
      <w:lvlRestart w:val="0"/>
      <w:lvlText w:val=""/>
      <w:lvlJc w:val="left"/>
      <w:pPr>
        <w:ind w:left="0" w:firstLine="0"/>
      </w:pPr>
    </w:lvl>
    <w:lvl w:ilvl="8">
      <w:start w:val="1"/>
      <w:numFmt w:val="none"/>
      <w:lvlRestart w:val="0"/>
      <w:lvlText w:val=""/>
      <w:lvlJc w:val="left"/>
      <w:pPr>
        <w:ind w:left="0" w:firstLine="0"/>
      </w:pPr>
    </w:lvl>
  </w:abstractNum>
  <w:abstractNum w:abstractNumId="79" w15:restartNumberingAfterBreak="0">
    <w:nsid w:val="54BA1E5A"/>
    <w:multiLevelType w:val="multilevel"/>
    <w:tmpl w:val="EC2C0F22"/>
    <w:styleLink w:val="ZZBullets"/>
    <w:lvl w:ilvl="0">
      <w:start w:val="1"/>
      <w:numFmt w:val="bullet"/>
      <w:pStyle w:val="DHHSbullet1"/>
      <w:lvlText w:val="•"/>
      <w:lvlJc w:val="left"/>
      <w:pPr>
        <w:ind w:left="284" w:hanging="284"/>
      </w:pPr>
      <w:rPr>
        <w:rFonts w:ascii="Calibri" w:hAnsi="Calibri" w:cs="Times New Roman" w:hint="default"/>
      </w:rPr>
    </w:lvl>
    <w:lvl w:ilvl="1">
      <w:start w:val="1"/>
      <w:numFmt w:val="bullet"/>
      <w:lvlRestart w:val="0"/>
      <w:pStyle w:val="DHHSbullet2"/>
      <w:lvlText w:val="–"/>
      <w:lvlJc w:val="left"/>
      <w:pPr>
        <w:ind w:left="567" w:hanging="283"/>
      </w:pPr>
      <w:rPr>
        <w:rFonts w:ascii="Calibri" w:hAnsi="Calibri" w:cs="Times New Roman" w:hint="default"/>
      </w:rPr>
    </w:lvl>
    <w:lvl w:ilvl="2">
      <w:start w:val="1"/>
      <w:numFmt w:val="none"/>
      <w:lvlRestart w:val="0"/>
      <w:lvlText w:val=""/>
      <w:lvlJc w:val="left"/>
      <w:pPr>
        <w:ind w:left="0" w:firstLine="0"/>
      </w:pPr>
    </w:lvl>
    <w:lvl w:ilvl="3">
      <w:start w:val="1"/>
      <w:numFmt w:val="none"/>
      <w:lvlRestart w:val="0"/>
      <w:lvlText w:val=""/>
      <w:lvlJc w:val="left"/>
      <w:pPr>
        <w:ind w:left="0" w:firstLine="0"/>
      </w:pPr>
    </w:lvl>
    <w:lvl w:ilvl="4">
      <w:start w:val="1"/>
      <w:numFmt w:val="none"/>
      <w:lvlRestart w:val="0"/>
      <w:lvlText w:val=""/>
      <w:lvlJc w:val="left"/>
      <w:pPr>
        <w:ind w:left="0" w:firstLine="0"/>
      </w:pPr>
    </w:lvl>
    <w:lvl w:ilvl="5">
      <w:start w:val="1"/>
      <w:numFmt w:val="none"/>
      <w:lvlRestart w:val="0"/>
      <w:lvlText w:val=""/>
      <w:lvlJc w:val="left"/>
      <w:pPr>
        <w:ind w:left="0" w:firstLine="0"/>
      </w:pPr>
    </w:lvl>
    <w:lvl w:ilvl="6">
      <w:start w:val="1"/>
      <w:numFmt w:val="none"/>
      <w:lvlRestart w:val="0"/>
      <w:lvlText w:val=""/>
      <w:lvlJc w:val="left"/>
      <w:pPr>
        <w:ind w:left="0" w:firstLine="0"/>
      </w:pPr>
    </w:lvl>
    <w:lvl w:ilvl="7">
      <w:start w:val="1"/>
      <w:numFmt w:val="none"/>
      <w:lvlRestart w:val="0"/>
      <w:lvlText w:val=""/>
      <w:lvlJc w:val="left"/>
      <w:pPr>
        <w:ind w:left="0" w:firstLine="0"/>
      </w:pPr>
    </w:lvl>
    <w:lvl w:ilvl="8">
      <w:start w:val="1"/>
      <w:numFmt w:val="none"/>
      <w:lvlRestart w:val="0"/>
      <w:lvlText w:val=""/>
      <w:lvlJc w:val="left"/>
      <w:pPr>
        <w:ind w:left="0" w:firstLine="0"/>
      </w:pPr>
    </w:lvl>
  </w:abstractNum>
  <w:abstractNum w:abstractNumId="80" w15:restartNumberingAfterBreak="0">
    <w:nsid w:val="558942E5"/>
    <w:multiLevelType w:val="hybridMultilevel"/>
    <w:tmpl w:val="23DE63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1" w15:restartNumberingAfterBreak="0">
    <w:nsid w:val="566D6CC3"/>
    <w:multiLevelType w:val="multilevel"/>
    <w:tmpl w:val="26D2CDF4"/>
    <w:lvl w:ilvl="0">
      <w:start w:val="1"/>
      <w:numFmt w:val="decimal"/>
      <w:pStyle w:val="Heading1"/>
      <w:lvlText w:val="%1"/>
      <w:lvlJc w:val="left"/>
      <w:pPr>
        <w:ind w:left="432" w:hanging="432"/>
      </w:pPr>
    </w:lvl>
    <w:lvl w:ilvl="1">
      <w:start w:val="1"/>
      <w:numFmt w:val="decimal"/>
      <w:pStyle w:val="Heading2"/>
      <w:lvlText w:val="%1.%2"/>
      <w:lvlJc w:val="left"/>
      <w:pPr>
        <w:ind w:left="576" w:hanging="576"/>
      </w:pPr>
      <w:rPr>
        <w:color w:val="000000" w:themeColor="text1"/>
      </w:rPr>
    </w:lvl>
    <w:lvl w:ilvl="2">
      <w:start w:val="1"/>
      <w:numFmt w:val="decimal"/>
      <w:pStyle w:val="Heading3"/>
      <w:lvlText w:val="%1.%2.%3"/>
      <w:lvlJc w:val="left"/>
      <w:pPr>
        <w:ind w:left="72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b/>
        <w:color w:val="auto"/>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2" w15:restartNumberingAfterBreak="0">
    <w:nsid w:val="5743007C"/>
    <w:multiLevelType w:val="hybridMultilevel"/>
    <w:tmpl w:val="891C6B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58102E5C"/>
    <w:multiLevelType w:val="hybridMultilevel"/>
    <w:tmpl w:val="02C0EAA6"/>
    <w:lvl w:ilvl="0" w:tplc="0C090001">
      <w:start w:val="1"/>
      <w:numFmt w:val="bullet"/>
      <w:lvlText w:val=""/>
      <w:lvlJc w:val="left"/>
      <w:pPr>
        <w:ind w:left="947" w:hanging="360"/>
      </w:pPr>
      <w:rPr>
        <w:rFonts w:ascii="Symbol" w:hAnsi="Symbol" w:hint="default"/>
      </w:rPr>
    </w:lvl>
    <w:lvl w:ilvl="1" w:tplc="0C090003">
      <w:start w:val="1"/>
      <w:numFmt w:val="bullet"/>
      <w:lvlText w:val="o"/>
      <w:lvlJc w:val="left"/>
      <w:pPr>
        <w:ind w:left="1667" w:hanging="360"/>
      </w:pPr>
      <w:rPr>
        <w:rFonts w:ascii="Courier New" w:hAnsi="Courier New" w:cs="Courier New" w:hint="default"/>
      </w:rPr>
    </w:lvl>
    <w:lvl w:ilvl="2" w:tplc="0C090005">
      <w:start w:val="1"/>
      <w:numFmt w:val="bullet"/>
      <w:lvlText w:val=""/>
      <w:lvlJc w:val="left"/>
      <w:pPr>
        <w:ind w:left="2387" w:hanging="360"/>
      </w:pPr>
      <w:rPr>
        <w:rFonts w:ascii="Wingdings" w:hAnsi="Wingdings" w:hint="default"/>
      </w:rPr>
    </w:lvl>
    <w:lvl w:ilvl="3" w:tplc="0C090001">
      <w:start w:val="1"/>
      <w:numFmt w:val="bullet"/>
      <w:lvlText w:val=""/>
      <w:lvlJc w:val="left"/>
      <w:pPr>
        <w:ind w:left="3107" w:hanging="360"/>
      </w:pPr>
      <w:rPr>
        <w:rFonts w:ascii="Symbol" w:hAnsi="Symbol" w:hint="default"/>
      </w:rPr>
    </w:lvl>
    <w:lvl w:ilvl="4" w:tplc="0C090003">
      <w:start w:val="1"/>
      <w:numFmt w:val="bullet"/>
      <w:lvlText w:val="o"/>
      <w:lvlJc w:val="left"/>
      <w:pPr>
        <w:ind w:left="3827" w:hanging="360"/>
      </w:pPr>
      <w:rPr>
        <w:rFonts w:ascii="Courier New" w:hAnsi="Courier New" w:cs="Courier New" w:hint="default"/>
      </w:rPr>
    </w:lvl>
    <w:lvl w:ilvl="5" w:tplc="0C090005">
      <w:start w:val="1"/>
      <w:numFmt w:val="bullet"/>
      <w:lvlText w:val=""/>
      <w:lvlJc w:val="left"/>
      <w:pPr>
        <w:ind w:left="4547" w:hanging="360"/>
      </w:pPr>
      <w:rPr>
        <w:rFonts w:ascii="Wingdings" w:hAnsi="Wingdings" w:hint="default"/>
      </w:rPr>
    </w:lvl>
    <w:lvl w:ilvl="6" w:tplc="0C090001">
      <w:start w:val="1"/>
      <w:numFmt w:val="bullet"/>
      <w:lvlText w:val=""/>
      <w:lvlJc w:val="left"/>
      <w:pPr>
        <w:ind w:left="5267" w:hanging="360"/>
      </w:pPr>
      <w:rPr>
        <w:rFonts w:ascii="Symbol" w:hAnsi="Symbol" w:hint="default"/>
      </w:rPr>
    </w:lvl>
    <w:lvl w:ilvl="7" w:tplc="0C090003">
      <w:start w:val="1"/>
      <w:numFmt w:val="bullet"/>
      <w:lvlText w:val="o"/>
      <w:lvlJc w:val="left"/>
      <w:pPr>
        <w:ind w:left="5987" w:hanging="360"/>
      </w:pPr>
      <w:rPr>
        <w:rFonts w:ascii="Courier New" w:hAnsi="Courier New" w:cs="Courier New" w:hint="default"/>
      </w:rPr>
    </w:lvl>
    <w:lvl w:ilvl="8" w:tplc="0C090005">
      <w:start w:val="1"/>
      <w:numFmt w:val="bullet"/>
      <w:lvlText w:val=""/>
      <w:lvlJc w:val="left"/>
      <w:pPr>
        <w:ind w:left="6707" w:hanging="360"/>
      </w:pPr>
      <w:rPr>
        <w:rFonts w:ascii="Wingdings" w:hAnsi="Wingdings" w:hint="default"/>
      </w:rPr>
    </w:lvl>
  </w:abstractNum>
  <w:abstractNum w:abstractNumId="84" w15:restartNumberingAfterBreak="0">
    <w:nsid w:val="589335FF"/>
    <w:multiLevelType w:val="hybridMultilevel"/>
    <w:tmpl w:val="5366D2FE"/>
    <w:lvl w:ilvl="0" w:tplc="2BF602A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570"/>
        </w:tabs>
        <w:ind w:left="570" w:hanging="360"/>
      </w:pPr>
      <w:rPr>
        <w:rFonts w:ascii="Courier New" w:hAnsi="Courier New" w:cs="Courier New" w:hint="default"/>
      </w:rPr>
    </w:lvl>
    <w:lvl w:ilvl="2" w:tplc="04090005" w:tentative="1">
      <w:start w:val="1"/>
      <w:numFmt w:val="bullet"/>
      <w:lvlText w:val=""/>
      <w:lvlJc w:val="left"/>
      <w:pPr>
        <w:tabs>
          <w:tab w:val="num" w:pos="1290"/>
        </w:tabs>
        <w:ind w:left="1290" w:hanging="360"/>
      </w:pPr>
      <w:rPr>
        <w:rFonts w:ascii="Wingdings" w:hAnsi="Wingdings" w:hint="default"/>
      </w:rPr>
    </w:lvl>
    <w:lvl w:ilvl="3" w:tplc="04090001" w:tentative="1">
      <w:start w:val="1"/>
      <w:numFmt w:val="bullet"/>
      <w:lvlText w:val=""/>
      <w:lvlJc w:val="left"/>
      <w:pPr>
        <w:tabs>
          <w:tab w:val="num" w:pos="2010"/>
        </w:tabs>
        <w:ind w:left="2010" w:hanging="360"/>
      </w:pPr>
      <w:rPr>
        <w:rFonts w:ascii="Symbol" w:hAnsi="Symbol" w:hint="default"/>
      </w:rPr>
    </w:lvl>
    <w:lvl w:ilvl="4" w:tplc="04090003" w:tentative="1">
      <w:start w:val="1"/>
      <w:numFmt w:val="bullet"/>
      <w:lvlText w:val="o"/>
      <w:lvlJc w:val="left"/>
      <w:pPr>
        <w:tabs>
          <w:tab w:val="num" w:pos="2730"/>
        </w:tabs>
        <w:ind w:left="2730" w:hanging="360"/>
      </w:pPr>
      <w:rPr>
        <w:rFonts w:ascii="Courier New" w:hAnsi="Courier New" w:cs="Courier New" w:hint="default"/>
      </w:rPr>
    </w:lvl>
    <w:lvl w:ilvl="5" w:tplc="04090005" w:tentative="1">
      <w:start w:val="1"/>
      <w:numFmt w:val="bullet"/>
      <w:lvlText w:val=""/>
      <w:lvlJc w:val="left"/>
      <w:pPr>
        <w:tabs>
          <w:tab w:val="num" w:pos="3450"/>
        </w:tabs>
        <w:ind w:left="3450" w:hanging="360"/>
      </w:pPr>
      <w:rPr>
        <w:rFonts w:ascii="Wingdings" w:hAnsi="Wingdings" w:hint="default"/>
      </w:rPr>
    </w:lvl>
    <w:lvl w:ilvl="6" w:tplc="04090001" w:tentative="1">
      <w:start w:val="1"/>
      <w:numFmt w:val="bullet"/>
      <w:lvlText w:val=""/>
      <w:lvlJc w:val="left"/>
      <w:pPr>
        <w:tabs>
          <w:tab w:val="num" w:pos="4170"/>
        </w:tabs>
        <w:ind w:left="4170" w:hanging="360"/>
      </w:pPr>
      <w:rPr>
        <w:rFonts w:ascii="Symbol" w:hAnsi="Symbol" w:hint="default"/>
      </w:rPr>
    </w:lvl>
    <w:lvl w:ilvl="7" w:tplc="04090003" w:tentative="1">
      <w:start w:val="1"/>
      <w:numFmt w:val="bullet"/>
      <w:lvlText w:val="o"/>
      <w:lvlJc w:val="left"/>
      <w:pPr>
        <w:tabs>
          <w:tab w:val="num" w:pos="4890"/>
        </w:tabs>
        <w:ind w:left="4890" w:hanging="360"/>
      </w:pPr>
      <w:rPr>
        <w:rFonts w:ascii="Courier New" w:hAnsi="Courier New" w:cs="Courier New" w:hint="default"/>
      </w:rPr>
    </w:lvl>
    <w:lvl w:ilvl="8" w:tplc="04090005" w:tentative="1">
      <w:start w:val="1"/>
      <w:numFmt w:val="bullet"/>
      <w:lvlText w:val=""/>
      <w:lvlJc w:val="left"/>
      <w:pPr>
        <w:tabs>
          <w:tab w:val="num" w:pos="5610"/>
        </w:tabs>
        <w:ind w:left="5610" w:hanging="360"/>
      </w:pPr>
      <w:rPr>
        <w:rFonts w:ascii="Wingdings" w:hAnsi="Wingdings" w:hint="default"/>
      </w:rPr>
    </w:lvl>
  </w:abstractNum>
  <w:abstractNum w:abstractNumId="85" w15:restartNumberingAfterBreak="0">
    <w:nsid w:val="597C3123"/>
    <w:multiLevelType w:val="hybridMultilevel"/>
    <w:tmpl w:val="A8EE4384"/>
    <w:lvl w:ilvl="0" w:tplc="4C78F9A4">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86" w15:restartNumberingAfterBreak="0">
    <w:nsid w:val="5CE632D7"/>
    <w:multiLevelType w:val="hybridMultilevel"/>
    <w:tmpl w:val="42460C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7" w15:restartNumberingAfterBreak="0">
    <w:nsid w:val="5FC67C97"/>
    <w:multiLevelType w:val="hybridMultilevel"/>
    <w:tmpl w:val="E9145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604911AA"/>
    <w:multiLevelType w:val="hybridMultilevel"/>
    <w:tmpl w:val="BF469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609152D5"/>
    <w:multiLevelType w:val="hybridMultilevel"/>
    <w:tmpl w:val="95E85276"/>
    <w:lvl w:ilvl="0" w:tplc="0D3636FA">
      <w:start w:val="1"/>
      <w:numFmt w:val="decimal"/>
      <w:pStyle w:val="Tablenumbered"/>
      <w:lvlText w:val="%1."/>
      <w:lvlJc w:val="left"/>
      <w:pPr>
        <w:ind w:left="720" w:hanging="360"/>
      </w:pPr>
    </w:lvl>
    <w:lvl w:ilvl="1" w:tplc="7996F936" w:tentative="1">
      <w:start w:val="1"/>
      <w:numFmt w:val="lowerLetter"/>
      <w:lvlText w:val="%2."/>
      <w:lvlJc w:val="left"/>
      <w:pPr>
        <w:ind w:left="1440" w:hanging="360"/>
      </w:pPr>
    </w:lvl>
    <w:lvl w:ilvl="2" w:tplc="0E6C94CC" w:tentative="1">
      <w:start w:val="1"/>
      <w:numFmt w:val="lowerRoman"/>
      <w:lvlText w:val="%3."/>
      <w:lvlJc w:val="right"/>
      <w:pPr>
        <w:ind w:left="2160" w:hanging="180"/>
      </w:pPr>
    </w:lvl>
    <w:lvl w:ilvl="3" w:tplc="00DA055E" w:tentative="1">
      <w:start w:val="1"/>
      <w:numFmt w:val="decimal"/>
      <w:lvlText w:val="%4."/>
      <w:lvlJc w:val="left"/>
      <w:pPr>
        <w:ind w:left="2880" w:hanging="360"/>
      </w:pPr>
    </w:lvl>
    <w:lvl w:ilvl="4" w:tplc="5BE0FF6A" w:tentative="1">
      <w:start w:val="1"/>
      <w:numFmt w:val="lowerLetter"/>
      <w:lvlText w:val="%5."/>
      <w:lvlJc w:val="left"/>
      <w:pPr>
        <w:ind w:left="3600" w:hanging="360"/>
      </w:pPr>
    </w:lvl>
    <w:lvl w:ilvl="5" w:tplc="0AE2F662" w:tentative="1">
      <w:start w:val="1"/>
      <w:numFmt w:val="lowerRoman"/>
      <w:lvlText w:val="%6."/>
      <w:lvlJc w:val="right"/>
      <w:pPr>
        <w:ind w:left="4320" w:hanging="180"/>
      </w:pPr>
    </w:lvl>
    <w:lvl w:ilvl="6" w:tplc="BB2E865E" w:tentative="1">
      <w:start w:val="1"/>
      <w:numFmt w:val="decimal"/>
      <w:lvlText w:val="%7."/>
      <w:lvlJc w:val="left"/>
      <w:pPr>
        <w:ind w:left="5040" w:hanging="360"/>
      </w:pPr>
    </w:lvl>
    <w:lvl w:ilvl="7" w:tplc="23A4B1A6" w:tentative="1">
      <w:start w:val="1"/>
      <w:numFmt w:val="lowerLetter"/>
      <w:lvlText w:val="%8."/>
      <w:lvlJc w:val="left"/>
      <w:pPr>
        <w:ind w:left="5760" w:hanging="360"/>
      </w:pPr>
    </w:lvl>
    <w:lvl w:ilvl="8" w:tplc="C82247A4" w:tentative="1">
      <w:start w:val="1"/>
      <w:numFmt w:val="lowerRoman"/>
      <w:lvlText w:val="%9."/>
      <w:lvlJc w:val="right"/>
      <w:pPr>
        <w:ind w:left="6480" w:hanging="180"/>
      </w:pPr>
    </w:lvl>
  </w:abstractNum>
  <w:abstractNum w:abstractNumId="90" w15:restartNumberingAfterBreak="0">
    <w:nsid w:val="6154195E"/>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1" w15:restartNumberingAfterBreak="0">
    <w:nsid w:val="62F46508"/>
    <w:multiLevelType w:val="multilevel"/>
    <w:tmpl w:val="ABF0BB72"/>
    <w:lvl w:ilvl="0">
      <w:start w:val="1"/>
      <w:numFmt w:val="bullet"/>
      <w:pStyle w:val="ListBullet2"/>
      <w:lvlText w:val="–"/>
      <w:lvlJc w:val="left"/>
      <w:pPr>
        <w:ind w:left="680" w:hanging="340"/>
      </w:pPr>
      <w:rPr>
        <w:rFonts w:ascii="Verdana" w:hAnsi="Verdana"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Verdana" w:hAnsi="Verdana" w:hint="default"/>
      </w:rPr>
    </w:lvl>
    <w:lvl w:ilvl="3">
      <w:start w:val="1"/>
      <w:numFmt w:val="bullet"/>
      <w:lvlText w:val=""/>
      <w:lvlJc w:val="left"/>
      <w:pPr>
        <w:ind w:left="1700" w:hanging="340"/>
      </w:pPr>
      <w:rPr>
        <w:rFonts w:ascii="Symbol" w:hAnsi="Symbol" w:hint="default"/>
        <w:color w:val="auto"/>
      </w:rPr>
    </w:lvl>
    <w:lvl w:ilvl="4">
      <w:start w:val="1"/>
      <w:numFmt w:val="bullet"/>
      <w:lvlText w:val="–"/>
      <w:lvlJc w:val="left"/>
      <w:pPr>
        <w:ind w:left="2040" w:hanging="340"/>
      </w:pPr>
      <w:rPr>
        <w:rFonts w:ascii="Verdana" w:hAnsi="Verdana" w:hint="default"/>
      </w:rPr>
    </w:lvl>
    <w:lvl w:ilvl="5">
      <w:start w:val="1"/>
      <w:numFmt w:val="bullet"/>
      <w:lvlText w:val=""/>
      <w:lvlJc w:val="left"/>
      <w:pPr>
        <w:ind w:left="2380" w:hanging="340"/>
      </w:pPr>
      <w:rPr>
        <w:rFonts w:ascii="Symbol" w:hAnsi="Symbol" w:hint="default"/>
      </w:rPr>
    </w:lvl>
    <w:lvl w:ilvl="6">
      <w:start w:val="1"/>
      <w:numFmt w:val="bullet"/>
      <w:lvlText w:val="–"/>
      <w:lvlJc w:val="left"/>
      <w:pPr>
        <w:ind w:left="2720" w:hanging="340"/>
      </w:pPr>
      <w:rPr>
        <w:rFonts w:ascii="Verdana" w:hAnsi="Verdana" w:hint="default"/>
      </w:rPr>
    </w:lvl>
    <w:lvl w:ilvl="7">
      <w:start w:val="1"/>
      <w:numFmt w:val="bullet"/>
      <w:lvlText w:val=""/>
      <w:lvlJc w:val="left"/>
      <w:pPr>
        <w:ind w:left="3060" w:hanging="340"/>
      </w:pPr>
      <w:rPr>
        <w:rFonts w:ascii="Symbol" w:hAnsi="Symbol" w:hint="default"/>
      </w:rPr>
    </w:lvl>
    <w:lvl w:ilvl="8">
      <w:start w:val="1"/>
      <w:numFmt w:val="bullet"/>
      <w:lvlText w:val="–"/>
      <w:lvlJc w:val="left"/>
      <w:pPr>
        <w:ind w:left="3400" w:hanging="340"/>
      </w:pPr>
      <w:rPr>
        <w:rFonts w:ascii="Verdana" w:hAnsi="Verdana" w:hint="default"/>
      </w:rPr>
    </w:lvl>
  </w:abstractNum>
  <w:abstractNum w:abstractNumId="92" w15:restartNumberingAfterBreak="0">
    <w:nsid w:val="64281AF1"/>
    <w:multiLevelType w:val="hybridMultilevel"/>
    <w:tmpl w:val="9E361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65D617AE"/>
    <w:multiLevelType w:val="hybridMultilevel"/>
    <w:tmpl w:val="5C56C2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664E7C9F"/>
    <w:multiLevelType w:val="hybridMultilevel"/>
    <w:tmpl w:val="7A768EF2"/>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5" w15:restartNumberingAfterBreak="0">
    <w:nsid w:val="687C3058"/>
    <w:multiLevelType w:val="hybridMultilevel"/>
    <w:tmpl w:val="22E88E3C"/>
    <w:lvl w:ilvl="0" w:tplc="0C090001">
      <w:start w:val="1"/>
      <w:numFmt w:val="bullet"/>
      <w:lvlText w:val=""/>
      <w:lvlJc w:val="left"/>
      <w:pPr>
        <w:ind w:left="720" w:hanging="360"/>
      </w:pPr>
      <w:rPr>
        <w:rFonts w:ascii="Symbol" w:hAnsi="Symbol" w:hint="default"/>
      </w:rPr>
    </w:lvl>
    <w:lvl w:ilvl="1" w:tplc="32869C34">
      <w:start w:val="3"/>
      <w:numFmt w:val="bullet"/>
      <w:lvlText w:val="•"/>
      <w:lvlJc w:val="left"/>
      <w:pPr>
        <w:ind w:left="1440" w:hanging="360"/>
      </w:pPr>
      <w:rPr>
        <w:rFonts w:ascii="Verdana" w:eastAsiaTheme="minorHAnsi" w:hAnsi="Verdana"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690C34FA"/>
    <w:multiLevelType w:val="hybridMultilevel"/>
    <w:tmpl w:val="C68EC166"/>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7" w15:restartNumberingAfterBreak="0">
    <w:nsid w:val="69FC3C34"/>
    <w:multiLevelType w:val="hybridMultilevel"/>
    <w:tmpl w:val="C4489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6E255DCB"/>
    <w:multiLevelType w:val="hybridMultilevel"/>
    <w:tmpl w:val="08DEA7FC"/>
    <w:lvl w:ilvl="0" w:tplc="6D548F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708F7BF3"/>
    <w:multiLevelType w:val="hybridMultilevel"/>
    <w:tmpl w:val="B330D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73ED1B21"/>
    <w:multiLevelType w:val="multilevel"/>
    <w:tmpl w:val="9022E37A"/>
    <w:lvl w:ilvl="0">
      <w:start w:val="1"/>
      <w:numFmt w:val="lowerLetter"/>
      <w:lvlText w:val="%1)"/>
      <w:lvlJc w:val="left"/>
      <w:pPr>
        <w:ind w:left="5851" w:hanging="340"/>
      </w:pPr>
      <w:rPr>
        <w:rFonts w:hint="default"/>
      </w:rPr>
    </w:lvl>
    <w:lvl w:ilvl="1">
      <w:start w:val="1"/>
      <w:numFmt w:val="lowerLetter"/>
      <w:lvlText w:val="%2)"/>
      <w:lvlJc w:val="left"/>
      <w:pPr>
        <w:ind w:left="6191" w:hanging="340"/>
      </w:pPr>
      <w:rPr>
        <w:rFonts w:hint="default"/>
      </w:rPr>
    </w:lvl>
    <w:lvl w:ilvl="2">
      <w:start w:val="1"/>
      <w:numFmt w:val="lowerRoman"/>
      <w:lvlText w:val="%3)"/>
      <w:lvlJc w:val="left"/>
      <w:pPr>
        <w:ind w:left="6531" w:hanging="340"/>
      </w:pPr>
      <w:rPr>
        <w:rFonts w:hint="default"/>
      </w:rPr>
    </w:lvl>
    <w:lvl w:ilvl="3">
      <w:start w:val="1"/>
      <w:numFmt w:val="decimal"/>
      <w:lvlText w:val="(%4)"/>
      <w:lvlJc w:val="left"/>
      <w:pPr>
        <w:ind w:left="6871" w:hanging="340"/>
      </w:pPr>
      <w:rPr>
        <w:rFonts w:hint="default"/>
      </w:rPr>
    </w:lvl>
    <w:lvl w:ilvl="4">
      <w:start w:val="1"/>
      <w:numFmt w:val="lowerLetter"/>
      <w:lvlText w:val="(%5)"/>
      <w:lvlJc w:val="left"/>
      <w:pPr>
        <w:ind w:left="7211" w:hanging="340"/>
      </w:pPr>
      <w:rPr>
        <w:rFonts w:hint="default"/>
      </w:rPr>
    </w:lvl>
    <w:lvl w:ilvl="5">
      <w:start w:val="1"/>
      <w:numFmt w:val="lowerRoman"/>
      <w:lvlText w:val="(%6)"/>
      <w:lvlJc w:val="left"/>
      <w:pPr>
        <w:ind w:left="7551" w:hanging="340"/>
      </w:pPr>
      <w:rPr>
        <w:rFonts w:hint="default"/>
      </w:rPr>
    </w:lvl>
    <w:lvl w:ilvl="6">
      <w:start w:val="1"/>
      <w:numFmt w:val="decimal"/>
      <w:lvlText w:val="%7."/>
      <w:lvlJc w:val="left"/>
      <w:pPr>
        <w:ind w:left="7891" w:hanging="340"/>
      </w:pPr>
      <w:rPr>
        <w:rFonts w:hint="default"/>
      </w:rPr>
    </w:lvl>
    <w:lvl w:ilvl="7">
      <w:start w:val="1"/>
      <w:numFmt w:val="lowerLetter"/>
      <w:lvlText w:val="%8."/>
      <w:lvlJc w:val="left"/>
      <w:pPr>
        <w:ind w:left="8231" w:hanging="340"/>
      </w:pPr>
      <w:rPr>
        <w:rFonts w:hint="default"/>
      </w:rPr>
    </w:lvl>
    <w:lvl w:ilvl="8">
      <w:start w:val="1"/>
      <w:numFmt w:val="lowerRoman"/>
      <w:lvlText w:val="%9."/>
      <w:lvlJc w:val="left"/>
      <w:pPr>
        <w:ind w:left="8571" w:hanging="340"/>
      </w:pPr>
      <w:rPr>
        <w:rFonts w:hint="default"/>
      </w:rPr>
    </w:lvl>
  </w:abstractNum>
  <w:abstractNum w:abstractNumId="101" w15:restartNumberingAfterBreak="0">
    <w:nsid w:val="74D31029"/>
    <w:multiLevelType w:val="hybridMultilevel"/>
    <w:tmpl w:val="80BE92F4"/>
    <w:lvl w:ilvl="0" w:tplc="CF822AA8">
      <w:start w:val="1"/>
      <w:numFmt w:val="bullet"/>
      <w:pStyle w:val="Bullet1"/>
      <w:lvlText w:val=""/>
      <w:lvlJc w:val="left"/>
      <w:pPr>
        <w:ind w:left="360" w:hanging="360"/>
      </w:pPr>
      <w:rPr>
        <w:rFonts w:ascii="Symbol" w:hAnsi="Symbol" w:hint="default"/>
        <w:color w:val="002776"/>
        <w:sz w:val="22"/>
      </w:rPr>
    </w:lvl>
    <w:lvl w:ilvl="1" w:tplc="C3A07B9A">
      <w:start w:val="1"/>
      <w:numFmt w:val="bullet"/>
      <w:lvlRestart w:val="0"/>
      <w:lvlText w:val=""/>
      <w:lvlJc w:val="left"/>
      <w:pPr>
        <w:tabs>
          <w:tab w:val="num" w:pos="1134"/>
        </w:tabs>
        <w:ind w:left="1134" w:hanging="567"/>
      </w:pPr>
      <w:rPr>
        <w:rFonts w:ascii="Wingdings 3" w:hAnsi="Wingdings 3" w:hint="default"/>
        <w:b/>
        <w:i w:val="0"/>
        <w:color w:val="931638"/>
        <w:sz w:val="24"/>
      </w:rPr>
    </w:lvl>
    <w:lvl w:ilvl="2" w:tplc="4A60CFE6">
      <w:start w:val="1"/>
      <w:numFmt w:val="bullet"/>
      <w:lvlText w:val="-"/>
      <w:lvlJc w:val="left"/>
      <w:pPr>
        <w:tabs>
          <w:tab w:val="num" w:pos="1701"/>
        </w:tabs>
        <w:ind w:left="1701" w:hanging="567"/>
      </w:pPr>
      <w:rPr>
        <w:rFonts w:ascii="Arial" w:hAnsi="Arial" w:hint="default"/>
        <w:color w:val="931638"/>
      </w:rPr>
    </w:lvl>
    <w:lvl w:ilvl="3" w:tplc="51220934">
      <w:start w:val="1"/>
      <w:numFmt w:val="decimal"/>
      <w:lvlText w:val="(%4)"/>
      <w:lvlJc w:val="left"/>
      <w:pPr>
        <w:tabs>
          <w:tab w:val="num" w:pos="9008"/>
        </w:tabs>
        <w:ind w:left="9008" w:hanging="360"/>
      </w:pPr>
      <w:rPr>
        <w:rFonts w:hint="default"/>
      </w:rPr>
    </w:lvl>
    <w:lvl w:ilvl="4" w:tplc="85FCAFBE">
      <w:start w:val="1"/>
      <w:numFmt w:val="lowerLetter"/>
      <w:lvlText w:val="(%5)"/>
      <w:lvlJc w:val="left"/>
      <w:pPr>
        <w:tabs>
          <w:tab w:val="num" w:pos="1800"/>
        </w:tabs>
        <w:ind w:left="1800" w:hanging="360"/>
      </w:pPr>
      <w:rPr>
        <w:rFonts w:hint="default"/>
      </w:rPr>
    </w:lvl>
    <w:lvl w:ilvl="5" w:tplc="BBCADD48">
      <w:start w:val="1"/>
      <w:numFmt w:val="lowerRoman"/>
      <w:lvlText w:val="(%6)"/>
      <w:lvlJc w:val="left"/>
      <w:pPr>
        <w:tabs>
          <w:tab w:val="num" w:pos="2160"/>
        </w:tabs>
        <w:ind w:left="2160" w:hanging="360"/>
      </w:pPr>
      <w:rPr>
        <w:rFonts w:hint="default"/>
      </w:rPr>
    </w:lvl>
    <w:lvl w:ilvl="6" w:tplc="CDFE3A40">
      <w:start w:val="1"/>
      <w:numFmt w:val="decimal"/>
      <w:lvlText w:val="%7."/>
      <w:lvlJc w:val="left"/>
      <w:pPr>
        <w:tabs>
          <w:tab w:val="num" w:pos="2520"/>
        </w:tabs>
        <w:ind w:left="2520" w:hanging="360"/>
      </w:pPr>
      <w:rPr>
        <w:rFonts w:hint="default"/>
      </w:rPr>
    </w:lvl>
    <w:lvl w:ilvl="7" w:tplc="0A90A112">
      <w:start w:val="1"/>
      <w:numFmt w:val="lowerLetter"/>
      <w:lvlText w:val="%8."/>
      <w:lvlJc w:val="left"/>
      <w:pPr>
        <w:tabs>
          <w:tab w:val="num" w:pos="2880"/>
        </w:tabs>
        <w:ind w:left="2880" w:hanging="360"/>
      </w:pPr>
      <w:rPr>
        <w:rFonts w:hint="default"/>
      </w:rPr>
    </w:lvl>
    <w:lvl w:ilvl="8" w:tplc="B7F818C0">
      <w:start w:val="1"/>
      <w:numFmt w:val="lowerRoman"/>
      <w:lvlText w:val="%9."/>
      <w:lvlJc w:val="left"/>
      <w:pPr>
        <w:tabs>
          <w:tab w:val="num" w:pos="3240"/>
        </w:tabs>
        <w:ind w:left="3240" w:hanging="360"/>
      </w:pPr>
      <w:rPr>
        <w:rFonts w:hint="default"/>
      </w:rPr>
    </w:lvl>
  </w:abstractNum>
  <w:abstractNum w:abstractNumId="102" w15:restartNumberingAfterBreak="0">
    <w:nsid w:val="74DF71E2"/>
    <w:multiLevelType w:val="hybridMultilevel"/>
    <w:tmpl w:val="9F8E7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3" w15:restartNumberingAfterBreak="0">
    <w:nsid w:val="7549344B"/>
    <w:multiLevelType w:val="hybridMultilevel"/>
    <w:tmpl w:val="B6A0BD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4" w15:restartNumberingAfterBreak="0">
    <w:nsid w:val="77542B63"/>
    <w:multiLevelType w:val="hybridMultilevel"/>
    <w:tmpl w:val="BD4A384C"/>
    <w:lvl w:ilvl="0" w:tplc="910843D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78897042"/>
    <w:multiLevelType w:val="hybridMultilevel"/>
    <w:tmpl w:val="31BED642"/>
    <w:lvl w:ilvl="0" w:tplc="92A65062">
      <w:start w:val="1"/>
      <w:numFmt w:val="bullet"/>
      <w:lvlText w:val="-"/>
      <w:lvlJc w:val="left"/>
      <w:pPr>
        <w:ind w:left="720" w:hanging="360"/>
      </w:pPr>
      <w:rPr>
        <w:rFonts w:ascii="Verdana" w:eastAsiaTheme="minorHAnsi" w:hAnsi="Verdana"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6" w15:restartNumberingAfterBreak="0">
    <w:nsid w:val="795F1329"/>
    <w:multiLevelType w:val="hybridMultilevel"/>
    <w:tmpl w:val="9AF2BF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7ADC1865"/>
    <w:multiLevelType w:val="multilevel"/>
    <w:tmpl w:val="C4F4552C"/>
    <w:lvl w:ilvl="0">
      <w:start w:val="1"/>
      <w:numFmt w:val="decimal"/>
      <w:lvlText w:val="%1"/>
      <w:lvlJc w:val="left"/>
      <w:pPr>
        <w:ind w:left="432" w:hanging="432"/>
      </w:pPr>
    </w:lvl>
    <w:lvl w:ilvl="1">
      <w:start w:val="1"/>
      <w:numFmt w:val="decimal"/>
      <w:lvlText w:val="%1.%2"/>
      <w:lvlJc w:val="left"/>
      <w:pPr>
        <w:ind w:left="576" w:hanging="576"/>
      </w:pPr>
      <w:rPr>
        <w:color w:val="62B5E5" w:themeColor="accent3"/>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8" w15:restartNumberingAfterBreak="0">
    <w:nsid w:val="7CF76037"/>
    <w:multiLevelType w:val="hybridMultilevel"/>
    <w:tmpl w:val="D93C4E1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7D9356A4"/>
    <w:multiLevelType w:val="hybridMultilevel"/>
    <w:tmpl w:val="F7786132"/>
    <w:lvl w:ilvl="0" w:tplc="2174A178">
      <w:start w:val="1"/>
      <w:numFmt w:val="bullet"/>
      <w:pStyle w:val="ListBullet"/>
      <w:lvlText w:val=""/>
      <w:lvlJc w:val="left"/>
      <w:pPr>
        <w:ind w:left="720" w:hanging="360"/>
      </w:pPr>
      <w:rPr>
        <w:rFonts w:ascii="Symbol" w:hAnsi="Symbol" w:hint="default"/>
      </w:rPr>
    </w:lvl>
    <w:lvl w:ilvl="1" w:tplc="2E32833E">
      <w:numFmt w:val="bullet"/>
      <w:lvlText w:val="•"/>
      <w:lvlJc w:val="left"/>
      <w:pPr>
        <w:ind w:left="1800" w:hanging="720"/>
      </w:pPr>
      <w:rPr>
        <w:rFonts w:ascii="Verdana" w:eastAsiaTheme="minorHAnsi" w:hAnsi="Verdana"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7E1B2558"/>
    <w:multiLevelType w:val="multilevel"/>
    <w:tmpl w:val="A2C856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1" w15:restartNumberingAfterBreak="0">
    <w:nsid w:val="7E3F79C0"/>
    <w:multiLevelType w:val="multilevel"/>
    <w:tmpl w:val="C4E045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2" w15:restartNumberingAfterBreak="0">
    <w:nsid w:val="7EBD6954"/>
    <w:multiLevelType w:val="multilevel"/>
    <w:tmpl w:val="981CD2F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4"/>
  </w:num>
  <w:num w:numId="2">
    <w:abstractNumId w:val="3"/>
  </w:num>
  <w:num w:numId="3">
    <w:abstractNumId w:val="2"/>
  </w:num>
  <w:num w:numId="4">
    <w:abstractNumId w:val="1"/>
  </w:num>
  <w:num w:numId="5">
    <w:abstractNumId w:val="0"/>
  </w:num>
  <w:num w:numId="6">
    <w:abstractNumId w:val="66"/>
  </w:num>
  <w:num w:numId="7">
    <w:abstractNumId w:val="65"/>
  </w:num>
  <w:num w:numId="8">
    <w:abstractNumId w:val="89"/>
  </w:num>
  <w:num w:numId="9">
    <w:abstractNumId w:val="19"/>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64"/>
  </w:num>
  <w:num w:numId="13">
    <w:abstractNumId w:val="91"/>
  </w:num>
  <w:num w:numId="14">
    <w:abstractNumId w:val="23"/>
  </w:num>
  <w:num w:numId="15">
    <w:abstractNumId w:val="101"/>
  </w:num>
  <w:num w:numId="16">
    <w:abstractNumId w:val="59"/>
  </w:num>
  <w:num w:numId="17">
    <w:abstractNumId w:val="36"/>
  </w:num>
  <w:num w:numId="18">
    <w:abstractNumId w:val="14"/>
  </w:num>
  <w:num w:numId="19">
    <w:abstractNumId w:val="94"/>
  </w:num>
  <w:num w:numId="20">
    <w:abstractNumId w:val="43"/>
  </w:num>
  <w:num w:numId="21">
    <w:abstractNumId w:val="73"/>
  </w:num>
  <w:num w:numId="22">
    <w:abstractNumId w:val="70"/>
  </w:num>
  <w:num w:numId="23">
    <w:abstractNumId w:val="42"/>
  </w:num>
  <w:num w:numId="24">
    <w:abstractNumId w:val="20"/>
  </w:num>
  <w:num w:numId="25">
    <w:abstractNumId w:val="6"/>
  </w:num>
  <w:num w:numId="26">
    <w:abstractNumId w:val="100"/>
  </w:num>
  <w:num w:numId="27">
    <w:abstractNumId w:val="32"/>
  </w:num>
  <w:num w:numId="28">
    <w:abstractNumId w:val="107"/>
  </w:num>
  <w:num w:numId="29">
    <w:abstractNumId w:val="12"/>
  </w:num>
  <w:num w:numId="30">
    <w:abstractNumId w:val="40"/>
  </w:num>
  <w:num w:numId="31">
    <w:abstractNumId w:val="95"/>
  </w:num>
  <w:num w:numId="32">
    <w:abstractNumId w:val="50"/>
  </w:num>
  <w:num w:numId="33">
    <w:abstractNumId w:val="67"/>
  </w:num>
  <w:num w:numId="34">
    <w:abstractNumId w:val="83"/>
  </w:num>
  <w:num w:numId="3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6"/>
  </w:num>
  <w:num w:numId="37">
    <w:abstractNumId w:val="76"/>
  </w:num>
  <w:num w:numId="38">
    <w:abstractNumId w:val="84"/>
  </w:num>
  <w:num w:numId="39">
    <w:abstractNumId w:val="28"/>
  </w:num>
  <w:num w:numId="40">
    <w:abstractNumId w:val="88"/>
  </w:num>
  <w:num w:numId="41">
    <w:abstractNumId w:val="82"/>
  </w:num>
  <w:num w:numId="42">
    <w:abstractNumId w:val="69"/>
  </w:num>
  <w:num w:numId="43">
    <w:abstractNumId w:val="60"/>
  </w:num>
  <w:num w:numId="44">
    <w:abstractNumId w:val="108"/>
  </w:num>
  <w:num w:numId="45">
    <w:abstractNumId w:val="15"/>
  </w:num>
  <w:num w:numId="46">
    <w:abstractNumId w:val="11"/>
  </w:num>
  <w:num w:numId="47">
    <w:abstractNumId w:val="35"/>
  </w:num>
  <w:num w:numId="48">
    <w:abstractNumId w:val="87"/>
  </w:num>
  <w:num w:numId="49">
    <w:abstractNumId w:val="106"/>
  </w:num>
  <w:num w:numId="50">
    <w:abstractNumId w:val="5"/>
  </w:num>
  <w:num w:numId="51">
    <w:abstractNumId w:val="103"/>
  </w:num>
  <w:num w:numId="52">
    <w:abstractNumId w:val="30"/>
  </w:num>
  <w:num w:numId="53">
    <w:abstractNumId w:val="92"/>
  </w:num>
  <w:num w:numId="54">
    <w:abstractNumId w:val="39"/>
  </w:num>
  <w:num w:numId="55">
    <w:abstractNumId w:val="61"/>
  </w:num>
  <w:num w:numId="56">
    <w:abstractNumId w:val="29"/>
  </w:num>
  <w:num w:numId="57">
    <w:abstractNumId w:val="78"/>
  </w:num>
  <w:num w:numId="58">
    <w:abstractNumId w:val="7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9"/>
  </w:num>
  <w:num w:numId="60">
    <w:abstractNumId w:val="7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4"/>
  </w:num>
  <w:num w:numId="64">
    <w:abstractNumId w:val="101"/>
    <w:lvlOverride w:ilvl="0">
      <w:startOverride w:val="1"/>
    </w:lvlOverride>
    <w:lvlOverride w:ilvl="1">
      <w:startOverride w:val="1"/>
    </w:lvlOverride>
    <w:lvlOverride w:ilvl="2">
      <w:startOverride w:val="1"/>
    </w:lvlOverride>
    <w:lvlOverride w:ilvl="3">
      <w:startOverride w:val="4"/>
    </w:lvlOverride>
  </w:num>
  <w:num w:numId="65">
    <w:abstractNumId w:val="110"/>
  </w:num>
  <w:num w:numId="66">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4"/>
  </w:num>
  <w:num w:numId="6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0"/>
  </w:num>
  <w:num w:numId="70">
    <w:abstractNumId w:val="48"/>
  </w:num>
  <w:num w:numId="71">
    <w:abstractNumId w:val="16"/>
  </w:num>
  <w:num w:numId="72">
    <w:abstractNumId w:val="31"/>
  </w:num>
  <w:num w:numId="73">
    <w:abstractNumId w:val="112"/>
  </w:num>
  <w:num w:numId="74">
    <w:abstractNumId w:val="90"/>
  </w:num>
  <w:num w:numId="75">
    <w:abstractNumId w:val="47"/>
  </w:num>
  <w:num w:numId="76">
    <w:abstractNumId w:val="47"/>
  </w:num>
  <w:num w:numId="77">
    <w:abstractNumId w:val="47"/>
  </w:num>
  <w:num w:numId="78">
    <w:abstractNumId w:val="47"/>
  </w:num>
  <w:num w:numId="79">
    <w:abstractNumId w:val="104"/>
  </w:num>
  <w:num w:numId="80">
    <w:abstractNumId w:val="52"/>
  </w:num>
  <w:num w:numId="81">
    <w:abstractNumId w:val="47"/>
  </w:num>
  <w:num w:numId="82">
    <w:abstractNumId w:val="21"/>
  </w:num>
  <w:num w:numId="83">
    <w:abstractNumId w:val="85"/>
  </w:num>
  <w:num w:numId="84">
    <w:abstractNumId w:val="51"/>
  </w:num>
  <w:num w:numId="85">
    <w:abstractNumId w:val="8"/>
  </w:num>
  <w:num w:numId="86">
    <w:abstractNumId w:val="93"/>
  </w:num>
  <w:num w:numId="87">
    <w:abstractNumId w:val="58"/>
  </w:num>
  <w:num w:numId="88">
    <w:abstractNumId w:val="54"/>
  </w:num>
  <w:num w:numId="89">
    <w:abstractNumId w:val="77"/>
  </w:num>
  <w:num w:numId="90">
    <w:abstractNumId w:val="10"/>
  </w:num>
  <w:num w:numId="91">
    <w:abstractNumId w:val="10"/>
  </w:num>
  <w:num w:numId="92">
    <w:abstractNumId w:val="10"/>
  </w:num>
  <w:num w:numId="93">
    <w:abstractNumId w:val="25"/>
  </w:num>
  <w:num w:numId="94">
    <w:abstractNumId w:val="98"/>
  </w:num>
  <w:num w:numId="95">
    <w:abstractNumId w:val="26"/>
  </w:num>
  <w:num w:numId="96">
    <w:abstractNumId w:val="55"/>
  </w:num>
  <w:num w:numId="97">
    <w:abstractNumId w:val="109"/>
  </w:num>
  <w:num w:numId="98">
    <w:abstractNumId w:val="62"/>
  </w:num>
  <w:num w:numId="99">
    <w:abstractNumId w:val="111"/>
  </w:num>
  <w:num w:numId="100">
    <w:abstractNumId w:val="81"/>
  </w:num>
  <w:num w:numId="101">
    <w:abstractNumId w:val="81"/>
  </w:num>
  <w:num w:numId="102">
    <w:abstractNumId w:val="109"/>
  </w:num>
  <w:num w:numId="103">
    <w:abstractNumId w:val="81"/>
  </w:num>
  <w:num w:numId="104">
    <w:abstractNumId w:val="109"/>
  </w:num>
  <w:num w:numId="105">
    <w:abstractNumId w:val="80"/>
  </w:num>
  <w:num w:numId="106">
    <w:abstractNumId w:val="63"/>
  </w:num>
  <w:num w:numId="107">
    <w:abstractNumId w:val="81"/>
  </w:num>
  <w:num w:numId="108">
    <w:abstractNumId w:val="109"/>
  </w:num>
  <w:num w:numId="109">
    <w:abstractNumId w:val="68"/>
  </w:num>
  <w:num w:numId="110">
    <w:abstractNumId w:val="4"/>
  </w:num>
  <w:num w:numId="111">
    <w:abstractNumId w:val="109"/>
  </w:num>
  <w:num w:numId="112">
    <w:abstractNumId w:val="109"/>
  </w:num>
  <w:num w:numId="113">
    <w:abstractNumId w:val="53"/>
  </w:num>
  <w:num w:numId="114">
    <w:abstractNumId w:val="109"/>
  </w:num>
  <w:num w:numId="115">
    <w:abstractNumId w:val="91"/>
  </w:num>
  <w:num w:numId="1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09"/>
  </w:num>
  <w:num w:numId="118">
    <w:abstractNumId w:val="17"/>
  </w:num>
  <w:num w:numId="119">
    <w:abstractNumId w:val="102"/>
  </w:num>
  <w:num w:numId="120">
    <w:abstractNumId w:val="109"/>
  </w:num>
  <w:num w:numId="121">
    <w:abstractNumId w:val="109"/>
  </w:num>
  <w:num w:numId="122">
    <w:abstractNumId w:val="109"/>
  </w:num>
  <w:num w:numId="123">
    <w:abstractNumId w:val="109"/>
  </w:num>
  <w:num w:numId="124">
    <w:abstractNumId w:val="109"/>
  </w:num>
  <w:num w:numId="125">
    <w:abstractNumId w:val="109"/>
  </w:num>
  <w:num w:numId="126">
    <w:abstractNumId w:val="71"/>
  </w:num>
  <w:num w:numId="127">
    <w:abstractNumId w:val="86"/>
  </w:num>
  <w:num w:numId="128">
    <w:abstractNumId w:val="36"/>
  </w:num>
  <w:num w:numId="129">
    <w:abstractNumId w:val="38"/>
  </w:num>
  <w:num w:numId="130">
    <w:abstractNumId w:val="109"/>
  </w:num>
  <w:num w:numId="131">
    <w:abstractNumId w:val="45"/>
  </w:num>
  <w:num w:numId="132">
    <w:abstractNumId w:val="109"/>
  </w:num>
  <w:num w:numId="133">
    <w:abstractNumId w:val="109"/>
  </w:num>
  <w:num w:numId="134">
    <w:abstractNumId w:val="109"/>
  </w:num>
  <w:num w:numId="135">
    <w:abstractNumId w:val="109"/>
  </w:num>
  <w:num w:numId="136">
    <w:abstractNumId w:val="109"/>
  </w:num>
  <w:num w:numId="137">
    <w:abstractNumId w:val="109"/>
  </w:num>
  <w:num w:numId="138">
    <w:abstractNumId w:val="109"/>
  </w:num>
  <w:num w:numId="139">
    <w:abstractNumId w:val="109"/>
  </w:num>
  <w:num w:numId="140">
    <w:abstractNumId w:val="41"/>
  </w:num>
  <w:num w:numId="141">
    <w:abstractNumId w:val="109"/>
  </w:num>
  <w:num w:numId="142">
    <w:abstractNumId w:val="22"/>
  </w:num>
  <w:num w:numId="143">
    <w:abstractNumId w:val="109"/>
  </w:num>
  <w:num w:numId="144">
    <w:abstractNumId w:val="109"/>
  </w:num>
  <w:num w:numId="145">
    <w:abstractNumId w:val="109"/>
  </w:num>
  <w:num w:numId="146">
    <w:abstractNumId w:val="109"/>
  </w:num>
  <w:num w:numId="147">
    <w:abstractNumId w:val="109"/>
  </w:num>
  <w:num w:numId="148">
    <w:abstractNumId w:val="109"/>
  </w:num>
  <w:num w:numId="149">
    <w:abstractNumId w:val="109"/>
  </w:num>
  <w:num w:numId="150">
    <w:abstractNumId w:val="109"/>
  </w:num>
  <w:num w:numId="151">
    <w:abstractNumId w:val="109"/>
  </w:num>
  <w:num w:numId="152">
    <w:abstractNumId w:val="37"/>
  </w:num>
  <w:num w:numId="153">
    <w:abstractNumId w:val="109"/>
  </w:num>
  <w:num w:numId="154">
    <w:abstractNumId w:val="109"/>
  </w:num>
  <w:num w:numId="155">
    <w:abstractNumId w:val="109"/>
  </w:num>
  <w:num w:numId="156">
    <w:abstractNumId w:val="109"/>
  </w:num>
  <w:num w:numId="157">
    <w:abstractNumId w:val="81"/>
  </w:num>
  <w:num w:numId="158">
    <w:abstractNumId w:val="81"/>
  </w:num>
  <w:num w:numId="159">
    <w:abstractNumId w:val="8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99"/>
  </w:num>
  <w:num w:numId="161">
    <w:abstractNumId w:val="97"/>
  </w:num>
  <w:num w:numId="162">
    <w:abstractNumId w:val="57"/>
  </w:num>
  <w:num w:numId="163">
    <w:abstractNumId w:val="74"/>
  </w:num>
  <w:num w:numId="164">
    <w:abstractNumId w:val="33"/>
  </w:num>
  <w:num w:numId="165">
    <w:abstractNumId w:val="75"/>
  </w:num>
  <w:num w:numId="166">
    <w:abstractNumId w:val="75"/>
  </w:num>
  <w:num w:numId="167">
    <w:abstractNumId w:val="109"/>
  </w:num>
  <w:num w:numId="168">
    <w:abstractNumId w:val="46"/>
  </w:num>
  <w:num w:numId="169">
    <w:abstractNumId w:val="109"/>
  </w:num>
  <w:num w:numId="170">
    <w:abstractNumId w:val="81"/>
  </w:num>
  <w:num w:numId="171">
    <w:abstractNumId w:val="49"/>
  </w:num>
  <w:num w:numId="172">
    <w:abstractNumId w:val="101"/>
  </w:num>
  <w:num w:numId="173">
    <w:abstractNumId w:val="81"/>
  </w:num>
  <w:num w:numId="174">
    <w:abstractNumId w:val="101"/>
  </w:num>
  <w:num w:numId="175">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05"/>
  </w:num>
  <w:num w:numId="177">
    <w:abstractNumId w:val="9"/>
  </w:num>
  <w:num w:numId="178">
    <w:abstractNumId w:val="18"/>
  </w:num>
  <w:num w:numId="179">
    <w:abstractNumId w:val="27"/>
  </w:num>
  <w:num w:numId="180">
    <w:abstractNumId w:val="109"/>
  </w:num>
  <w:num w:numId="181">
    <w:abstractNumId w:val="109"/>
  </w:num>
  <w:numIdMacAtCleanup w:val="1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a-DK" w:vendorID="64" w:dllVersion="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da-DK" w:vendorID="64" w:dllVersion="0" w:nlCheck="1" w:checkStyle="0"/>
  <w:activeWritingStyle w:appName="MSWord" w:lang="en-GB" w:vendorID="64" w:dllVersion="0" w:nlCheck="1" w:checkStyle="0"/>
  <w:activeWritingStyle w:appName="MSWord" w:lang="fr-FR" w:vendorID="64" w:dllVersion="0" w:nlCheck="1" w:checkStyle="0"/>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defaultTabStop w:val="720"/>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0AB"/>
    <w:rsid w:val="00000138"/>
    <w:rsid w:val="00000282"/>
    <w:rsid w:val="000005FE"/>
    <w:rsid w:val="000006AC"/>
    <w:rsid w:val="000006B2"/>
    <w:rsid w:val="00000CED"/>
    <w:rsid w:val="00000DB2"/>
    <w:rsid w:val="00000E8A"/>
    <w:rsid w:val="00000FD8"/>
    <w:rsid w:val="000015A4"/>
    <w:rsid w:val="00001799"/>
    <w:rsid w:val="0000197E"/>
    <w:rsid w:val="00001A93"/>
    <w:rsid w:val="00001B07"/>
    <w:rsid w:val="00001D3F"/>
    <w:rsid w:val="00001E33"/>
    <w:rsid w:val="00001F2A"/>
    <w:rsid w:val="00001FC2"/>
    <w:rsid w:val="00002134"/>
    <w:rsid w:val="000021A8"/>
    <w:rsid w:val="00002379"/>
    <w:rsid w:val="000027D9"/>
    <w:rsid w:val="00002C25"/>
    <w:rsid w:val="00002ED7"/>
    <w:rsid w:val="00003287"/>
    <w:rsid w:val="00003424"/>
    <w:rsid w:val="000038F0"/>
    <w:rsid w:val="0000394C"/>
    <w:rsid w:val="00003AFA"/>
    <w:rsid w:val="00003E4E"/>
    <w:rsid w:val="000042BB"/>
    <w:rsid w:val="0000441B"/>
    <w:rsid w:val="00004926"/>
    <w:rsid w:val="00004B42"/>
    <w:rsid w:val="00004CE3"/>
    <w:rsid w:val="00004D07"/>
    <w:rsid w:val="00004E07"/>
    <w:rsid w:val="00004E0F"/>
    <w:rsid w:val="0000517D"/>
    <w:rsid w:val="00005239"/>
    <w:rsid w:val="0000524C"/>
    <w:rsid w:val="000054B7"/>
    <w:rsid w:val="0000568D"/>
    <w:rsid w:val="00005897"/>
    <w:rsid w:val="00005D4E"/>
    <w:rsid w:val="00005E6B"/>
    <w:rsid w:val="000061DC"/>
    <w:rsid w:val="0000638C"/>
    <w:rsid w:val="000063C9"/>
    <w:rsid w:val="0000677C"/>
    <w:rsid w:val="000068D8"/>
    <w:rsid w:val="0000696E"/>
    <w:rsid w:val="000069E1"/>
    <w:rsid w:val="00006F4F"/>
    <w:rsid w:val="00007101"/>
    <w:rsid w:val="00007214"/>
    <w:rsid w:val="00007252"/>
    <w:rsid w:val="000072DF"/>
    <w:rsid w:val="000073B9"/>
    <w:rsid w:val="000076B1"/>
    <w:rsid w:val="00007A3F"/>
    <w:rsid w:val="00007BAB"/>
    <w:rsid w:val="00007C54"/>
    <w:rsid w:val="00007DA5"/>
    <w:rsid w:val="000102C6"/>
    <w:rsid w:val="000103A9"/>
    <w:rsid w:val="0001066F"/>
    <w:rsid w:val="00010BA3"/>
    <w:rsid w:val="00010FD7"/>
    <w:rsid w:val="0001110E"/>
    <w:rsid w:val="00011536"/>
    <w:rsid w:val="00011633"/>
    <w:rsid w:val="000116B0"/>
    <w:rsid w:val="00011C10"/>
    <w:rsid w:val="00012069"/>
    <w:rsid w:val="0001216F"/>
    <w:rsid w:val="00012314"/>
    <w:rsid w:val="000123C8"/>
    <w:rsid w:val="00012502"/>
    <w:rsid w:val="000126CA"/>
    <w:rsid w:val="0001283D"/>
    <w:rsid w:val="0001288A"/>
    <w:rsid w:val="000128E3"/>
    <w:rsid w:val="000131A3"/>
    <w:rsid w:val="000132F1"/>
    <w:rsid w:val="00013357"/>
    <w:rsid w:val="000134F0"/>
    <w:rsid w:val="000136F7"/>
    <w:rsid w:val="00013711"/>
    <w:rsid w:val="0001396C"/>
    <w:rsid w:val="000139BC"/>
    <w:rsid w:val="00013D50"/>
    <w:rsid w:val="00013D6C"/>
    <w:rsid w:val="00014477"/>
    <w:rsid w:val="00014538"/>
    <w:rsid w:val="00014760"/>
    <w:rsid w:val="000147A1"/>
    <w:rsid w:val="00014901"/>
    <w:rsid w:val="00014971"/>
    <w:rsid w:val="00014973"/>
    <w:rsid w:val="00014B89"/>
    <w:rsid w:val="0001501D"/>
    <w:rsid w:val="00015258"/>
    <w:rsid w:val="00015272"/>
    <w:rsid w:val="000152A5"/>
    <w:rsid w:val="00015633"/>
    <w:rsid w:val="000157A6"/>
    <w:rsid w:val="00015DCE"/>
    <w:rsid w:val="00015DD5"/>
    <w:rsid w:val="0001618D"/>
    <w:rsid w:val="000162DC"/>
    <w:rsid w:val="000163C3"/>
    <w:rsid w:val="0001651A"/>
    <w:rsid w:val="00016731"/>
    <w:rsid w:val="0001678F"/>
    <w:rsid w:val="000167B2"/>
    <w:rsid w:val="00016825"/>
    <w:rsid w:val="00016BCF"/>
    <w:rsid w:val="0001712D"/>
    <w:rsid w:val="000173B3"/>
    <w:rsid w:val="00017704"/>
    <w:rsid w:val="00017825"/>
    <w:rsid w:val="00017C53"/>
    <w:rsid w:val="00017FEA"/>
    <w:rsid w:val="00020006"/>
    <w:rsid w:val="00020297"/>
    <w:rsid w:val="00020692"/>
    <w:rsid w:val="000207C2"/>
    <w:rsid w:val="00020CA7"/>
    <w:rsid w:val="00020D44"/>
    <w:rsid w:val="00020DD9"/>
    <w:rsid w:val="00020EC6"/>
    <w:rsid w:val="00021115"/>
    <w:rsid w:val="00021200"/>
    <w:rsid w:val="00021224"/>
    <w:rsid w:val="00021375"/>
    <w:rsid w:val="0002156C"/>
    <w:rsid w:val="000215C5"/>
    <w:rsid w:val="00021606"/>
    <w:rsid w:val="00021706"/>
    <w:rsid w:val="0002171F"/>
    <w:rsid w:val="00021A39"/>
    <w:rsid w:val="00021A5A"/>
    <w:rsid w:val="00021B57"/>
    <w:rsid w:val="00021D59"/>
    <w:rsid w:val="0002204C"/>
    <w:rsid w:val="0002238D"/>
    <w:rsid w:val="00022657"/>
    <w:rsid w:val="00022896"/>
    <w:rsid w:val="00022986"/>
    <w:rsid w:val="00022B31"/>
    <w:rsid w:val="00022B48"/>
    <w:rsid w:val="00022BB3"/>
    <w:rsid w:val="00022BDD"/>
    <w:rsid w:val="00022C6A"/>
    <w:rsid w:val="00022E42"/>
    <w:rsid w:val="00022EBA"/>
    <w:rsid w:val="0002302C"/>
    <w:rsid w:val="00023354"/>
    <w:rsid w:val="0002343B"/>
    <w:rsid w:val="00023583"/>
    <w:rsid w:val="0002366D"/>
    <w:rsid w:val="000236BA"/>
    <w:rsid w:val="0002373C"/>
    <w:rsid w:val="00023AFA"/>
    <w:rsid w:val="00023D99"/>
    <w:rsid w:val="00023DC0"/>
    <w:rsid w:val="00023F6F"/>
    <w:rsid w:val="00023FC4"/>
    <w:rsid w:val="00023FDC"/>
    <w:rsid w:val="00024213"/>
    <w:rsid w:val="00024531"/>
    <w:rsid w:val="0002486F"/>
    <w:rsid w:val="0002489B"/>
    <w:rsid w:val="000248A8"/>
    <w:rsid w:val="00024D75"/>
    <w:rsid w:val="00024DC9"/>
    <w:rsid w:val="00024F0C"/>
    <w:rsid w:val="00024F9A"/>
    <w:rsid w:val="00024FD6"/>
    <w:rsid w:val="00024FF6"/>
    <w:rsid w:val="000250D8"/>
    <w:rsid w:val="00025218"/>
    <w:rsid w:val="0002529A"/>
    <w:rsid w:val="00025305"/>
    <w:rsid w:val="00025770"/>
    <w:rsid w:val="00025E7D"/>
    <w:rsid w:val="00025FBB"/>
    <w:rsid w:val="000260AC"/>
    <w:rsid w:val="000261D8"/>
    <w:rsid w:val="0002658B"/>
    <w:rsid w:val="0002663E"/>
    <w:rsid w:val="000269EF"/>
    <w:rsid w:val="00026DE9"/>
    <w:rsid w:val="00026F00"/>
    <w:rsid w:val="00027000"/>
    <w:rsid w:val="000270E3"/>
    <w:rsid w:val="00027741"/>
    <w:rsid w:val="000277D0"/>
    <w:rsid w:val="00027956"/>
    <w:rsid w:val="00027CD1"/>
    <w:rsid w:val="00027D0C"/>
    <w:rsid w:val="00027E4A"/>
    <w:rsid w:val="000300C3"/>
    <w:rsid w:val="000304FE"/>
    <w:rsid w:val="00030526"/>
    <w:rsid w:val="000308B4"/>
    <w:rsid w:val="000308E8"/>
    <w:rsid w:val="00030966"/>
    <w:rsid w:val="00031008"/>
    <w:rsid w:val="0003104E"/>
    <w:rsid w:val="00031189"/>
    <w:rsid w:val="00031233"/>
    <w:rsid w:val="00031252"/>
    <w:rsid w:val="00031598"/>
    <w:rsid w:val="0003162E"/>
    <w:rsid w:val="0003190D"/>
    <w:rsid w:val="00031BFB"/>
    <w:rsid w:val="00031ECD"/>
    <w:rsid w:val="00031F08"/>
    <w:rsid w:val="0003219F"/>
    <w:rsid w:val="00032306"/>
    <w:rsid w:val="000325E7"/>
    <w:rsid w:val="00032620"/>
    <w:rsid w:val="000327A5"/>
    <w:rsid w:val="00032829"/>
    <w:rsid w:val="0003290F"/>
    <w:rsid w:val="000329CB"/>
    <w:rsid w:val="00032EA7"/>
    <w:rsid w:val="0003308D"/>
    <w:rsid w:val="00033102"/>
    <w:rsid w:val="00033291"/>
    <w:rsid w:val="0003350B"/>
    <w:rsid w:val="00033AB4"/>
    <w:rsid w:val="00033B17"/>
    <w:rsid w:val="00033D4C"/>
    <w:rsid w:val="00033EC9"/>
    <w:rsid w:val="000340D1"/>
    <w:rsid w:val="0003439B"/>
    <w:rsid w:val="000345B5"/>
    <w:rsid w:val="000347DE"/>
    <w:rsid w:val="00034AA9"/>
    <w:rsid w:val="00034CD1"/>
    <w:rsid w:val="00034D5F"/>
    <w:rsid w:val="00034E30"/>
    <w:rsid w:val="0003543C"/>
    <w:rsid w:val="0003577B"/>
    <w:rsid w:val="00035847"/>
    <w:rsid w:val="00035B81"/>
    <w:rsid w:val="00035DA0"/>
    <w:rsid w:val="00035DBA"/>
    <w:rsid w:val="00036001"/>
    <w:rsid w:val="000362F8"/>
    <w:rsid w:val="00036630"/>
    <w:rsid w:val="00036649"/>
    <w:rsid w:val="00036AD9"/>
    <w:rsid w:val="00036CA0"/>
    <w:rsid w:val="00036E8F"/>
    <w:rsid w:val="00036FF9"/>
    <w:rsid w:val="00037504"/>
    <w:rsid w:val="000375DE"/>
    <w:rsid w:val="00037A90"/>
    <w:rsid w:val="00037A99"/>
    <w:rsid w:val="00037AEB"/>
    <w:rsid w:val="00037C17"/>
    <w:rsid w:val="00037CC2"/>
    <w:rsid w:val="00037D68"/>
    <w:rsid w:val="00037E3A"/>
    <w:rsid w:val="00037ECE"/>
    <w:rsid w:val="00040954"/>
    <w:rsid w:val="00040A44"/>
    <w:rsid w:val="00040A7E"/>
    <w:rsid w:val="00041707"/>
    <w:rsid w:val="00041738"/>
    <w:rsid w:val="000417D5"/>
    <w:rsid w:val="00041C60"/>
    <w:rsid w:val="00041C98"/>
    <w:rsid w:val="00041D42"/>
    <w:rsid w:val="00041D6C"/>
    <w:rsid w:val="00041DB4"/>
    <w:rsid w:val="000421FE"/>
    <w:rsid w:val="000422A0"/>
    <w:rsid w:val="00042458"/>
    <w:rsid w:val="000426D9"/>
    <w:rsid w:val="000429AC"/>
    <w:rsid w:val="00042B6A"/>
    <w:rsid w:val="00042B99"/>
    <w:rsid w:val="00042D60"/>
    <w:rsid w:val="00042F72"/>
    <w:rsid w:val="000433B7"/>
    <w:rsid w:val="0004363A"/>
    <w:rsid w:val="000437B6"/>
    <w:rsid w:val="00043C51"/>
    <w:rsid w:val="00043E9D"/>
    <w:rsid w:val="000442CE"/>
    <w:rsid w:val="000444F4"/>
    <w:rsid w:val="000445CB"/>
    <w:rsid w:val="00044832"/>
    <w:rsid w:val="0004492E"/>
    <w:rsid w:val="00044A87"/>
    <w:rsid w:val="00044C04"/>
    <w:rsid w:val="00044C0A"/>
    <w:rsid w:val="00044D75"/>
    <w:rsid w:val="00044DB3"/>
    <w:rsid w:val="00044EC8"/>
    <w:rsid w:val="000450A6"/>
    <w:rsid w:val="00045316"/>
    <w:rsid w:val="00045322"/>
    <w:rsid w:val="0004560C"/>
    <w:rsid w:val="000456AA"/>
    <w:rsid w:val="00045763"/>
    <w:rsid w:val="000458C2"/>
    <w:rsid w:val="00045BB2"/>
    <w:rsid w:val="00045BEA"/>
    <w:rsid w:val="00045C4F"/>
    <w:rsid w:val="00045C53"/>
    <w:rsid w:val="00045ECD"/>
    <w:rsid w:val="00045F7C"/>
    <w:rsid w:val="000463D8"/>
    <w:rsid w:val="00046416"/>
    <w:rsid w:val="000464B8"/>
    <w:rsid w:val="00046580"/>
    <w:rsid w:val="00046938"/>
    <w:rsid w:val="00046CDD"/>
    <w:rsid w:val="00047335"/>
    <w:rsid w:val="0004786A"/>
    <w:rsid w:val="00047A3C"/>
    <w:rsid w:val="0005011A"/>
    <w:rsid w:val="0005025F"/>
    <w:rsid w:val="00050365"/>
    <w:rsid w:val="00050388"/>
    <w:rsid w:val="000503CB"/>
    <w:rsid w:val="00050508"/>
    <w:rsid w:val="000506E6"/>
    <w:rsid w:val="000507AF"/>
    <w:rsid w:val="00050866"/>
    <w:rsid w:val="00050963"/>
    <w:rsid w:val="00050A59"/>
    <w:rsid w:val="00050BA9"/>
    <w:rsid w:val="00050F48"/>
    <w:rsid w:val="00050FE8"/>
    <w:rsid w:val="00050FFA"/>
    <w:rsid w:val="0005158C"/>
    <w:rsid w:val="000516C4"/>
    <w:rsid w:val="000517C0"/>
    <w:rsid w:val="00051AF5"/>
    <w:rsid w:val="00051B6D"/>
    <w:rsid w:val="00051BE2"/>
    <w:rsid w:val="00051D9B"/>
    <w:rsid w:val="00051E1D"/>
    <w:rsid w:val="00052260"/>
    <w:rsid w:val="000522FA"/>
    <w:rsid w:val="000523B2"/>
    <w:rsid w:val="00052478"/>
    <w:rsid w:val="000524A1"/>
    <w:rsid w:val="00052755"/>
    <w:rsid w:val="0005276C"/>
    <w:rsid w:val="00052AAA"/>
    <w:rsid w:val="00052AFD"/>
    <w:rsid w:val="00052E90"/>
    <w:rsid w:val="00052EE7"/>
    <w:rsid w:val="0005327F"/>
    <w:rsid w:val="0005328D"/>
    <w:rsid w:val="0005346C"/>
    <w:rsid w:val="00053797"/>
    <w:rsid w:val="0005390F"/>
    <w:rsid w:val="00053DD8"/>
    <w:rsid w:val="00053E16"/>
    <w:rsid w:val="00053F96"/>
    <w:rsid w:val="00054117"/>
    <w:rsid w:val="000542EE"/>
    <w:rsid w:val="0005479E"/>
    <w:rsid w:val="00054863"/>
    <w:rsid w:val="000549A0"/>
    <w:rsid w:val="00054CEA"/>
    <w:rsid w:val="00054E01"/>
    <w:rsid w:val="000551A9"/>
    <w:rsid w:val="0005534F"/>
    <w:rsid w:val="00055589"/>
    <w:rsid w:val="00055691"/>
    <w:rsid w:val="00055752"/>
    <w:rsid w:val="00055890"/>
    <w:rsid w:val="000558FB"/>
    <w:rsid w:val="00055AF7"/>
    <w:rsid w:val="00055AFD"/>
    <w:rsid w:val="00055BA8"/>
    <w:rsid w:val="00056332"/>
    <w:rsid w:val="00056A1D"/>
    <w:rsid w:val="00056B35"/>
    <w:rsid w:val="00056D1C"/>
    <w:rsid w:val="00056F75"/>
    <w:rsid w:val="00056FB8"/>
    <w:rsid w:val="00057304"/>
    <w:rsid w:val="000573EE"/>
    <w:rsid w:val="00057987"/>
    <w:rsid w:val="00057C98"/>
    <w:rsid w:val="00060118"/>
    <w:rsid w:val="000603FC"/>
    <w:rsid w:val="000605B8"/>
    <w:rsid w:val="000605C1"/>
    <w:rsid w:val="00060AC2"/>
    <w:rsid w:val="00060B15"/>
    <w:rsid w:val="00060D00"/>
    <w:rsid w:val="00060E53"/>
    <w:rsid w:val="00060F79"/>
    <w:rsid w:val="00061A13"/>
    <w:rsid w:val="00061C40"/>
    <w:rsid w:val="00061E20"/>
    <w:rsid w:val="00061F5E"/>
    <w:rsid w:val="0006202B"/>
    <w:rsid w:val="000620F0"/>
    <w:rsid w:val="0006222D"/>
    <w:rsid w:val="00062308"/>
    <w:rsid w:val="00062916"/>
    <w:rsid w:val="0006293E"/>
    <w:rsid w:val="00062CD0"/>
    <w:rsid w:val="00062E57"/>
    <w:rsid w:val="00062F98"/>
    <w:rsid w:val="00062FAD"/>
    <w:rsid w:val="0006307C"/>
    <w:rsid w:val="00063088"/>
    <w:rsid w:val="000630F1"/>
    <w:rsid w:val="000631BA"/>
    <w:rsid w:val="00063373"/>
    <w:rsid w:val="00063516"/>
    <w:rsid w:val="00063788"/>
    <w:rsid w:val="00063799"/>
    <w:rsid w:val="000637A6"/>
    <w:rsid w:val="00063DB5"/>
    <w:rsid w:val="00063F15"/>
    <w:rsid w:val="0006408A"/>
    <w:rsid w:val="000640B8"/>
    <w:rsid w:val="00064189"/>
    <w:rsid w:val="000642F6"/>
    <w:rsid w:val="000643F6"/>
    <w:rsid w:val="0006442B"/>
    <w:rsid w:val="0006445A"/>
    <w:rsid w:val="000645AD"/>
    <w:rsid w:val="00064E7F"/>
    <w:rsid w:val="000652E8"/>
    <w:rsid w:val="0006547A"/>
    <w:rsid w:val="0006549E"/>
    <w:rsid w:val="0006552B"/>
    <w:rsid w:val="0006572E"/>
    <w:rsid w:val="00065809"/>
    <w:rsid w:val="00065AF4"/>
    <w:rsid w:val="00065D26"/>
    <w:rsid w:val="00065DB1"/>
    <w:rsid w:val="00065DF2"/>
    <w:rsid w:val="00065F77"/>
    <w:rsid w:val="00066130"/>
    <w:rsid w:val="0006642C"/>
    <w:rsid w:val="000668BE"/>
    <w:rsid w:val="00066BBA"/>
    <w:rsid w:val="00066F65"/>
    <w:rsid w:val="000673BC"/>
    <w:rsid w:val="00067665"/>
    <w:rsid w:val="00067738"/>
    <w:rsid w:val="000677D3"/>
    <w:rsid w:val="00067E79"/>
    <w:rsid w:val="00067F72"/>
    <w:rsid w:val="00070266"/>
    <w:rsid w:val="00070328"/>
    <w:rsid w:val="00070446"/>
    <w:rsid w:val="00070450"/>
    <w:rsid w:val="0007048A"/>
    <w:rsid w:val="000704DF"/>
    <w:rsid w:val="00070678"/>
    <w:rsid w:val="0007078A"/>
    <w:rsid w:val="00070908"/>
    <w:rsid w:val="00070DC5"/>
    <w:rsid w:val="00071131"/>
    <w:rsid w:val="000711B6"/>
    <w:rsid w:val="00071509"/>
    <w:rsid w:val="000717B1"/>
    <w:rsid w:val="0007181D"/>
    <w:rsid w:val="000719F7"/>
    <w:rsid w:val="00071A77"/>
    <w:rsid w:val="00072088"/>
    <w:rsid w:val="00072639"/>
    <w:rsid w:val="00072792"/>
    <w:rsid w:val="00072AAD"/>
    <w:rsid w:val="00072AC6"/>
    <w:rsid w:val="00072BAD"/>
    <w:rsid w:val="00072D95"/>
    <w:rsid w:val="00072EA0"/>
    <w:rsid w:val="00073077"/>
    <w:rsid w:val="000735B9"/>
    <w:rsid w:val="000735C3"/>
    <w:rsid w:val="000736D7"/>
    <w:rsid w:val="000738BE"/>
    <w:rsid w:val="00073AA5"/>
    <w:rsid w:val="00073CC4"/>
    <w:rsid w:val="00073CCC"/>
    <w:rsid w:val="00073E5A"/>
    <w:rsid w:val="00073FAB"/>
    <w:rsid w:val="00074197"/>
    <w:rsid w:val="0007424B"/>
    <w:rsid w:val="00074370"/>
    <w:rsid w:val="000749EC"/>
    <w:rsid w:val="00074C26"/>
    <w:rsid w:val="00074F4D"/>
    <w:rsid w:val="0007547A"/>
    <w:rsid w:val="00075505"/>
    <w:rsid w:val="000759C4"/>
    <w:rsid w:val="00075BD4"/>
    <w:rsid w:val="00075D11"/>
    <w:rsid w:val="00075FE9"/>
    <w:rsid w:val="0007608A"/>
    <w:rsid w:val="0007615F"/>
    <w:rsid w:val="00076294"/>
    <w:rsid w:val="000762F1"/>
    <w:rsid w:val="0007644A"/>
    <w:rsid w:val="000765EF"/>
    <w:rsid w:val="00076702"/>
    <w:rsid w:val="00076DDF"/>
    <w:rsid w:val="0007711D"/>
    <w:rsid w:val="0007751B"/>
    <w:rsid w:val="00077605"/>
    <w:rsid w:val="00077921"/>
    <w:rsid w:val="00077C74"/>
    <w:rsid w:val="00077EEA"/>
    <w:rsid w:val="000801A2"/>
    <w:rsid w:val="00080693"/>
    <w:rsid w:val="000807BD"/>
    <w:rsid w:val="00080C05"/>
    <w:rsid w:val="000810FF"/>
    <w:rsid w:val="0008153B"/>
    <w:rsid w:val="0008171D"/>
    <w:rsid w:val="00081938"/>
    <w:rsid w:val="00081FCF"/>
    <w:rsid w:val="00082194"/>
    <w:rsid w:val="000821DB"/>
    <w:rsid w:val="0008243B"/>
    <w:rsid w:val="000824EB"/>
    <w:rsid w:val="00082A5C"/>
    <w:rsid w:val="00082DC8"/>
    <w:rsid w:val="00082DD3"/>
    <w:rsid w:val="00082F0F"/>
    <w:rsid w:val="00082F40"/>
    <w:rsid w:val="0008304B"/>
    <w:rsid w:val="00083B63"/>
    <w:rsid w:val="00083C0B"/>
    <w:rsid w:val="00083DD5"/>
    <w:rsid w:val="00084551"/>
    <w:rsid w:val="00084668"/>
    <w:rsid w:val="00084740"/>
    <w:rsid w:val="000849D1"/>
    <w:rsid w:val="00084A9B"/>
    <w:rsid w:val="00084E3C"/>
    <w:rsid w:val="000851F9"/>
    <w:rsid w:val="00085493"/>
    <w:rsid w:val="000857E8"/>
    <w:rsid w:val="00085963"/>
    <w:rsid w:val="00085EE9"/>
    <w:rsid w:val="00086070"/>
    <w:rsid w:val="000864D4"/>
    <w:rsid w:val="0008650E"/>
    <w:rsid w:val="0008671F"/>
    <w:rsid w:val="0008684B"/>
    <w:rsid w:val="00086A21"/>
    <w:rsid w:val="00086BCB"/>
    <w:rsid w:val="00086CBF"/>
    <w:rsid w:val="00086DAE"/>
    <w:rsid w:val="00087730"/>
    <w:rsid w:val="0008780E"/>
    <w:rsid w:val="000900CD"/>
    <w:rsid w:val="0009032B"/>
    <w:rsid w:val="00090577"/>
    <w:rsid w:val="0009090F"/>
    <w:rsid w:val="00091197"/>
    <w:rsid w:val="000914B5"/>
    <w:rsid w:val="00091539"/>
    <w:rsid w:val="00091958"/>
    <w:rsid w:val="00091AF8"/>
    <w:rsid w:val="00091B60"/>
    <w:rsid w:val="00091BA9"/>
    <w:rsid w:val="00091E82"/>
    <w:rsid w:val="000920E9"/>
    <w:rsid w:val="00092125"/>
    <w:rsid w:val="00092341"/>
    <w:rsid w:val="000924FB"/>
    <w:rsid w:val="00092570"/>
    <w:rsid w:val="000926E7"/>
    <w:rsid w:val="00092708"/>
    <w:rsid w:val="000927D1"/>
    <w:rsid w:val="0009292C"/>
    <w:rsid w:val="00092ABE"/>
    <w:rsid w:val="00092CD4"/>
    <w:rsid w:val="00092CE5"/>
    <w:rsid w:val="00092CEE"/>
    <w:rsid w:val="00093409"/>
    <w:rsid w:val="00093427"/>
    <w:rsid w:val="00093534"/>
    <w:rsid w:val="00093AC2"/>
    <w:rsid w:val="00093D68"/>
    <w:rsid w:val="00093DF9"/>
    <w:rsid w:val="00093FB8"/>
    <w:rsid w:val="00094171"/>
    <w:rsid w:val="00094418"/>
    <w:rsid w:val="00094719"/>
    <w:rsid w:val="000949D8"/>
    <w:rsid w:val="00094A41"/>
    <w:rsid w:val="00094CB8"/>
    <w:rsid w:val="000952E3"/>
    <w:rsid w:val="000953D0"/>
    <w:rsid w:val="00095508"/>
    <w:rsid w:val="00095854"/>
    <w:rsid w:val="00095CF7"/>
    <w:rsid w:val="00095F80"/>
    <w:rsid w:val="000961D8"/>
    <w:rsid w:val="000966A9"/>
    <w:rsid w:val="000966CD"/>
    <w:rsid w:val="000967A0"/>
    <w:rsid w:val="00096891"/>
    <w:rsid w:val="00096D06"/>
    <w:rsid w:val="00096E94"/>
    <w:rsid w:val="00096F76"/>
    <w:rsid w:val="00096FFA"/>
    <w:rsid w:val="000974AA"/>
    <w:rsid w:val="0009769F"/>
    <w:rsid w:val="0009778E"/>
    <w:rsid w:val="00097955"/>
    <w:rsid w:val="00097F80"/>
    <w:rsid w:val="000A0144"/>
    <w:rsid w:val="000A0317"/>
    <w:rsid w:val="000A069B"/>
    <w:rsid w:val="000A07A9"/>
    <w:rsid w:val="000A0B80"/>
    <w:rsid w:val="000A0CD5"/>
    <w:rsid w:val="000A0F4F"/>
    <w:rsid w:val="000A0FC5"/>
    <w:rsid w:val="000A1025"/>
    <w:rsid w:val="000A1473"/>
    <w:rsid w:val="000A17B2"/>
    <w:rsid w:val="000A19EE"/>
    <w:rsid w:val="000A1CFE"/>
    <w:rsid w:val="000A1F6D"/>
    <w:rsid w:val="000A2159"/>
    <w:rsid w:val="000A2177"/>
    <w:rsid w:val="000A22F9"/>
    <w:rsid w:val="000A23AF"/>
    <w:rsid w:val="000A24F8"/>
    <w:rsid w:val="000A2962"/>
    <w:rsid w:val="000A2980"/>
    <w:rsid w:val="000A2B20"/>
    <w:rsid w:val="000A2B47"/>
    <w:rsid w:val="000A2BB9"/>
    <w:rsid w:val="000A2DFA"/>
    <w:rsid w:val="000A2E85"/>
    <w:rsid w:val="000A3092"/>
    <w:rsid w:val="000A31A4"/>
    <w:rsid w:val="000A32A5"/>
    <w:rsid w:val="000A32A8"/>
    <w:rsid w:val="000A364F"/>
    <w:rsid w:val="000A38C5"/>
    <w:rsid w:val="000A3C90"/>
    <w:rsid w:val="000A3FB8"/>
    <w:rsid w:val="000A40C9"/>
    <w:rsid w:val="000A42EC"/>
    <w:rsid w:val="000A4552"/>
    <w:rsid w:val="000A471E"/>
    <w:rsid w:val="000A4972"/>
    <w:rsid w:val="000A4BBA"/>
    <w:rsid w:val="000A4F52"/>
    <w:rsid w:val="000A54C4"/>
    <w:rsid w:val="000A574C"/>
    <w:rsid w:val="000A574D"/>
    <w:rsid w:val="000A5822"/>
    <w:rsid w:val="000A5DF8"/>
    <w:rsid w:val="000A6507"/>
    <w:rsid w:val="000A6B7C"/>
    <w:rsid w:val="000A6D4F"/>
    <w:rsid w:val="000A704B"/>
    <w:rsid w:val="000A7120"/>
    <w:rsid w:val="000A7285"/>
    <w:rsid w:val="000A75E6"/>
    <w:rsid w:val="000A7A02"/>
    <w:rsid w:val="000A7D3A"/>
    <w:rsid w:val="000A7F05"/>
    <w:rsid w:val="000A7F0E"/>
    <w:rsid w:val="000B0371"/>
    <w:rsid w:val="000B0433"/>
    <w:rsid w:val="000B095D"/>
    <w:rsid w:val="000B098A"/>
    <w:rsid w:val="000B11B2"/>
    <w:rsid w:val="000B136C"/>
    <w:rsid w:val="000B146F"/>
    <w:rsid w:val="000B1528"/>
    <w:rsid w:val="000B1837"/>
    <w:rsid w:val="000B1942"/>
    <w:rsid w:val="000B1B17"/>
    <w:rsid w:val="000B1BA0"/>
    <w:rsid w:val="000B1BC8"/>
    <w:rsid w:val="000B1BDD"/>
    <w:rsid w:val="000B1DEE"/>
    <w:rsid w:val="000B1EF0"/>
    <w:rsid w:val="000B207C"/>
    <w:rsid w:val="000B214D"/>
    <w:rsid w:val="000B2250"/>
    <w:rsid w:val="000B230C"/>
    <w:rsid w:val="000B2C69"/>
    <w:rsid w:val="000B2D24"/>
    <w:rsid w:val="000B2E3C"/>
    <w:rsid w:val="000B31B6"/>
    <w:rsid w:val="000B339A"/>
    <w:rsid w:val="000B3599"/>
    <w:rsid w:val="000B376F"/>
    <w:rsid w:val="000B3A72"/>
    <w:rsid w:val="000B3B31"/>
    <w:rsid w:val="000B3CF0"/>
    <w:rsid w:val="000B3D80"/>
    <w:rsid w:val="000B3F4D"/>
    <w:rsid w:val="000B47BE"/>
    <w:rsid w:val="000B48A9"/>
    <w:rsid w:val="000B4919"/>
    <w:rsid w:val="000B5095"/>
    <w:rsid w:val="000B5162"/>
    <w:rsid w:val="000B5285"/>
    <w:rsid w:val="000B52C4"/>
    <w:rsid w:val="000B52DB"/>
    <w:rsid w:val="000B55AA"/>
    <w:rsid w:val="000B60BC"/>
    <w:rsid w:val="000B61AA"/>
    <w:rsid w:val="000B63F9"/>
    <w:rsid w:val="000B644F"/>
    <w:rsid w:val="000B6621"/>
    <w:rsid w:val="000B6781"/>
    <w:rsid w:val="000B6C05"/>
    <w:rsid w:val="000B73FB"/>
    <w:rsid w:val="000B7496"/>
    <w:rsid w:val="000B77AF"/>
    <w:rsid w:val="000B7C0A"/>
    <w:rsid w:val="000B7C45"/>
    <w:rsid w:val="000B7F7C"/>
    <w:rsid w:val="000C0668"/>
    <w:rsid w:val="000C083D"/>
    <w:rsid w:val="000C0F12"/>
    <w:rsid w:val="000C0F3C"/>
    <w:rsid w:val="000C1482"/>
    <w:rsid w:val="000C156F"/>
    <w:rsid w:val="000C1976"/>
    <w:rsid w:val="000C19C6"/>
    <w:rsid w:val="000C1D40"/>
    <w:rsid w:val="000C1F4D"/>
    <w:rsid w:val="000C20BD"/>
    <w:rsid w:val="000C214E"/>
    <w:rsid w:val="000C245A"/>
    <w:rsid w:val="000C2485"/>
    <w:rsid w:val="000C248D"/>
    <w:rsid w:val="000C2B24"/>
    <w:rsid w:val="000C2C2A"/>
    <w:rsid w:val="000C2D90"/>
    <w:rsid w:val="000C308C"/>
    <w:rsid w:val="000C3333"/>
    <w:rsid w:val="000C362E"/>
    <w:rsid w:val="000C39B1"/>
    <w:rsid w:val="000C39B9"/>
    <w:rsid w:val="000C3AB9"/>
    <w:rsid w:val="000C3B2F"/>
    <w:rsid w:val="000C42A6"/>
    <w:rsid w:val="000C4406"/>
    <w:rsid w:val="000C4424"/>
    <w:rsid w:val="000C45D1"/>
    <w:rsid w:val="000C500D"/>
    <w:rsid w:val="000C50B6"/>
    <w:rsid w:val="000C51D6"/>
    <w:rsid w:val="000C520D"/>
    <w:rsid w:val="000C522F"/>
    <w:rsid w:val="000C56F0"/>
    <w:rsid w:val="000C5AAE"/>
    <w:rsid w:val="000C5B51"/>
    <w:rsid w:val="000C5E75"/>
    <w:rsid w:val="000C5EA5"/>
    <w:rsid w:val="000C6216"/>
    <w:rsid w:val="000C6311"/>
    <w:rsid w:val="000C654C"/>
    <w:rsid w:val="000C65B1"/>
    <w:rsid w:val="000C671E"/>
    <w:rsid w:val="000C6A2A"/>
    <w:rsid w:val="000C6B67"/>
    <w:rsid w:val="000C6D8F"/>
    <w:rsid w:val="000C6E16"/>
    <w:rsid w:val="000C6F95"/>
    <w:rsid w:val="000C6FB8"/>
    <w:rsid w:val="000C71D7"/>
    <w:rsid w:val="000C73CF"/>
    <w:rsid w:val="000C77D9"/>
    <w:rsid w:val="000C7C3B"/>
    <w:rsid w:val="000C7EA6"/>
    <w:rsid w:val="000C7F6B"/>
    <w:rsid w:val="000D0922"/>
    <w:rsid w:val="000D099D"/>
    <w:rsid w:val="000D0A74"/>
    <w:rsid w:val="000D0BEB"/>
    <w:rsid w:val="000D0D2C"/>
    <w:rsid w:val="000D1264"/>
    <w:rsid w:val="000D1B8D"/>
    <w:rsid w:val="000D1CD0"/>
    <w:rsid w:val="000D2471"/>
    <w:rsid w:val="000D2B62"/>
    <w:rsid w:val="000D2DE0"/>
    <w:rsid w:val="000D2F98"/>
    <w:rsid w:val="000D2FF3"/>
    <w:rsid w:val="000D3098"/>
    <w:rsid w:val="000D30EE"/>
    <w:rsid w:val="000D3394"/>
    <w:rsid w:val="000D33B5"/>
    <w:rsid w:val="000D3501"/>
    <w:rsid w:val="000D36E7"/>
    <w:rsid w:val="000D3D6C"/>
    <w:rsid w:val="000D41C1"/>
    <w:rsid w:val="000D4256"/>
    <w:rsid w:val="000D489C"/>
    <w:rsid w:val="000D48B1"/>
    <w:rsid w:val="000D49DB"/>
    <w:rsid w:val="000D4AD9"/>
    <w:rsid w:val="000D4D37"/>
    <w:rsid w:val="000D4DA3"/>
    <w:rsid w:val="000D5144"/>
    <w:rsid w:val="000D51CF"/>
    <w:rsid w:val="000D555B"/>
    <w:rsid w:val="000D563D"/>
    <w:rsid w:val="000D565C"/>
    <w:rsid w:val="000D5929"/>
    <w:rsid w:val="000D6058"/>
    <w:rsid w:val="000D6108"/>
    <w:rsid w:val="000D6321"/>
    <w:rsid w:val="000D63E3"/>
    <w:rsid w:val="000D6415"/>
    <w:rsid w:val="000D65FD"/>
    <w:rsid w:val="000D693B"/>
    <w:rsid w:val="000D6A28"/>
    <w:rsid w:val="000D6C7E"/>
    <w:rsid w:val="000D7199"/>
    <w:rsid w:val="000D7CB4"/>
    <w:rsid w:val="000D7F90"/>
    <w:rsid w:val="000E009F"/>
    <w:rsid w:val="000E0328"/>
    <w:rsid w:val="000E0457"/>
    <w:rsid w:val="000E04D7"/>
    <w:rsid w:val="000E094F"/>
    <w:rsid w:val="000E09A5"/>
    <w:rsid w:val="000E09B1"/>
    <w:rsid w:val="000E0AD5"/>
    <w:rsid w:val="000E0B2E"/>
    <w:rsid w:val="000E0BE8"/>
    <w:rsid w:val="000E0C5D"/>
    <w:rsid w:val="000E11CA"/>
    <w:rsid w:val="000E1244"/>
    <w:rsid w:val="000E1361"/>
    <w:rsid w:val="000E1629"/>
    <w:rsid w:val="000E18BF"/>
    <w:rsid w:val="000E1991"/>
    <w:rsid w:val="000E1AC7"/>
    <w:rsid w:val="000E1B96"/>
    <w:rsid w:val="000E1E84"/>
    <w:rsid w:val="000E2078"/>
    <w:rsid w:val="000E2366"/>
    <w:rsid w:val="000E23F9"/>
    <w:rsid w:val="000E241C"/>
    <w:rsid w:val="000E2857"/>
    <w:rsid w:val="000E2B33"/>
    <w:rsid w:val="000E2B89"/>
    <w:rsid w:val="000E2C94"/>
    <w:rsid w:val="000E31AF"/>
    <w:rsid w:val="000E3593"/>
    <w:rsid w:val="000E379A"/>
    <w:rsid w:val="000E38D2"/>
    <w:rsid w:val="000E38FA"/>
    <w:rsid w:val="000E3982"/>
    <w:rsid w:val="000E3F18"/>
    <w:rsid w:val="000E416D"/>
    <w:rsid w:val="000E428E"/>
    <w:rsid w:val="000E45E9"/>
    <w:rsid w:val="000E4859"/>
    <w:rsid w:val="000E4A32"/>
    <w:rsid w:val="000E4AA4"/>
    <w:rsid w:val="000E4AE8"/>
    <w:rsid w:val="000E4E1B"/>
    <w:rsid w:val="000E4F7F"/>
    <w:rsid w:val="000E5182"/>
    <w:rsid w:val="000E5465"/>
    <w:rsid w:val="000E56AE"/>
    <w:rsid w:val="000E5864"/>
    <w:rsid w:val="000E5D45"/>
    <w:rsid w:val="000E5FBB"/>
    <w:rsid w:val="000E67BA"/>
    <w:rsid w:val="000E6872"/>
    <w:rsid w:val="000E740E"/>
    <w:rsid w:val="000E74E0"/>
    <w:rsid w:val="000E74E7"/>
    <w:rsid w:val="000E75EE"/>
    <w:rsid w:val="000E7619"/>
    <w:rsid w:val="000E7711"/>
    <w:rsid w:val="000E7BAA"/>
    <w:rsid w:val="000E7BF9"/>
    <w:rsid w:val="000E7FA9"/>
    <w:rsid w:val="000F029D"/>
    <w:rsid w:val="000F02D9"/>
    <w:rsid w:val="000F0391"/>
    <w:rsid w:val="000F05E4"/>
    <w:rsid w:val="000F074F"/>
    <w:rsid w:val="000F09A4"/>
    <w:rsid w:val="000F0EE6"/>
    <w:rsid w:val="000F10A0"/>
    <w:rsid w:val="000F128C"/>
    <w:rsid w:val="000F17E7"/>
    <w:rsid w:val="000F1953"/>
    <w:rsid w:val="000F1FB1"/>
    <w:rsid w:val="000F21A3"/>
    <w:rsid w:val="000F2566"/>
    <w:rsid w:val="000F2611"/>
    <w:rsid w:val="000F2953"/>
    <w:rsid w:val="000F2B37"/>
    <w:rsid w:val="000F2B5E"/>
    <w:rsid w:val="000F2CE0"/>
    <w:rsid w:val="000F2D7D"/>
    <w:rsid w:val="000F3274"/>
    <w:rsid w:val="000F3637"/>
    <w:rsid w:val="000F370E"/>
    <w:rsid w:val="000F3A0E"/>
    <w:rsid w:val="000F3AA5"/>
    <w:rsid w:val="000F3BEA"/>
    <w:rsid w:val="000F3DBE"/>
    <w:rsid w:val="000F3E17"/>
    <w:rsid w:val="000F3F8C"/>
    <w:rsid w:val="000F412D"/>
    <w:rsid w:val="000F41DE"/>
    <w:rsid w:val="000F44A8"/>
    <w:rsid w:val="000F45ED"/>
    <w:rsid w:val="000F497B"/>
    <w:rsid w:val="000F4A4D"/>
    <w:rsid w:val="000F4DCB"/>
    <w:rsid w:val="000F50A7"/>
    <w:rsid w:val="000F53EE"/>
    <w:rsid w:val="000F5650"/>
    <w:rsid w:val="000F594C"/>
    <w:rsid w:val="000F5AAA"/>
    <w:rsid w:val="000F5C22"/>
    <w:rsid w:val="000F6025"/>
    <w:rsid w:val="000F63B6"/>
    <w:rsid w:val="000F6510"/>
    <w:rsid w:val="000F6BC6"/>
    <w:rsid w:val="000F6C49"/>
    <w:rsid w:val="000F6ECA"/>
    <w:rsid w:val="000F6F24"/>
    <w:rsid w:val="000F6FDE"/>
    <w:rsid w:val="000F71E2"/>
    <w:rsid w:val="000F72CB"/>
    <w:rsid w:val="000F73C9"/>
    <w:rsid w:val="000F79EF"/>
    <w:rsid w:val="000F7CC0"/>
    <w:rsid w:val="00100398"/>
    <w:rsid w:val="00100A03"/>
    <w:rsid w:val="00100CED"/>
    <w:rsid w:val="00100D4D"/>
    <w:rsid w:val="00100D4E"/>
    <w:rsid w:val="00100DD2"/>
    <w:rsid w:val="00100E33"/>
    <w:rsid w:val="001010B9"/>
    <w:rsid w:val="0010113D"/>
    <w:rsid w:val="00101301"/>
    <w:rsid w:val="0010148F"/>
    <w:rsid w:val="00101779"/>
    <w:rsid w:val="001017E4"/>
    <w:rsid w:val="001018AB"/>
    <w:rsid w:val="00101980"/>
    <w:rsid w:val="001019EA"/>
    <w:rsid w:val="00101C59"/>
    <w:rsid w:val="00101CE6"/>
    <w:rsid w:val="001024B9"/>
    <w:rsid w:val="00102915"/>
    <w:rsid w:val="00102A0E"/>
    <w:rsid w:val="001036E0"/>
    <w:rsid w:val="001038B9"/>
    <w:rsid w:val="001038E5"/>
    <w:rsid w:val="00103B19"/>
    <w:rsid w:val="00103C3F"/>
    <w:rsid w:val="00103C58"/>
    <w:rsid w:val="00103F1E"/>
    <w:rsid w:val="00103F70"/>
    <w:rsid w:val="0010407F"/>
    <w:rsid w:val="0010417C"/>
    <w:rsid w:val="00104499"/>
    <w:rsid w:val="001044A6"/>
    <w:rsid w:val="001044B6"/>
    <w:rsid w:val="001045CA"/>
    <w:rsid w:val="0010462B"/>
    <w:rsid w:val="0010484D"/>
    <w:rsid w:val="00104A39"/>
    <w:rsid w:val="00104B29"/>
    <w:rsid w:val="00104C7E"/>
    <w:rsid w:val="00105163"/>
    <w:rsid w:val="00105319"/>
    <w:rsid w:val="00105348"/>
    <w:rsid w:val="0010536C"/>
    <w:rsid w:val="00105422"/>
    <w:rsid w:val="00105442"/>
    <w:rsid w:val="001058A9"/>
    <w:rsid w:val="001059DA"/>
    <w:rsid w:val="00105A76"/>
    <w:rsid w:val="00105A84"/>
    <w:rsid w:val="00105DD5"/>
    <w:rsid w:val="00107476"/>
    <w:rsid w:val="00107526"/>
    <w:rsid w:val="00107619"/>
    <w:rsid w:val="00107A7A"/>
    <w:rsid w:val="00107AFB"/>
    <w:rsid w:val="00107B12"/>
    <w:rsid w:val="00107C8E"/>
    <w:rsid w:val="00107F7C"/>
    <w:rsid w:val="0011002D"/>
    <w:rsid w:val="001101BE"/>
    <w:rsid w:val="001104A3"/>
    <w:rsid w:val="00110552"/>
    <w:rsid w:val="001105FD"/>
    <w:rsid w:val="00110731"/>
    <w:rsid w:val="0011073D"/>
    <w:rsid w:val="00110790"/>
    <w:rsid w:val="00110A01"/>
    <w:rsid w:val="00110A61"/>
    <w:rsid w:val="00110C92"/>
    <w:rsid w:val="00110CAC"/>
    <w:rsid w:val="00110DDD"/>
    <w:rsid w:val="00110F5B"/>
    <w:rsid w:val="001110FC"/>
    <w:rsid w:val="00111584"/>
    <w:rsid w:val="001116A9"/>
    <w:rsid w:val="00111DD6"/>
    <w:rsid w:val="00111F58"/>
    <w:rsid w:val="00111FB0"/>
    <w:rsid w:val="00112197"/>
    <w:rsid w:val="00112324"/>
    <w:rsid w:val="0011234B"/>
    <w:rsid w:val="0011251A"/>
    <w:rsid w:val="00112715"/>
    <w:rsid w:val="0011295E"/>
    <w:rsid w:val="00112AF4"/>
    <w:rsid w:val="00112BB6"/>
    <w:rsid w:val="00112EEA"/>
    <w:rsid w:val="0011313A"/>
    <w:rsid w:val="001131FB"/>
    <w:rsid w:val="00113801"/>
    <w:rsid w:val="001138D4"/>
    <w:rsid w:val="00113ABC"/>
    <w:rsid w:val="00113B50"/>
    <w:rsid w:val="00113BAB"/>
    <w:rsid w:val="00113D13"/>
    <w:rsid w:val="00114266"/>
    <w:rsid w:val="0011439F"/>
    <w:rsid w:val="001145BD"/>
    <w:rsid w:val="00114723"/>
    <w:rsid w:val="00114799"/>
    <w:rsid w:val="00114C09"/>
    <w:rsid w:val="00114C90"/>
    <w:rsid w:val="00114FE7"/>
    <w:rsid w:val="001152CE"/>
    <w:rsid w:val="0011549C"/>
    <w:rsid w:val="0011556F"/>
    <w:rsid w:val="0011557C"/>
    <w:rsid w:val="001157C6"/>
    <w:rsid w:val="0011588D"/>
    <w:rsid w:val="00115ECC"/>
    <w:rsid w:val="00115FAF"/>
    <w:rsid w:val="00116264"/>
    <w:rsid w:val="001163AF"/>
    <w:rsid w:val="00116A0E"/>
    <w:rsid w:val="00116E92"/>
    <w:rsid w:val="001170EE"/>
    <w:rsid w:val="0011731A"/>
    <w:rsid w:val="00117602"/>
    <w:rsid w:val="00117758"/>
    <w:rsid w:val="00117A8A"/>
    <w:rsid w:val="00117DE2"/>
    <w:rsid w:val="00120062"/>
    <w:rsid w:val="0012092A"/>
    <w:rsid w:val="00120A47"/>
    <w:rsid w:val="00120B6C"/>
    <w:rsid w:val="00120DCB"/>
    <w:rsid w:val="00120E75"/>
    <w:rsid w:val="00120F7D"/>
    <w:rsid w:val="0012100B"/>
    <w:rsid w:val="0012116D"/>
    <w:rsid w:val="001213CF"/>
    <w:rsid w:val="001218AE"/>
    <w:rsid w:val="00121C32"/>
    <w:rsid w:val="00121E81"/>
    <w:rsid w:val="00121FFF"/>
    <w:rsid w:val="001221AF"/>
    <w:rsid w:val="001222C2"/>
    <w:rsid w:val="001223F2"/>
    <w:rsid w:val="0012241C"/>
    <w:rsid w:val="00122677"/>
    <w:rsid w:val="00122D71"/>
    <w:rsid w:val="001239EA"/>
    <w:rsid w:val="00123AD3"/>
    <w:rsid w:val="00123BC5"/>
    <w:rsid w:val="00123DE2"/>
    <w:rsid w:val="001243B4"/>
    <w:rsid w:val="001244A8"/>
    <w:rsid w:val="001244CF"/>
    <w:rsid w:val="00124531"/>
    <w:rsid w:val="00124886"/>
    <w:rsid w:val="00124AF5"/>
    <w:rsid w:val="00124B34"/>
    <w:rsid w:val="00124C3E"/>
    <w:rsid w:val="00124F8A"/>
    <w:rsid w:val="0012504A"/>
    <w:rsid w:val="0012555C"/>
    <w:rsid w:val="001255FA"/>
    <w:rsid w:val="00125715"/>
    <w:rsid w:val="0012576C"/>
    <w:rsid w:val="0012597F"/>
    <w:rsid w:val="001259E0"/>
    <w:rsid w:val="00125C49"/>
    <w:rsid w:val="00125C9D"/>
    <w:rsid w:val="00125E9B"/>
    <w:rsid w:val="00126256"/>
    <w:rsid w:val="00126275"/>
    <w:rsid w:val="001265CF"/>
    <w:rsid w:val="00126765"/>
    <w:rsid w:val="001267C5"/>
    <w:rsid w:val="00126BE5"/>
    <w:rsid w:val="00126D0D"/>
    <w:rsid w:val="00126D38"/>
    <w:rsid w:val="00127092"/>
    <w:rsid w:val="001272F3"/>
    <w:rsid w:val="00127444"/>
    <w:rsid w:val="0012769C"/>
    <w:rsid w:val="00127907"/>
    <w:rsid w:val="00127946"/>
    <w:rsid w:val="00127A0D"/>
    <w:rsid w:val="00127AA2"/>
    <w:rsid w:val="00127D50"/>
    <w:rsid w:val="00127FB7"/>
    <w:rsid w:val="00130191"/>
    <w:rsid w:val="001306E7"/>
    <w:rsid w:val="001308DC"/>
    <w:rsid w:val="001309B1"/>
    <w:rsid w:val="001312DB"/>
    <w:rsid w:val="00131300"/>
    <w:rsid w:val="0013158F"/>
    <w:rsid w:val="0013183E"/>
    <w:rsid w:val="00131A21"/>
    <w:rsid w:val="00131CA6"/>
    <w:rsid w:val="00131DC8"/>
    <w:rsid w:val="00131E87"/>
    <w:rsid w:val="00131EAC"/>
    <w:rsid w:val="0013209A"/>
    <w:rsid w:val="00132423"/>
    <w:rsid w:val="00132703"/>
    <w:rsid w:val="00133485"/>
    <w:rsid w:val="001338B0"/>
    <w:rsid w:val="0013390B"/>
    <w:rsid w:val="0013399C"/>
    <w:rsid w:val="00133BEC"/>
    <w:rsid w:val="00133D10"/>
    <w:rsid w:val="00133E73"/>
    <w:rsid w:val="00134107"/>
    <w:rsid w:val="0013418D"/>
    <w:rsid w:val="001344A8"/>
    <w:rsid w:val="0013484E"/>
    <w:rsid w:val="001348E6"/>
    <w:rsid w:val="00134A01"/>
    <w:rsid w:val="00134DE8"/>
    <w:rsid w:val="00134F49"/>
    <w:rsid w:val="0013509F"/>
    <w:rsid w:val="00135414"/>
    <w:rsid w:val="001356EF"/>
    <w:rsid w:val="0013581E"/>
    <w:rsid w:val="00135B46"/>
    <w:rsid w:val="00135D28"/>
    <w:rsid w:val="00135FF1"/>
    <w:rsid w:val="001360E2"/>
    <w:rsid w:val="00136294"/>
    <w:rsid w:val="0013686B"/>
    <w:rsid w:val="0013699D"/>
    <w:rsid w:val="00136A5C"/>
    <w:rsid w:val="00136E3A"/>
    <w:rsid w:val="00136EFF"/>
    <w:rsid w:val="00137210"/>
    <w:rsid w:val="0013741F"/>
    <w:rsid w:val="001375D7"/>
    <w:rsid w:val="00137604"/>
    <w:rsid w:val="0013783B"/>
    <w:rsid w:val="00137BDC"/>
    <w:rsid w:val="00137E61"/>
    <w:rsid w:val="00137F51"/>
    <w:rsid w:val="00140D78"/>
    <w:rsid w:val="00141188"/>
    <w:rsid w:val="001414CA"/>
    <w:rsid w:val="001415FF"/>
    <w:rsid w:val="0014162F"/>
    <w:rsid w:val="00141725"/>
    <w:rsid w:val="001417EE"/>
    <w:rsid w:val="001419A0"/>
    <w:rsid w:val="00141DC8"/>
    <w:rsid w:val="00141E83"/>
    <w:rsid w:val="00142073"/>
    <w:rsid w:val="001420E1"/>
    <w:rsid w:val="001423F8"/>
    <w:rsid w:val="001425AA"/>
    <w:rsid w:val="001425C3"/>
    <w:rsid w:val="001428FC"/>
    <w:rsid w:val="0014299C"/>
    <w:rsid w:val="00142A10"/>
    <w:rsid w:val="00142E3A"/>
    <w:rsid w:val="0014302B"/>
    <w:rsid w:val="00143413"/>
    <w:rsid w:val="00143596"/>
    <w:rsid w:val="001435F4"/>
    <w:rsid w:val="00143737"/>
    <w:rsid w:val="00143CCA"/>
    <w:rsid w:val="00143DA8"/>
    <w:rsid w:val="00143DE7"/>
    <w:rsid w:val="00143E2D"/>
    <w:rsid w:val="00143F88"/>
    <w:rsid w:val="00143F90"/>
    <w:rsid w:val="00144145"/>
    <w:rsid w:val="001447D1"/>
    <w:rsid w:val="001447E3"/>
    <w:rsid w:val="00144D61"/>
    <w:rsid w:val="00144D7E"/>
    <w:rsid w:val="00144DD9"/>
    <w:rsid w:val="00144E85"/>
    <w:rsid w:val="00145277"/>
    <w:rsid w:val="00145520"/>
    <w:rsid w:val="001457BC"/>
    <w:rsid w:val="00145998"/>
    <w:rsid w:val="001459AC"/>
    <w:rsid w:val="00145B0D"/>
    <w:rsid w:val="00145B28"/>
    <w:rsid w:val="00145BA4"/>
    <w:rsid w:val="00145D79"/>
    <w:rsid w:val="00145D90"/>
    <w:rsid w:val="00146103"/>
    <w:rsid w:val="001465D6"/>
    <w:rsid w:val="00146A8B"/>
    <w:rsid w:val="00146C5A"/>
    <w:rsid w:val="001470FC"/>
    <w:rsid w:val="001474A4"/>
    <w:rsid w:val="00147A05"/>
    <w:rsid w:val="00147A15"/>
    <w:rsid w:val="00147F17"/>
    <w:rsid w:val="00147F5F"/>
    <w:rsid w:val="0015031F"/>
    <w:rsid w:val="001506DE"/>
    <w:rsid w:val="00150BA0"/>
    <w:rsid w:val="00150D0C"/>
    <w:rsid w:val="00150E23"/>
    <w:rsid w:val="0015111F"/>
    <w:rsid w:val="00151203"/>
    <w:rsid w:val="00151363"/>
    <w:rsid w:val="00151733"/>
    <w:rsid w:val="00151893"/>
    <w:rsid w:val="00151946"/>
    <w:rsid w:val="00151A7B"/>
    <w:rsid w:val="00151AF1"/>
    <w:rsid w:val="00151C45"/>
    <w:rsid w:val="00152609"/>
    <w:rsid w:val="001526E7"/>
    <w:rsid w:val="001527D4"/>
    <w:rsid w:val="00152AE8"/>
    <w:rsid w:val="00152B96"/>
    <w:rsid w:val="00152D18"/>
    <w:rsid w:val="00152DB9"/>
    <w:rsid w:val="00152DF5"/>
    <w:rsid w:val="0015336A"/>
    <w:rsid w:val="00153665"/>
    <w:rsid w:val="0015378A"/>
    <w:rsid w:val="00153A8D"/>
    <w:rsid w:val="00153DBD"/>
    <w:rsid w:val="00153DD4"/>
    <w:rsid w:val="00153F56"/>
    <w:rsid w:val="001540F8"/>
    <w:rsid w:val="00154118"/>
    <w:rsid w:val="00154674"/>
    <w:rsid w:val="0015475D"/>
    <w:rsid w:val="001547EA"/>
    <w:rsid w:val="00154DF1"/>
    <w:rsid w:val="00154F09"/>
    <w:rsid w:val="00154F19"/>
    <w:rsid w:val="00154F6E"/>
    <w:rsid w:val="00155005"/>
    <w:rsid w:val="001554B6"/>
    <w:rsid w:val="00155556"/>
    <w:rsid w:val="00155694"/>
    <w:rsid w:val="00155B9B"/>
    <w:rsid w:val="00155E59"/>
    <w:rsid w:val="00156031"/>
    <w:rsid w:val="0015606E"/>
    <w:rsid w:val="0015606F"/>
    <w:rsid w:val="0015608F"/>
    <w:rsid w:val="00156616"/>
    <w:rsid w:val="00156649"/>
    <w:rsid w:val="00156844"/>
    <w:rsid w:val="0015698A"/>
    <w:rsid w:val="0015700B"/>
    <w:rsid w:val="0015707A"/>
    <w:rsid w:val="00157592"/>
    <w:rsid w:val="0015766C"/>
    <w:rsid w:val="00157806"/>
    <w:rsid w:val="00157BD7"/>
    <w:rsid w:val="00157C41"/>
    <w:rsid w:val="00157C75"/>
    <w:rsid w:val="00157D11"/>
    <w:rsid w:val="00157DE9"/>
    <w:rsid w:val="00157EFF"/>
    <w:rsid w:val="00160099"/>
    <w:rsid w:val="0016026B"/>
    <w:rsid w:val="00160674"/>
    <w:rsid w:val="001607E2"/>
    <w:rsid w:val="001609C9"/>
    <w:rsid w:val="00160A6A"/>
    <w:rsid w:val="00160E4A"/>
    <w:rsid w:val="00160FCB"/>
    <w:rsid w:val="001613DC"/>
    <w:rsid w:val="001615F3"/>
    <w:rsid w:val="0016176A"/>
    <w:rsid w:val="00161814"/>
    <w:rsid w:val="001618A3"/>
    <w:rsid w:val="00161909"/>
    <w:rsid w:val="00161D8D"/>
    <w:rsid w:val="00162338"/>
    <w:rsid w:val="0016258F"/>
    <w:rsid w:val="00162A71"/>
    <w:rsid w:val="00162EBA"/>
    <w:rsid w:val="00163030"/>
    <w:rsid w:val="00163292"/>
    <w:rsid w:val="001634B3"/>
    <w:rsid w:val="0016366B"/>
    <w:rsid w:val="00163805"/>
    <w:rsid w:val="00163881"/>
    <w:rsid w:val="00163EF5"/>
    <w:rsid w:val="001640B8"/>
    <w:rsid w:val="00164263"/>
    <w:rsid w:val="00164CE9"/>
    <w:rsid w:val="00164F2E"/>
    <w:rsid w:val="001654D9"/>
    <w:rsid w:val="0016576F"/>
    <w:rsid w:val="001659E4"/>
    <w:rsid w:val="00165A1A"/>
    <w:rsid w:val="001660F9"/>
    <w:rsid w:val="001668FD"/>
    <w:rsid w:val="00166A05"/>
    <w:rsid w:val="00166B1D"/>
    <w:rsid w:val="00166D3A"/>
    <w:rsid w:val="00167299"/>
    <w:rsid w:val="00167A93"/>
    <w:rsid w:val="00167FB8"/>
    <w:rsid w:val="00170134"/>
    <w:rsid w:val="00170376"/>
    <w:rsid w:val="00170448"/>
    <w:rsid w:val="001704C6"/>
    <w:rsid w:val="00170699"/>
    <w:rsid w:val="001706D7"/>
    <w:rsid w:val="00170723"/>
    <w:rsid w:val="0017079B"/>
    <w:rsid w:val="001708B9"/>
    <w:rsid w:val="001708EB"/>
    <w:rsid w:val="0017093E"/>
    <w:rsid w:val="00170946"/>
    <w:rsid w:val="00170947"/>
    <w:rsid w:val="00170A00"/>
    <w:rsid w:val="00170B18"/>
    <w:rsid w:val="00170B3D"/>
    <w:rsid w:val="00170CE2"/>
    <w:rsid w:val="00170CF5"/>
    <w:rsid w:val="00170F03"/>
    <w:rsid w:val="001710A8"/>
    <w:rsid w:val="001711FD"/>
    <w:rsid w:val="00171836"/>
    <w:rsid w:val="00171897"/>
    <w:rsid w:val="0017194C"/>
    <w:rsid w:val="00171A5C"/>
    <w:rsid w:val="00171B2C"/>
    <w:rsid w:val="00171C12"/>
    <w:rsid w:val="00171E94"/>
    <w:rsid w:val="00171F00"/>
    <w:rsid w:val="0017208C"/>
    <w:rsid w:val="001727CB"/>
    <w:rsid w:val="0017280D"/>
    <w:rsid w:val="00173515"/>
    <w:rsid w:val="001736F5"/>
    <w:rsid w:val="0017373A"/>
    <w:rsid w:val="00173931"/>
    <w:rsid w:val="00173A2B"/>
    <w:rsid w:val="00173B85"/>
    <w:rsid w:val="00173ED4"/>
    <w:rsid w:val="00173FDC"/>
    <w:rsid w:val="001742B5"/>
    <w:rsid w:val="00174557"/>
    <w:rsid w:val="001748D2"/>
    <w:rsid w:val="00174BD9"/>
    <w:rsid w:val="00174BEB"/>
    <w:rsid w:val="00174CC4"/>
    <w:rsid w:val="00174E86"/>
    <w:rsid w:val="001757CE"/>
    <w:rsid w:val="00175959"/>
    <w:rsid w:val="00175A2B"/>
    <w:rsid w:val="00175C6C"/>
    <w:rsid w:val="00175C8A"/>
    <w:rsid w:val="00175F8C"/>
    <w:rsid w:val="001760AE"/>
    <w:rsid w:val="001766D7"/>
    <w:rsid w:val="00176823"/>
    <w:rsid w:val="001771D9"/>
    <w:rsid w:val="00177AA2"/>
    <w:rsid w:val="00177B36"/>
    <w:rsid w:val="00177D08"/>
    <w:rsid w:val="001800B5"/>
    <w:rsid w:val="0018013B"/>
    <w:rsid w:val="0018023C"/>
    <w:rsid w:val="001805E6"/>
    <w:rsid w:val="00180BA1"/>
    <w:rsid w:val="00180BDA"/>
    <w:rsid w:val="0018108F"/>
    <w:rsid w:val="0018131D"/>
    <w:rsid w:val="00181467"/>
    <w:rsid w:val="00181658"/>
    <w:rsid w:val="00181AAD"/>
    <w:rsid w:val="00181B9F"/>
    <w:rsid w:val="00181F56"/>
    <w:rsid w:val="00181FF1"/>
    <w:rsid w:val="001820B7"/>
    <w:rsid w:val="00182713"/>
    <w:rsid w:val="00182A7A"/>
    <w:rsid w:val="00182C8F"/>
    <w:rsid w:val="00182CD2"/>
    <w:rsid w:val="001832C6"/>
    <w:rsid w:val="001833CF"/>
    <w:rsid w:val="00183843"/>
    <w:rsid w:val="00183A17"/>
    <w:rsid w:val="0018420A"/>
    <w:rsid w:val="00184362"/>
    <w:rsid w:val="001844B9"/>
    <w:rsid w:val="001845D9"/>
    <w:rsid w:val="00184839"/>
    <w:rsid w:val="00184CDF"/>
    <w:rsid w:val="00184DD5"/>
    <w:rsid w:val="00184EB8"/>
    <w:rsid w:val="00184F20"/>
    <w:rsid w:val="00185090"/>
    <w:rsid w:val="0018518C"/>
    <w:rsid w:val="0018539D"/>
    <w:rsid w:val="00185665"/>
    <w:rsid w:val="0018584C"/>
    <w:rsid w:val="001859ED"/>
    <w:rsid w:val="00185A11"/>
    <w:rsid w:val="00185A79"/>
    <w:rsid w:val="00185FED"/>
    <w:rsid w:val="0018633B"/>
    <w:rsid w:val="00186527"/>
    <w:rsid w:val="0018670C"/>
    <w:rsid w:val="00186874"/>
    <w:rsid w:val="00186A77"/>
    <w:rsid w:val="00186BAC"/>
    <w:rsid w:val="00186BF3"/>
    <w:rsid w:val="00186E7A"/>
    <w:rsid w:val="00186FC8"/>
    <w:rsid w:val="00187213"/>
    <w:rsid w:val="001874D4"/>
    <w:rsid w:val="001875AE"/>
    <w:rsid w:val="00187929"/>
    <w:rsid w:val="00187A4C"/>
    <w:rsid w:val="00187BA5"/>
    <w:rsid w:val="00187D00"/>
    <w:rsid w:val="00187E76"/>
    <w:rsid w:val="00187FEF"/>
    <w:rsid w:val="0019017F"/>
    <w:rsid w:val="0019024E"/>
    <w:rsid w:val="00190332"/>
    <w:rsid w:val="001908A5"/>
    <w:rsid w:val="001909B5"/>
    <w:rsid w:val="00190D85"/>
    <w:rsid w:val="00190F19"/>
    <w:rsid w:val="00191322"/>
    <w:rsid w:val="00191396"/>
    <w:rsid w:val="001913AB"/>
    <w:rsid w:val="0019167C"/>
    <w:rsid w:val="00191A2E"/>
    <w:rsid w:val="00191DBE"/>
    <w:rsid w:val="00191DF6"/>
    <w:rsid w:val="00191E47"/>
    <w:rsid w:val="00191E94"/>
    <w:rsid w:val="00192000"/>
    <w:rsid w:val="001920AF"/>
    <w:rsid w:val="001921DC"/>
    <w:rsid w:val="00192380"/>
    <w:rsid w:val="00192501"/>
    <w:rsid w:val="001926A2"/>
    <w:rsid w:val="00192980"/>
    <w:rsid w:val="001929E2"/>
    <w:rsid w:val="00192C45"/>
    <w:rsid w:val="00192D44"/>
    <w:rsid w:val="001934AC"/>
    <w:rsid w:val="001934C7"/>
    <w:rsid w:val="00193657"/>
    <w:rsid w:val="00193827"/>
    <w:rsid w:val="00193D3B"/>
    <w:rsid w:val="00193D46"/>
    <w:rsid w:val="001940CF"/>
    <w:rsid w:val="001946E8"/>
    <w:rsid w:val="00194B20"/>
    <w:rsid w:val="00194B86"/>
    <w:rsid w:val="00194C27"/>
    <w:rsid w:val="001955E3"/>
    <w:rsid w:val="0019565A"/>
    <w:rsid w:val="001956C3"/>
    <w:rsid w:val="0019576F"/>
    <w:rsid w:val="001959F7"/>
    <w:rsid w:val="00195B90"/>
    <w:rsid w:val="00195C7E"/>
    <w:rsid w:val="00195CE4"/>
    <w:rsid w:val="001960F1"/>
    <w:rsid w:val="00196178"/>
    <w:rsid w:val="00196655"/>
    <w:rsid w:val="00196838"/>
    <w:rsid w:val="00196B4D"/>
    <w:rsid w:val="00196D36"/>
    <w:rsid w:val="00196ECF"/>
    <w:rsid w:val="0019706E"/>
    <w:rsid w:val="00197543"/>
    <w:rsid w:val="00197580"/>
    <w:rsid w:val="001975EF"/>
    <w:rsid w:val="0019765A"/>
    <w:rsid w:val="00197705"/>
    <w:rsid w:val="00197766"/>
    <w:rsid w:val="00197E62"/>
    <w:rsid w:val="001A0002"/>
    <w:rsid w:val="001A0287"/>
    <w:rsid w:val="001A0580"/>
    <w:rsid w:val="001A0AF1"/>
    <w:rsid w:val="001A0F98"/>
    <w:rsid w:val="001A112F"/>
    <w:rsid w:val="001A1329"/>
    <w:rsid w:val="001A1413"/>
    <w:rsid w:val="001A157A"/>
    <w:rsid w:val="001A162D"/>
    <w:rsid w:val="001A1741"/>
    <w:rsid w:val="001A1B7B"/>
    <w:rsid w:val="001A1CC9"/>
    <w:rsid w:val="001A1CD2"/>
    <w:rsid w:val="001A1CDB"/>
    <w:rsid w:val="001A1EDB"/>
    <w:rsid w:val="001A206F"/>
    <w:rsid w:val="001A2188"/>
    <w:rsid w:val="001A236F"/>
    <w:rsid w:val="001A264D"/>
    <w:rsid w:val="001A27DD"/>
    <w:rsid w:val="001A27E3"/>
    <w:rsid w:val="001A2877"/>
    <w:rsid w:val="001A297B"/>
    <w:rsid w:val="001A2B20"/>
    <w:rsid w:val="001A2C9D"/>
    <w:rsid w:val="001A36D2"/>
    <w:rsid w:val="001A3B1F"/>
    <w:rsid w:val="001A3B3E"/>
    <w:rsid w:val="001A3C96"/>
    <w:rsid w:val="001A3F49"/>
    <w:rsid w:val="001A40EF"/>
    <w:rsid w:val="001A4511"/>
    <w:rsid w:val="001A457D"/>
    <w:rsid w:val="001A45CF"/>
    <w:rsid w:val="001A4E75"/>
    <w:rsid w:val="001A4F03"/>
    <w:rsid w:val="001A4F61"/>
    <w:rsid w:val="001A5177"/>
    <w:rsid w:val="001A53D3"/>
    <w:rsid w:val="001A5A66"/>
    <w:rsid w:val="001A5D9C"/>
    <w:rsid w:val="001A61D1"/>
    <w:rsid w:val="001A67DA"/>
    <w:rsid w:val="001A6829"/>
    <w:rsid w:val="001A68A8"/>
    <w:rsid w:val="001A68F4"/>
    <w:rsid w:val="001A6B55"/>
    <w:rsid w:val="001A6CCA"/>
    <w:rsid w:val="001A6EE0"/>
    <w:rsid w:val="001A7465"/>
    <w:rsid w:val="001A74CC"/>
    <w:rsid w:val="001A7EDF"/>
    <w:rsid w:val="001A7F12"/>
    <w:rsid w:val="001B00D9"/>
    <w:rsid w:val="001B0230"/>
    <w:rsid w:val="001B041D"/>
    <w:rsid w:val="001B05BE"/>
    <w:rsid w:val="001B06CD"/>
    <w:rsid w:val="001B0724"/>
    <w:rsid w:val="001B0966"/>
    <w:rsid w:val="001B0C5D"/>
    <w:rsid w:val="001B0CCE"/>
    <w:rsid w:val="001B0F94"/>
    <w:rsid w:val="001B112B"/>
    <w:rsid w:val="001B11DF"/>
    <w:rsid w:val="001B12A3"/>
    <w:rsid w:val="001B151F"/>
    <w:rsid w:val="001B161D"/>
    <w:rsid w:val="001B1993"/>
    <w:rsid w:val="001B19A2"/>
    <w:rsid w:val="001B1AF3"/>
    <w:rsid w:val="001B1DF1"/>
    <w:rsid w:val="001B1E83"/>
    <w:rsid w:val="001B2005"/>
    <w:rsid w:val="001B24E9"/>
    <w:rsid w:val="001B255E"/>
    <w:rsid w:val="001B273A"/>
    <w:rsid w:val="001B2882"/>
    <w:rsid w:val="001B30C9"/>
    <w:rsid w:val="001B3171"/>
    <w:rsid w:val="001B35DC"/>
    <w:rsid w:val="001B35EC"/>
    <w:rsid w:val="001B3702"/>
    <w:rsid w:val="001B3B2E"/>
    <w:rsid w:val="001B3C6E"/>
    <w:rsid w:val="001B3D4C"/>
    <w:rsid w:val="001B4140"/>
    <w:rsid w:val="001B421F"/>
    <w:rsid w:val="001B4474"/>
    <w:rsid w:val="001B4649"/>
    <w:rsid w:val="001B4781"/>
    <w:rsid w:val="001B4907"/>
    <w:rsid w:val="001B4B4B"/>
    <w:rsid w:val="001B4B91"/>
    <w:rsid w:val="001B4C46"/>
    <w:rsid w:val="001B4FD9"/>
    <w:rsid w:val="001B51B1"/>
    <w:rsid w:val="001B56AD"/>
    <w:rsid w:val="001B56F9"/>
    <w:rsid w:val="001B58DC"/>
    <w:rsid w:val="001B5AEB"/>
    <w:rsid w:val="001B5B9C"/>
    <w:rsid w:val="001B5C19"/>
    <w:rsid w:val="001B5C2C"/>
    <w:rsid w:val="001B5C67"/>
    <w:rsid w:val="001B5DAE"/>
    <w:rsid w:val="001B60A3"/>
    <w:rsid w:val="001B663E"/>
    <w:rsid w:val="001B6B3A"/>
    <w:rsid w:val="001B7218"/>
    <w:rsid w:val="001B728B"/>
    <w:rsid w:val="001B772F"/>
    <w:rsid w:val="001B7EFF"/>
    <w:rsid w:val="001B7F4E"/>
    <w:rsid w:val="001C0176"/>
    <w:rsid w:val="001C026A"/>
    <w:rsid w:val="001C0378"/>
    <w:rsid w:val="001C05A8"/>
    <w:rsid w:val="001C067F"/>
    <w:rsid w:val="001C0794"/>
    <w:rsid w:val="001C07DD"/>
    <w:rsid w:val="001C0B25"/>
    <w:rsid w:val="001C1154"/>
    <w:rsid w:val="001C115D"/>
    <w:rsid w:val="001C13E5"/>
    <w:rsid w:val="001C1531"/>
    <w:rsid w:val="001C18AD"/>
    <w:rsid w:val="001C1C1D"/>
    <w:rsid w:val="001C1CF6"/>
    <w:rsid w:val="001C1D5F"/>
    <w:rsid w:val="001C1E04"/>
    <w:rsid w:val="001C2040"/>
    <w:rsid w:val="001C2210"/>
    <w:rsid w:val="001C22BB"/>
    <w:rsid w:val="001C2606"/>
    <w:rsid w:val="001C26EF"/>
    <w:rsid w:val="001C28F2"/>
    <w:rsid w:val="001C332D"/>
    <w:rsid w:val="001C3737"/>
    <w:rsid w:val="001C3852"/>
    <w:rsid w:val="001C3EAE"/>
    <w:rsid w:val="001C3F94"/>
    <w:rsid w:val="001C404C"/>
    <w:rsid w:val="001C4156"/>
    <w:rsid w:val="001C4178"/>
    <w:rsid w:val="001C443F"/>
    <w:rsid w:val="001C4631"/>
    <w:rsid w:val="001C4896"/>
    <w:rsid w:val="001C49E0"/>
    <w:rsid w:val="001C4A7B"/>
    <w:rsid w:val="001C4D7C"/>
    <w:rsid w:val="001C4E9C"/>
    <w:rsid w:val="001C4FAC"/>
    <w:rsid w:val="001C50AD"/>
    <w:rsid w:val="001C50EE"/>
    <w:rsid w:val="001C579D"/>
    <w:rsid w:val="001C585D"/>
    <w:rsid w:val="001C5B58"/>
    <w:rsid w:val="001C5E14"/>
    <w:rsid w:val="001C6093"/>
    <w:rsid w:val="001C635A"/>
    <w:rsid w:val="001C6715"/>
    <w:rsid w:val="001C68DF"/>
    <w:rsid w:val="001C6BBD"/>
    <w:rsid w:val="001C6E8B"/>
    <w:rsid w:val="001C6F35"/>
    <w:rsid w:val="001C7456"/>
    <w:rsid w:val="001C75B9"/>
    <w:rsid w:val="001C76F9"/>
    <w:rsid w:val="001C79A6"/>
    <w:rsid w:val="001C7A24"/>
    <w:rsid w:val="001C7F59"/>
    <w:rsid w:val="001D01C7"/>
    <w:rsid w:val="001D032B"/>
    <w:rsid w:val="001D03A7"/>
    <w:rsid w:val="001D0641"/>
    <w:rsid w:val="001D0746"/>
    <w:rsid w:val="001D0837"/>
    <w:rsid w:val="001D0944"/>
    <w:rsid w:val="001D0B05"/>
    <w:rsid w:val="001D109C"/>
    <w:rsid w:val="001D111F"/>
    <w:rsid w:val="001D13A1"/>
    <w:rsid w:val="001D1415"/>
    <w:rsid w:val="001D1681"/>
    <w:rsid w:val="001D16D3"/>
    <w:rsid w:val="001D18B2"/>
    <w:rsid w:val="001D1CC6"/>
    <w:rsid w:val="001D1E47"/>
    <w:rsid w:val="001D1F27"/>
    <w:rsid w:val="001D1F3D"/>
    <w:rsid w:val="001D206E"/>
    <w:rsid w:val="001D20E3"/>
    <w:rsid w:val="001D2601"/>
    <w:rsid w:val="001D29E2"/>
    <w:rsid w:val="001D2AEB"/>
    <w:rsid w:val="001D2CD8"/>
    <w:rsid w:val="001D2D45"/>
    <w:rsid w:val="001D2F12"/>
    <w:rsid w:val="001D3020"/>
    <w:rsid w:val="001D31E7"/>
    <w:rsid w:val="001D3210"/>
    <w:rsid w:val="001D3384"/>
    <w:rsid w:val="001D3571"/>
    <w:rsid w:val="001D38D5"/>
    <w:rsid w:val="001D3E71"/>
    <w:rsid w:val="001D3EB7"/>
    <w:rsid w:val="001D3EBF"/>
    <w:rsid w:val="001D3FD6"/>
    <w:rsid w:val="001D4058"/>
    <w:rsid w:val="001D4629"/>
    <w:rsid w:val="001D4804"/>
    <w:rsid w:val="001D4DD8"/>
    <w:rsid w:val="001D4FD5"/>
    <w:rsid w:val="001D5082"/>
    <w:rsid w:val="001D50D5"/>
    <w:rsid w:val="001D5188"/>
    <w:rsid w:val="001D5285"/>
    <w:rsid w:val="001D5B29"/>
    <w:rsid w:val="001D5F9C"/>
    <w:rsid w:val="001D627F"/>
    <w:rsid w:val="001D6673"/>
    <w:rsid w:val="001D6CA4"/>
    <w:rsid w:val="001D6F75"/>
    <w:rsid w:val="001D73F6"/>
    <w:rsid w:val="001D7878"/>
    <w:rsid w:val="001D7B2D"/>
    <w:rsid w:val="001D7CBE"/>
    <w:rsid w:val="001E00FF"/>
    <w:rsid w:val="001E016B"/>
    <w:rsid w:val="001E05DB"/>
    <w:rsid w:val="001E06CE"/>
    <w:rsid w:val="001E0755"/>
    <w:rsid w:val="001E07E2"/>
    <w:rsid w:val="001E0978"/>
    <w:rsid w:val="001E09CF"/>
    <w:rsid w:val="001E0DF0"/>
    <w:rsid w:val="001E16C5"/>
    <w:rsid w:val="001E19DC"/>
    <w:rsid w:val="001E1B95"/>
    <w:rsid w:val="001E1E80"/>
    <w:rsid w:val="001E1F5C"/>
    <w:rsid w:val="001E1FDB"/>
    <w:rsid w:val="001E215D"/>
    <w:rsid w:val="001E23F3"/>
    <w:rsid w:val="001E24DD"/>
    <w:rsid w:val="001E27DE"/>
    <w:rsid w:val="001E27E8"/>
    <w:rsid w:val="001E2C09"/>
    <w:rsid w:val="001E2D16"/>
    <w:rsid w:val="001E349B"/>
    <w:rsid w:val="001E3AE6"/>
    <w:rsid w:val="001E451C"/>
    <w:rsid w:val="001E4808"/>
    <w:rsid w:val="001E4AA6"/>
    <w:rsid w:val="001E4B08"/>
    <w:rsid w:val="001E4BFC"/>
    <w:rsid w:val="001E544D"/>
    <w:rsid w:val="001E554D"/>
    <w:rsid w:val="001E5685"/>
    <w:rsid w:val="001E56B2"/>
    <w:rsid w:val="001E57A4"/>
    <w:rsid w:val="001E5940"/>
    <w:rsid w:val="001E5A82"/>
    <w:rsid w:val="001E5B43"/>
    <w:rsid w:val="001E5E71"/>
    <w:rsid w:val="001E6038"/>
    <w:rsid w:val="001E619B"/>
    <w:rsid w:val="001E66EE"/>
    <w:rsid w:val="001E6A43"/>
    <w:rsid w:val="001E6B20"/>
    <w:rsid w:val="001E6BF2"/>
    <w:rsid w:val="001E6E19"/>
    <w:rsid w:val="001E713C"/>
    <w:rsid w:val="001E71B4"/>
    <w:rsid w:val="001E7708"/>
    <w:rsid w:val="001E7763"/>
    <w:rsid w:val="001E778C"/>
    <w:rsid w:val="001E7A0D"/>
    <w:rsid w:val="001E7C8B"/>
    <w:rsid w:val="001E7CB6"/>
    <w:rsid w:val="001E7D3E"/>
    <w:rsid w:val="001E7E29"/>
    <w:rsid w:val="001F00A7"/>
    <w:rsid w:val="001F01A6"/>
    <w:rsid w:val="001F0267"/>
    <w:rsid w:val="001F028E"/>
    <w:rsid w:val="001F066F"/>
    <w:rsid w:val="001F0793"/>
    <w:rsid w:val="001F08C4"/>
    <w:rsid w:val="001F0AD6"/>
    <w:rsid w:val="001F0D46"/>
    <w:rsid w:val="001F0F02"/>
    <w:rsid w:val="001F109F"/>
    <w:rsid w:val="001F10D1"/>
    <w:rsid w:val="001F12B1"/>
    <w:rsid w:val="001F194A"/>
    <w:rsid w:val="001F1BC3"/>
    <w:rsid w:val="001F1CD1"/>
    <w:rsid w:val="001F28AC"/>
    <w:rsid w:val="001F2AC3"/>
    <w:rsid w:val="001F2C6E"/>
    <w:rsid w:val="001F2F07"/>
    <w:rsid w:val="001F2F4F"/>
    <w:rsid w:val="001F2FF2"/>
    <w:rsid w:val="001F3235"/>
    <w:rsid w:val="001F35BF"/>
    <w:rsid w:val="001F38BE"/>
    <w:rsid w:val="001F4755"/>
    <w:rsid w:val="001F4B00"/>
    <w:rsid w:val="001F4B59"/>
    <w:rsid w:val="001F4FC2"/>
    <w:rsid w:val="001F52E5"/>
    <w:rsid w:val="001F56BF"/>
    <w:rsid w:val="001F5787"/>
    <w:rsid w:val="001F5A65"/>
    <w:rsid w:val="001F5E98"/>
    <w:rsid w:val="001F61AF"/>
    <w:rsid w:val="001F61B8"/>
    <w:rsid w:val="001F65FD"/>
    <w:rsid w:val="001F6839"/>
    <w:rsid w:val="001F690F"/>
    <w:rsid w:val="001F6D03"/>
    <w:rsid w:val="001F6D58"/>
    <w:rsid w:val="001F6E8B"/>
    <w:rsid w:val="001F6F29"/>
    <w:rsid w:val="001F6FC0"/>
    <w:rsid w:val="001F733C"/>
    <w:rsid w:val="001F73DF"/>
    <w:rsid w:val="001F74DA"/>
    <w:rsid w:val="001F764E"/>
    <w:rsid w:val="001F7685"/>
    <w:rsid w:val="001F7C9B"/>
    <w:rsid w:val="001F7F8D"/>
    <w:rsid w:val="00200357"/>
    <w:rsid w:val="002003A9"/>
    <w:rsid w:val="00200C0E"/>
    <w:rsid w:val="00200CB4"/>
    <w:rsid w:val="00200D43"/>
    <w:rsid w:val="00200D6F"/>
    <w:rsid w:val="00200DF2"/>
    <w:rsid w:val="00200E17"/>
    <w:rsid w:val="00200EA3"/>
    <w:rsid w:val="00200F18"/>
    <w:rsid w:val="00201206"/>
    <w:rsid w:val="0020133D"/>
    <w:rsid w:val="00201436"/>
    <w:rsid w:val="002014C8"/>
    <w:rsid w:val="002016CB"/>
    <w:rsid w:val="00201718"/>
    <w:rsid w:val="00201811"/>
    <w:rsid w:val="0020195F"/>
    <w:rsid w:val="00201D27"/>
    <w:rsid w:val="00202019"/>
    <w:rsid w:val="00202455"/>
    <w:rsid w:val="0020263B"/>
    <w:rsid w:val="00202764"/>
    <w:rsid w:val="00202B01"/>
    <w:rsid w:val="002031D5"/>
    <w:rsid w:val="002033B5"/>
    <w:rsid w:val="0020372C"/>
    <w:rsid w:val="002039C0"/>
    <w:rsid w:val="00203AD1"/>
    <w:rsid w:val="00203B58"/>
    <w:rsid w:val="0020440E"/>
    <w:rsid w:val="0020446E"/>
    <w:rsid w:val="002045A0"/>
    <w:rsid w:val="00204785"/>
    <w:rsid w:val="00204B79"/>
    <w:rsid w:val="00204CBA"/>
    <w:rsid w:val="00204CD9"/>
    <w:rsid w:val="00204D95"/>
    <w:rsid w:val="00205011"/>
    <w:rsid w:val="00205529"/>
    <w:rsid w:val="002057EE"/>
    <w:rsid w:val="002058D8"/>
    <w:rsid w:val="00205930"/>
    <w:rsid w:val="002059BD"/>
    <w:rsid w:val="00205D86"/>
    <w:rsid w:val="0020605D"/>
    <w:rsid w:val="00206082"/>
    <w:rsid w:val="0020638B"/>
    <w:rsid w:val="00206416"/>
    <w:rsid w:val="00206545"/>
    <w:rsid w:val="002066F8"/>
    <w:rsid w:val="00206830"/>
    <w:rsid w:val="002068C8"/>
    <w:rsid w:val="00206943"/>
    <w:rsid w:val="00206B21"/>
    <w:rsid w:val="00206BB8"/>
    <w:rsid w:val="00206EE6"/>
    <w:rsid w:val="0020722C"/>
    <w:rsid w:val="00207572"/>
    <w:rsid w:val="002076F6"/>
    <w:rsid w:val="002077BC"/>
    <w:rsid w:val="00207B71"/>
    <w:rsid w:val="00207E5C"/>
    <w:rsid w:val="00210067"/>
    <w:rsid w:val="00210196"/>
    <w:rsid w:val="0021028A"/>
    <w:rsid w:val="002105BC"/>
    <w:rsid w:val="0021086A"/>
    <w:rsid w:val="00210A30"/>
    <w:rsid w:val="00210D37"/>
    <w:rsid w:val="00210D8F"/>
    <w:rsid w:val="00210E64"/>
    <w:rsid w:val="00210EB0"/>
    <w:rsid w:val="00210F4D"/>
    <w:rsid w:val="00211009"/>
    <w:rsid w:val="00211016"/>
    <w:rsid w:val="00211253"/>
    <w:rsid w:val="00211B07"/>
    <w:rsid w:val="00211E04"/>
    <w:rsid w:val="00211EB8"/>
    <w:rsid w:val="0021208B"/>
    <w:rsid w:val="002120E9"/>
    <w:rsid w:val="002122E4"/>
    <w:rsid w:val="0021280E"/>
    <w:rsid w:val="00212852"/>
    <w:rsid w:val="00212869"/>
    <w:rsid w:val="00212D49"/>
    <w:rsid w:val="00213045"/>
    <w:rsid w:val="00213404"/>
    <w:rsid w:val="0021375C"/>
    <w:rsid w:val="00213A15"/>
    <w:rsid w:val="00213CC2"/>
    <w:rsid w:val="00213F7E"/>
    <w:rsid w:val="00214395"/>
    <w:rsid w:val="002144D1"/>
    <w:rsid w:val="002145DF"/>
    <w:rsid w:val="00214B99"/>
    <w:rsid w:val="00214D2B"/>
    <w:rsid w:val="00214D68"/>
    <w:rsid w:val="00215017"/>
    <w:rsid w:val="00215203"/>
    <w:rsid w:val="002154D6"/>
    <w:rsid w:val="0021551B"/>
    <w:rsid w:val="00215C20"/>
    <w:rsid w:val="00215EAA"/>
    <w:rsid w:val="00215F33"/>
    <w:rsid w:val="00216099"/>
    <w:rsid w:val="002160B5"/>
    <w:rsid w:val="0021628C"/>
    <w:rsid w:val="0021631E"/>
    <w:rsid w:val="002164A4"/>
    <w:rsid w:val="002164AC"/>
    <w:rsid w:val="002166BD"/>
    <w:rsid w:val="00216978"/>
    <w:rsid w:val="00216CF6"/>
    <w:rsid w:val="00216D35"/>
    <w:rsid w:val="00216E5D"/>
    <w:rsid w:val="00216ECF"/>
    <w:rsid w:val="00217335"/>
    <w:rsid w:val="002175E3"/>
    <w:rsid w:val="002176B9"/>
    <w:rsid w:val="00217C07"/>
    <w:rsid w:val="00217D9A"/>
    <w:rsid w:val="00220010"/>
    <w:rsid w:val="00220100"/>
    <w:rsid w:val="0022015D"/>
    <w:rsid w:val="0022053C"/>
    <w:rsid w:val="0022077F"/>
    <w:rsid w:val="002208C1"/>
    <w:rsid w:val="00220ADD"/>
    <w:rsid w:val="00220BE8"/>
    <w:rsid w:val="00220CCF"/>
    <w:rsid w:val="002211F5"/>
    <w:rsid w:val="00221360"/>
    <w:rsid w:val="0022161D"/>
    <w:rsid w:val="00221CCF"/>
    <w:rsid w:val="00221E0F"/>
    <w:rsid w:val="00221EDF"/>
    <w:rsid w:val="00221EE3"/>
    <w:rsid w:val="00221F28"/>
    <w:rsid w:val="002222BE"/>
    <w:rsid w:val="002222D0"/>
    <w:rsid w:val="0022230A"/>
    <w:rsid w:val="0022231D"/>
    <w:rsid w:val="0022254F"/>
    <w:rsid w:val="00222779"/>
    <w:rsid w:val="00222856"/>
    <w:rsid w:val="00222C32"/>
    <w:rsid w:val="00222DC2"/>
    <w:rsid w:val="00222FD1"/>
    <w:rsid w:val="0022306B"/>
    <w:rsid w:val="0022320B"/>
    <w:rsid w:val="00223279"/>
    <w:rsid w:val="002232CC"/>
    <w:rsid w:val="0022334E"/>
    <w:rsid w:val="00223F5F"/>
    <w:rsid w:val="0022418F"/>
    <w:rsid w:val="0022428B"/>
    <w:rsid w:val="0022443C"/>
    <w:rsid w:val="00224A50"/>
    <w:rsid w:val="00224BF4"/>
    <w:rsid w:val="00224C62"/>
    <w:rsid w:val="00224EF5"/>
    <w:rsid w:val="00225181"/>
    <w:rsid w:val="00225368"/>
    <w:rsid w:val="0022578C"/>
    <w:rsid w:val="00225B90"/>
    <w:rsid w:val="00225B98"/>
    <w:rsid w:val="00225EB7"/>
    <w:rsid w:val="00226067"/>
    <w:rsid w:val="002260C1"/>
    <w:rsid w:val="002260C5"/>
    <w:rsid w:val="00226279"/>
    <w:rsid w:val="0022645F"/>
    <w:rsid w:val="002264D4"/>
    <w:rsid w:val="002264EA"/>
    <w:rsid w:val="0022671A"/>
    <w:rsid w:val="002267F2"/>
    <w:rsid w:val="002268CC"/>
    <w:rsid w:val="00226A34"/>
    <w:rsid w:val="00226C4E"/>
    <w:rsid w:val="00226D5B"/>
    <w:rsid w:val="002272C2"/>
    <w:rsid w:val="002272FA"/>
    <w:rsid w:val="002273C1"/>
    <w:rsid w:val="00227F1F"/>
    <w:rsid w:val="002301D4"/>
    <w:rsid w:val="002307C0"/>
    <w:rsid w:val="0023087D"/>
    <w:rsid w:val="002308C2"/>
    <w:rsid w:val="00230ACF"/>
    <w:rsid w:val="00230C01"/>
    <w:rsid w:val="00231121"/>
    <w:rsid w:val="00231273"/>
    <w:rsid w:val="002315F5"/>
    <w:rsid w:val="002315F6"/>
    <w:rsid w:val="002316CE"/>
    <w:rsid w:val="00231900"/>
    <w:rsid w:val="00231939"/>
    <w:rsid w:val="00231B44"/>
    <w:rsid w:val="00231EFA"/>
    <w:rsid w:val="002320D2"/>
    <w:rsid w:val="002321B1"/>
    <w:rsid w:val="00232229"/>
    <w:rsid w:val="0023225E"/>
    <w:rsid w:val="002322EB"/>
    <w:rsid w:val="00232418"/>
    <w:rsid w:val="00232554"/>
    <w:rsid w:val="002325C5"/>
    <w:rsid w:val="00232866"/>
    <w:rsid w:val="00232B35"/>
    <w:rsid w:val="00232E4F"/>
    <w:rsid w:val="0023322C"/>
    <w:rsid w:val="0023348E"/>
    <w:rsid w:val="0023379D"/>
    <w:rsid w:val="002337E2"/>
    <w:rsid w:val="00233B22"/>
    <w:rsid w:val="00234019"/>
    <w:rsid w:val="002340B6"/>
    <w:rsid w:val="00234164"/>
    <w:rsid w:val="0023453B"/>
    <w:rsid w:val="00234677"/>
    <w:rsid w:val="002346B4"/>
    <w:rsid w:val="002346DE"/>
    <w:rsid w:val="002349FE"/>
    <w:rsid w:val="00234B7C"/>
    <w:rsid w:val="00234BA2"/>
    <w:rsid w:val="00234EFC"/>
    <w:rsid w:val="0023506B"/>
    <w:rsid w:val="00235582"/>
    <w:rsid w:val="0023586F"/>
    <w:rsid w:val="00235A59"/>
    <w:rsid w:val="00236191"/>
    <w:rsid w:val="002366E6"/>
    <w:rsid w:val="00236C70"/>
    <w:rsid w:val="002370AB"/>
    <w:rsid w:val="00237174"/>
    <w:rsid w:val="00237268"/>
    <w:rsid w:val="00237397"/>
    <w:rsid w:val="00237872"/>
    <w:rsid w:val="00237A98"/>
    <w:rsid w:val="00237AF9"/>
    <w:rsid w:val="00237B66"/>
    <w:rsid w:val="0024015F"/>
    <w:rsid w:val="00240259"/>
    <w:rsid w:val="002404E7"/>
    <w:rsid w:val="002404FB"/>
    <w:rsid w:val="00240514"/>
    <w:rsid w:val="00240697"/>
    <w:rsid w:val="002406DB"/>
    <w:rsid w:val="002406DE"/>
    <w:rsid w:val="00240A5A"/>
    <w:rsid w:val="00240B0B"/>
    <w:rsid w:val="00240DD0"/>
    <w:rsid w:val="00241517"/>
    <w:rsid w:val="002415DB"/>
    <w:rsid w:val="0024161C"/>
    <w:rsid w:val="0024166F"/>
    <w:rsid w:val="00241716"/>
    <w:rsid w:val="0024173C"/>
    <w:rsid w:val="00241821"/>
    <w:rsid w:val="0024189D"/>
    <w:rsid w:val="00241A0C"/>
    <w:rsid w:val="00241B6D"/>
    <w:rsid w:val="00241D38"/>
    <w:rsid w:val="00241E90"/>
    <w:rsid w:val="00241F5D"/>
    <w:rsid w:val="002424B9"/>
    <w:rsid w:val="002426DA"/>
    <w:rsid w:val="00242909"/>
    <w:rsid w:val="00242AA0"/>
    <w:rsid w:val="00242B07"/>
    <w:rsid w:val="00242B65"/>
    <w:rsid w:val="00242DD2"/>
    <w:rsid w:val="00242DEC"/>
    <w:rsid w:val="00243314"/>
    <w:rsid w:val="00243688"/>
    <w:rsid w:val="0024372E"/>
    <w:rsid w:val="00243827"/>
    <w:rsid w:val="0024384F"/>
    <w:rsid w:val="00243B5B"/>
    <w:rsid w:val="00244010"/>
    <w:rsid w:val="002440FB"/>
    <w:rsid w:val="002442A5"/>
    <w:rsid w:val="002443F4"/>
    <w:rsid w:val="002444EB"/>
    <w:rsid w:val="00244518"/>
    <w:rsid w:val="002445C2"/>
    <w:rsid w:val="002449EC"/>
    <w:rsid w:val="00245180"/>
    <w:rsid w:val="00245521"/>
    <w:rsid w:val="0024553F"/>
    <w:rsid w:val="002458A0"/>
    <w:rsid w:val="00245976"/>
    <w:rsid w:val="002459D2"/>
    <w:rsid w:val="00245A77"/>
    <w:rsid w:val="00245AD3"/>
    <w:rsid w:val="00245C25"/>
    <w:rsid w:val="00245C4C"/>
    <w:rsid w:val="00245D79"/>
    <w:rsid w:val="00245E32"/>
    <w:rsid w:val="00246172"/>
    <w:rsid w:val="002464AA"/>
    <w:rsid w:val="002464CE"/>
    <w:rsid w:val="0024656D"/>
    <w:rsid w:val="00246784"/>
    <w:rsid w:val="00246B9B"/>
    <w:rsid w:val="00246CC4"/>
    <w:rsid w:val="00247305"/>
    <w:rsid w:val="0024740F"/>
    <w:rsid w:val="002476BF"/>
    <w:rsid w:val="00247B0E"/>
    <w:rsid w:val="00247CE5"/>
    <w:rsid w:val="00247EF1"/>
    <w:rsid w:val="00250012"/>
    <w:rsid w:val="00250325"/>
    <w:rsid w:val="002504FC"/>
    <w:rsid w:val="00250526"/>
    <w:rsid w:val="002506FD"/>
    <w:rsid w:val="0025070C"/>
    <w:rsid w:val="002508F6"/>
    <w:rsid w:val="00250C11"/>
    <w:rsid w:val="002514B9"/>
    <w:rsid w:val="0025177C"/>
    <w:rsid w:val="00251C42"/>
    <w:rsid w:val="00251D7A"/>
    <w:rsid w:val="002522DE"/>
    <w:rsid w:val="002522F4"/>
    <w:rsid w:val="002526D0"/>
    <w:rsid w:val="0025291E"/>
    <w:rsid w:val="00252E6D"/>
    <w:rsid w:val="00252F6E"/>
    <w:rsid w:val="00253076"/>
    <w:rsid w:val="00253112"/>
    <w:rsid w:val="00253C1B"/>
    <w:rsid w:val="00253D2A"/>
    <w:rsid w:val="00253E1F"/>
    <w:rsid w:val="00254579"/>
    <w:rsid w:val="002546B7"/>
    <w:rsid w:val="00254F2C"/>
    <w:rsid w:val="002550FA"/>
    <w:rsid w:val="002552D9"/>
    <w:rsid w:val="002553B0"/>
    <w:rsid w:val="002556D5"/>
    <w:rsid w:val="00255997"/>
    <w:rsid w:val="00255AAB"/>
    <w:rsid w:val="00255D53"/>
    <w:rsid w:val="00255D90"/>
    <w:rsid w:val="002560C7"/>
    <w:rsid w:val="00256309"/>
    <w:rsid w:val="002565A4"/>
    <w:rsid w:val="00256C6F"/>
    <w:rsid w:val="00256E2C"/>
    <w:rsid w:val="00257014"/>
    <w:rsid w:val="0025711A"/>
    <w:rsid w:val="0025720A"/>
    <w:rsid w:val="002577E9"/>
    <w:rsid w:val="00257A38"/>
    <w:rsid w:val="00257DB2"/>
    <w:rsid w:val="00257F11"/>
    <w:rsid w:val="002608A3"/>
    <w:rsid w:val="00260CDE"/>
    <w:rsid w:val="00260DA5"/>
    <w:rsid w:val="00260EF6"/>
    <w:rsid w:val="00261045"/>
    <w:rsid w:val="002610B8"/>
    <w:rsid w:val="0026127D"/>
    <w:rsid w:val="002614F0"/>
    <w:rsid w:val="002615AD"/>
    <w:rsid w:val="00261925"/>
    <w:rsid w:val="00261B7D"/>
    <w:rsid w:val="00261BAA"/>
    <w:rsid w:val="00261E40"/>
    <w:rsid w:val="0026233C"/>
    <w:rsid w:val="002625FA"/>
    <w:rsid w:val="00262634"/>
    <w:rsid w:val="00262709"/>
    <w:rsid w:val="00262946"/>
    <w:rsid w:val="002629AB"/>
    <w:rsid w:val="00262A07"/>
    <w:rsid w:val="00262FC0"/>
    <w:rsid w:val="00262FF5"/>
    <w:rsid w:val="00263081"/>
    <w:rsid w:val="00263096"/>
    <w:rsid w:val="0026320C"/>
    <w:rsid w:val="00263350"/>
    <w:rsid w:val="002639EF"/>
    <w:rsid w:val="002639F1"/>
    <w:rsid w:val="00263A51"/>
    <w:rsid w:val="00263A54"/>
    <w:rsid w:val="002640EF"/>
    <w:rsid w:val="00264152"/>
    <w:rsid w:val="00264885"/>
    <w:rsid w:val="00264B2F"/>
    <w:rsid w:val="00264BAE"/>
    <w:rsid w:val="00265010"/>
    <w:rsid w:val="00265099"/>
    <w:rsid w:val="00265223"/>
    <w:rsid w:val="0026540A"/>
    <w:rsid w:val="002659DA"/>
    <w:rsid w:val="00265AD5"/>
    <w:rsid w:val="00265C41"/>
    <w:rsid w:val="00265CBB"/>
    <w:rsid w:val="00266060"/>
    <w:rsid w:val="00266079"/>
    <w:rsid w:val="002660B8"/>
    <w:rsid w:val="00266669"/>
    <w:rsid w:val="00266728"/>
    <w:rsid w:val="002668B7"/>
    <w:rsid w:val="00266900"/>
    <w:rsid w:val="00266DB7"/>
    <w:rsid w:val="00266F36"/>
    <w:rsid w:val="00267064"/>
    <w:rsid w:val="0026715C"/>
    <w:rsid w:val="002672DC"/>
    <w:rsid w:val="0026749F"/>
    <w:rsid w:val="00267BAF"/>
    <w:rsid w:val="00267D34"/>
    <w:rsid w:val="00267E10"/>
    <w:rsid w:val="002702BB"/>
    <w:rsid w:val="0027043C"/>
    <w:rsid w:val="002705FD"/>
    <w:rsid w:val="00270670"/>
    <w:rsid w:val="002709A7"/>
    <w:rsid w:val="00270CE2"/>
    <w:rsid w:val="0027124D"/>
    <w:rsid w:val="0027163F"/>
    <w:rsid w:val="00271A6C"/>
    <w:rsid w:val="00271B27"/>
    <w:rsid w:val="00271C5C"/>
    <w:rsid w:val="00271D10"/>
    <w:rsid w:val="00271D5C"/>
    <w:rsid w:val="002721F1"/>
    <w:rsid w:val="00272592"/>
    <w:rsid w:val="00272751"/>
    <w:rsid w:val="00272B36"/>
    <w:rsid w:val="00272B5D"/>
    <w:rsid w:val="00272E97"/>
    <w:rsid w:val="00272F58"/>
    <w:rsid w:val="00273216"/>
    <w:rsid w:val="00273237"/>
    <w:rsid w:val="002733EC"/>
    <w:rsid w:val="0027349F"/>
    <w:rsid w:val="002739F5"/>
    <w:rsid w:val="00273DCC"/>
    <w:rsid w:val="00273E1B"/>
    <w:rsid w:val="00273F7D"/>
    <w:rsid w:val="00273FB5"/>
    <w:rsid w:val="0027420E"/>
    <w:rsid w:val="0027441C"/>
    <w:rsid w:val="0027489F"/>
    <w:rsid w:val="00274A4D"/>
    <w:rsid w:val="00274BC9"/>
    <w:rsid w:val="00274CB6"/>
    <w:rsid w:val="00274DD9"/>
    <w:rsid w:val="00275001"/>
    <w:rsid w:val="002751C1"/>
    <w:rsid w:val="0027557C"/>
    <w:rsid w:val="002756C5"/>
    <w:rsid w:val="0027571A"/>
    <w:rsid w:val="00275A31"/>
    <w:rsid w:val="00275D3E"/>
    <w:rsid w:val="00275E8B"/>
    <w:rsid w:val="00275E9F"/>
    <w:rsid w:val="00276161"/>
    <w:rsid w:val="002761DD"/>
    <w:rsid w:val="002762DB"/>
    <w:rsid w:val="00276436"/>
    <w:rsid w:val="0027644B"/>
    <w:rsid w:val="002767CC"/>
    <w:rsid w:val="002768E8"/>
    <w:rsid w:val="002769D3"/>
    <w:rsid w:val="00276B4D"/>
    <w:rsid w:val="00276BAA"/>
    <w:rsid w:val="00276E4F"/>
    <w:rsid w:val="00276EBC"/>
    <w:rsid w:val="00276EE3"/>
    <w:rsid w:val="002770BD"/>
    <w:rsid w:val="0027742B"/>
    <w:rsid w:val="002777D4"/>
    <w:rsid w:val="002779E7"/>
    <w:rsid w:val="00277B25"/>
    <w:rsid w:val="0028071D"/>
    <w:rsid w:val="00280D39"/>
    <w:rsid w:val="00280D40"/>
    <w:rsid w:val="00280E13"/>
    <w:rsid w:val="002813C3"/>
    <w:rsid w:val="0028157B"/>
    <w:rsid w:val="00281850"/>
    <w:rsid w:val="00282045"/>
    <w:rsid w:val="00282087"/>
    <w:rsid w:val="0028264F"/>
    <w:rsid w:val="00282876"/>
    <w:rsid w:val="00282B57"/>
    <w:rsid w:val="00282C63"/>
    <w:rsid w:val="00282E62"/>
    <w:rsid w:val="00283084"/>
    <w:rsid w:val="00283570"/>
    <w:rsid w:val="002835F6"/>
    <w:rsid w:val="002838D9"/>
    <w:rsid w:val="002838FC"/>
    <w:rsid w:val="002839C8"/>
    <w:rsid w:val="00283AA8"/>
    <w:rsid w:val="00283B99"/>
    <w:rsid w:val="00283D86"/>
    <w:rsid w:val="00284012"/>
    <w:rsid w:val="00284699"/>
    <w:rsid w:val="00284758"/>
    <w:rsid w:val="00285056"/>
    <w:rsid w:val="002852E2"/>
    <w:rsid w:val="00285610"/>
    <w:rsid w:val="002857B9"/>
    <w:rsid w:val="00285924"/>
    <w:rsid w:val="00285ABA"/>
    <w:rsid w:val="00285B27"/>
    <w:rsid w:val="00285B54"/>
    <w:rsid w:val="00285C8E"/>
    <w:rsid w:val="00285DE8"/>
    <w:rsid w:val="0028602F"/>
    <w:rsid w:val="00286364"/>
    <w:rsid w:val="00286786"/>
    <w:rsid w:val="002867B2"/>
    <w:rsid w:val="0028680F"/>
    <w:rsid w:val="00286CD1"/>
    <w:rsid w:val="00286E01"/>
    <w:rsid w:val="00286E8A"/>
    <w:rsid w:val="00287341"/>
    <w:rsid w:val="00287383"/>
    <w:rsid w:val="0028748A"/>
    <w:rsid w:val="00287495"/>
    <w:rsid w:val="00287736"/>
    <w:rsid w:val="00287899"/>
    <w:rsid w:val="002878E4"/>
    <w:rsid w:val="0028790A"/>
    <w:rsid w:val="00287921"/>
    <w:rsid w:val="00287B98"/>
    <w:rsid w:val="00287BB5"/>
    <w:rsid w:val="00290063"/>
    <w:rsid w:val="00290350"/>
    <w:rsid w:val="0029037C"/>
    <w:rsid w:val="00290934"/>
    <w:rsid w:val="00290941"/>
    <w:rsid w:val="00290A44"/>
    <w:rsid w:val="00290A96"/>
    <w:rsid w:val="00290D8B"/>
    <w:rsid w:val="00290EB1"/>
    <w:rsid w:val="00290EF3"/>
    <w:rsid w:val="0029107C"/>
    <w:rsid w:val="002910F2"/>
    <w:rsid w:val="002911FE"/>
    <w:rsid w:val="00291237"/>
    <w:rsid w:val="002912F1"/>
    <w:rsid w:val="002913E4"/>
    <w:rsid w:val="0029163A"/>
    <w:rsid w:val="002917F1"/>
    <w:rsid w:val="00291915"/>
    <w:rsid w:val="002919EC"/>
    <w:rsid w:val="00291A1F"/>
    <w:rsid w:val="00291D26"/>
    <w:rsid w:val="00291D90"/>
    <w:rsid w:val="00291F9E"/>
    <w:rsid w:val="00292074"/>
    <w:rsid w:val="00292096"/>
    <w:rsid w:val="00292164"/>
    <w:rsid w:val="0029242D"/>
    <w:rsid w:val="002924DF"/>
    <w:rsid w:val="00292656"/>
    <w:rsid w:val="00292D4C"/>
    <w:rsid w:val="00292EAA"/>
    <w:rsid w:val="00292F3A"/>
    <w:rsid w:val="002930B2"/>
    <w:rsid w:val="00293489"/>
    <w:rsid w:val="0029381F"/>
    <w:rsid w:val="002938AC"/>
    <w:rsid w:val="002939CF"/>
    <w:rsid w:val="00293EE0"/>
    <w:rsid w:val="00293F51"/>
    <w:rsid w:val="00293F79"/>
    <w:rsid w:val="0029405C"/>
    <w:rsid w:val="002941DE"/>
    <w:rsid w:val="002942C6"/>
    <w:rsid w:val="00294A19"/>
    <w:rsid w:val="00294B0D"/>
    <w:rsid w:val="00294B13"/>
    <w:rsid w:val="00294B69"/>
    <w:rsid w:val="00294BAD"/>
    <w:rsid w:val="00294BBA"/>
    <w:rsid w:val="00294BFE"/>
    <w:rsid w:val="00294F0E"/>
    <w:rsid w:val="00294F55"/>
    <w:rsid w:val="00294F71"/>
    <w:rsid w:val="00295445"/>
    <w:rsid w:val="002955E4"/>
    <w:rsid w:val="00295726"/>
    <w:rsid w:val="00295747"/>
    <w:rsid w:val="002957C5"/>
    <w:rsid w:val="0029588E"/>
    <w:rsid w:val="0029599D"/>
    <w:rsid w:val="002959BA"/>
    <w:rsid w:val="00295B6A"/>
    <w:rsid w:val="00295F20"/>
    <w:rsid w:val="002964F5"/>
    <w:rsid w:val="002965B3"/>
    <w:rsid w:val="002965CD"/>
    <w:rsid w:val="002966C7"/>
    <w:rsid w:val="0029673D"/>
    <w:rsid w:val="002967F1"/>
    <w:rsid w:val="002968C1"/>
    <w:rsid w:val="00296B24"/>
    <w:rsid w:val="00296B88"/>
    <w:rsid w:val="00296DF8"/>
    <w:rsid w:val="00296E85"/>
    <w:rsid w:val="00296F29"/>
    <w:rsid w:val="00296F3E"/>
    <w:rsid w:val="00297002"/>
    <w:rsid w:val="00297214"/>
    <w:rsid w:val="002972D1"/>
    <w:rsid w:val="0029740E"/>
    <w:rsid w:val="00297427"/>
    <w:rsid w:val="0029780C"/>
    <w:rsid w:val="0029780F"/>
    <w:rsid w:val="0029794A"/>
    <w:rsid w:val="00297A67"/>
    <w:rsid w:val="002A00B9"/>
    <w:rsid w:val="002A02D1"/>
    <w:rsid w:val="002A03FE"/>
    <w:rsid w:val="002A0767"/>
    <w:rsid w:val="002A087E"/>
    <w:rsid w:val="002A0A6D"/>
    <w:rsid w:val="002A0B64"/>
    <w:rsid w:val="002A0B70"/>
    <w:rsid w:val="002A0C7A"/>
    <w:rsid w:val="002A0EFB"/>
    <w:rsid w:val="002A0EFF"/>
    <w:rsid w:val="002A0FB1"/>
    <w:rsid w:val="002A126A"/>
    <w:rsid w:val="002A128D"/>
    <w:rsid w:val="002A1E96"/>
    <w:rsid w:val="002A1EFC"/>
    <w:rsid w:val="002A1FEB"/>
    <w:rsid w:val="002A2192"/>
    <w:rsid w:val="002A2317"/>
    <w:rsid w:val="002A24C9"/>
    <w:rsid w:val="002A265D"/>
    <w:rsid w:val="002A32B3"/>
    <w:rsid w:val="002A3611"/>
    <w:rsid w:val="002A374A"/>
    <w:rsid w:val="002A374C"/>
    <w:rsid w:val="002A3787"/>
    <w:rsid w:val="002A39F3"/>
    <w:rsid w:val="002A3CEA"/>
    <w:rsid w:val="002A3D0E"/>
    <w:rsid w:val="002A3E12"/>
    <w:rsid w:val="002A3E25"/>
    <w:rsid w:val="002A4188"/>
    <w:rsid w:val="002A4A98"/>
    <w:rsid w:val="002A4EB4"/>
    <w:rsid w:val="002A5008"/>
    <w:rsid w:val="002A5069"/>
    <w:rsid w:val="002A561F"/>
    <w:rsid w:val="002A56BC"/>
    <w:rsid w:val="002A56D8"/>
    <w:rsid w:val="002A578C"/>
    <w:rsid w:val="002A57D3"/>
    <w:rsid w:val="002A5CA0"/>
    <w:rsid w:val="002A5DD5"/>
    <w:rsid w:val="002A5ED5"/>
    <w:rsid w:val="002A62E6"/>
    <w:rsid w:val="002A6478"/>
    <w:rsid w:val="002A667D"/>
    <w:rsid w:val="002A6AAC"/>
    <w:rsid w:val="002A6ACC"/>
    <w:rsid w:val="002A6E40"/>
    <w:rsid w:val="002A748E"/>
    <w:rsid w:val="002A7596"/>
    <w:rsid w:val="002A7732"/>
    <w:rsid w:val="002A78FB"/>
    <w:rsid w:val="002A7E28"/>
    <w:rsid w:val="002A7E8A"/>
    <w:rsid w:val="002B0175"/>
    <w:rsid w:val="002B020F"/>
    <w:rsid w:val="002B02C7"/>
    <w:rsid w:val="002B04B5"/>
    <w:rsid w:val="002B0928"/>
    <w:rsid w:val="002B0A3C"/>
    <w:rsid w:val="002B0B80"/>
    <w:rsid w:val="002B1052"/>
    <w:rsid w:val="002B1095"/>
    <w:rsid w:val="002B184A"/>
    <w:rsid w:val="002B1889"/>
    <w:rsid w:val="002B19FE"/>
    <w:rsid w:val="002B1AA5"/>
    <w:rsid w:val="002B1B19"/>
    <w:rsid w:val="002B1BAA"/>
    <w:rsid w:val="002B1CE2"/>
    <w:rsid w:val="002B2376"/>
    <w:rsid w:val="002B2976"/>
    <w:rsid w:val="002B2AED"/>
    <w:rsid w:val="002B2C6B"/>
    <w:rsid w:val="002B2F36"/>
    <w:rsid w:val="002B2FE6"/>
    <w:rsid w:val="002B30E3"/>
    <w:rsid w:val="002B3190"/>
    <w:rsid w:val="002B32C2"/>
    <w:rsid w:val="002B33CA"/>
    <w:rsid w:val="002B35AB"/>
    <w:rsid w:val="002B37E9"/>
    <w:rsid w:val="002B3922"/>
    <w:rsid w:val="002B4054"/>
    <w:rsid w:val="002B4146"/>
    <w:rsid w:val="002B4164"/>
    <w:rsid w:val="002B4688"/>
    <w:rsid w:val="002B4696"/>
    <w:rsid w:val="002B4773"/>
    <w:rsid w:val="002B47FC"/>
    <w:rsid w:val="002B4835"/>
    <w:rsid w:val="002B498F"/>
    <w:rsid w:val="002B4CC9"/>
    <w:rsid w:val="002B4D02"/>
    <w:rsid w:val="002B4D49"/>
    <w:rsid w:val="002B4D80"/>
    <w:rsid w:val="002B4EA5"/>
    <w:rsid w:val="002B5930"/>
    <w:rsid w:val="002B5B46"/>
    <w:rsid w:val="002B5BE4"/>
    <w:rsid w:val="002B5D64"/>
    <w:rsid w:val="002B5FAD"/>
    <w:rsid w:val="002B6018"/>
    <w:rsid w:val="002B6041"/>
    <w:rsid w:val="002B64DB"/>
    <w:rsid w:val="002B6A52"/>
    <w:rsid w:val="002B6D2E"/>
    <w:rsid w:val="002B7231"/>
    <w:rsid w:val="002B735B"/>
    <w:rsid w:val="002B7642"/>
    <w:rsid w:val="002B785B"/>
    <w:rsid w:val="002B791A"/>
    <w:rsid w:val="002C026F"/>
    <w:rsid w:val="002C02A3"/>
    <w:rsid w:val="002C066E"/>
    <w:rsid w:val="002C108B"/>
    <w:rsid w:val="002C1140"/>
    <w:rsid w:val="002C1252"/>
    <w:rsid w:val="002C12AB"/>
    <w:rsid w:val="002C19A8"/>
    <w:rsid w:val="002C1B15"/>
    <w:rsid w:val="002C1C8E"/>
    <w:rsid w:val="002C1CCD"/>
    <w:rsid w:val="002C2281"/>
    <w:rsid w:val="002C2356"/>
    <w:rsid w:val="002C2430"/>
    <w:rsid w:val="002C292E"/>
    <w:rsid w:val="002C2DB7"/>
    <w:rsid w:val="002C2FFF"/>
    <w:rsid w:val="002C32CC"/>
    <w:rsid w:val="002C3489"/>
    <w:rsid w:val="002C3B98"/>
    <w:rsid w:val="002C3D2A"/>
    <w:rsid w:val="002C3ED6"/>
    <w:rsid w:val="002C3EE0"/>
    <w:rsid w:val="002C438D"/>
    <w:rsid w:val="002C4515"/>
    <w:rsid w:val="002C484B"/>
    <w:rsid w:val="002C497D"/>
    <w:rsid w:val="002C4A8D"/>
    <w:rsid w:val="002C4E8A"/>
    <w:rsid w:val="002C50A4"/>
    <w:rsid w:val="002C50DF"/>
    <w:rsid w:val="002C56E6"/>
    <w:rsid w:val="002C5765"/>
    <w:rsid w:val="002C57ED"/>
    <w:rsid w:val="002C5FEA"/>
    <w:rsid w:val="002C6084"/>
    <w:rsid w:val="002C6285"/>
    <w:rsid w:val="002C649B"/>
    <w:rsid w:val="002C652C"/>
    <w:rsid w:val="002C65C2"/>
    <w:rsid w:val="002C690A"/>
    <w:rsid w:val="002C6ADE"/>
    <w:rsid w:val="002C6C39"/>
    <w:rsid w:val="002C6C8F"/>
    <w:rsid w:val="002C6CBA"/>
    <w:rsid w:val="002C6CDC"/>
    <w:rsid w:val="002C6F50"/>
    <w:rsid w:val="002C74EE"/>
    <w:rsid w:val="002C76DF"/>
    <w:rsid w:val="002C7709"/>
    <w:rsid w:val="002C7E6E"/>
    <w:rsid w:val="002C7F5B"/>
    <w:rsid w:val="002D01F4"/>
    <w:rsid w:val="002D081C"/>
    <w:rsid w:val="002D0984"/>
    <w:rsid w:val="002D09D7"/>
    <w:rsid w:val="002D09EE"/>
    <w:rsid w:val="002D0AEC"/>
    <w:rsid w:val="002D0DDC"/>
    <w:rsid w:val="002D0FA6"/>
    <w:rsid w:val="002D0FAC"/>
    <w:rsid w:val="002D1129"/>
    <w:rsid w:val="002D17F2"/>
    <w:rsid w:val="002D1821"/>
    <w:rsid w:val="002D1BDF"/>
    <w:rsid w:val="002D1E14"/>
    <w:rsid w:val="002D22CB"/>
    <w:rsid w:val="002D2B06"/>
    <w:rsid w:val="002D2BBD"/>
    <w:rsid w:val="002D2CC9"/>
    <w:rsid w:val="002D2E09"/>
    <w:rsid w:val="002D2EC7"/>
    <w:rsid w:val="002D3216"/>
    <w:rsid w:val="002D364D"/>
    <w:rsid w:val="002D37F5"/>
    <w:rsid w:val="002D38FA"/>
    <w:rsid w:val="002D3F3F"/>
    <w:rsid w:val="002D3FF9"/>
    <w:rsid w:val="002D41F7"/>
    <w:rsid w:val="002D4386"/>
    <w:rsid w:val="002D43D0"/>
    <w:rsid w:val="002D464B"/>
    <w:rsid w:val="002D4789"/>
    <w:rsid w:val="002D48F9"/>
    <w:rsid w:val="002D4AC4"/>
    <w:rsid w:val="002D4DE6"/>
    <w:rsid w:val="002D4E16"/>
    <w:rsid w:val="002D4FE1"/>
    <w:rsid w:val="002D533F"/>
    <w:rsid w:val="002D5364"/>
    <w:rsid w:val="002D53C1"/>
    <w:rsid w:val="002D55C4"/>
    <w:rsid w:val="002D571F"/>
    <w:rsid w:val="002D5863"/>
    <w:rsid w:val="002D5A2E"/>
    <w:rsid w:val="002D5BC0"/>
    <w:rsid w:val="002D5BF8"/>
    <w:rsid w:val="002D5EDA"/>
    <w:rsid w:val="002D6506"/>
    <w:rsid w:val="002D650D"/>
    <w:rsid w:val="002D657B"/>
    <w:rsid w:val="002D66A1"/>
    <w:rsid w:val="002D6B33"/>
    <w:rsid w:val="002D733D"/>
    <w:rsid w:val="002D76AA"/>
    <w:rsid w:val="002D76E0"/>
    <w:rsid w:val="002D77BF"/>
    <w:rsid w:val="002D7BF8"/>
    <w:rsid w:val="002D7C43"/>
    <w:rsid w:val="002D7DC1"/>
    <w:rsid w:val="002D7F4E"/>
    <w:rsid w:val="002E00FC"/>
    <w:rsid w:val="002E0191"/>
    <w:rsid w:val="002E022C"/>
    <w:rsid w:val="002E02B4"/>
    <w:rsid w:val="002E02E7"/>
    <w:rsid w:val="002E0521"/>
    <w:rsid w:val="002E116C"/>
    <w:rsid w:val="002E123A"/>
    <w:rsid w:val="002E1647"/>
    <w:rsid w:val="002E1844"/>
    <w:rsid w:val="002E1AA5"/>
    <w:rsid w:val="002E1B39"/>
    <w:rsid w:val="002E1B78"/>
    <w:rsid w:val="002E1C00"/>
    <w:rsid w:val="002E1DE4"/>
    <w:rsid w:val="002E22B7"/>
    <w:rsid w:val="002E247B"/>
    <w:rsid w:val="002E26F9"/>
    <w:rsid w:val="002E2867"/>
    <w:rsid w:val="002E287E"/>
    <w:rsid w:val="002E29CE"/>
    <w:rsid w:val="002E3084"/>
    <w:rsid w:val="002E318D"/>
    <w:rsid w:val="002E335A"/>
    <w:rsid w:val="002E33DF"/>
    <w:rsid w:val="002E3714"/>
    <w:rsid w:val="002E3A0E"/>
    <w:rsid w:val="002E3C47"/>
    <w:rsid w:val="002E3CB0"/>
    <w:rsid w:val="002E3DBC"/>
    <w:rsid w:val="002E3E62"/>
    <w:rsid w:val="002E420D"/>
    <w:rsid w:val="002E4438"/>
    <w:rsid w:val="002E4515"/>
    <w:rsid w:val="002E46FF"/>
    <w:rsid w:val="002E4727"/>
    <w:rsid w:val="002E4A99"/>
    <w:rsid w:val="002E4EB3"/>
    <w:rsid w:val="002E52B6"/>
    <w:rsid w:val="002E5376"/>
    <w:rsid w:val="002E5679"/>
    <w:rsid w:val="002E56E7"/>
    <w:rsid w:val="002E5EA9"/>
    <w:rsid w:val="002E608E"/>
    <w:rsid w:val="002E654A"/>
    <w:rsid w:val="002E67BC"/>
    <w:rsid w:val="002E690E"/>
    <w:rsid w:val="002E6C78"/>
    <w:rsid w:val="002E7044"/>
    <w:rsid w:val="002E7099"/>
    <w:rsid w:val="002E73C1"/>
    <w:rsid w:val="002E7597"/>
    <w:rsid w:val="002E75D1"/>
    <w:rsid w:val="002E79C4"/>
    <w:rsid w:val="002E7BBE"/>
    <w:rsid w:val="002E7FC9"/>
    <w:rsid w:val="002F00ED"/>
    <w:rsid w:val="002F020B"/>
    <w:rsid w:val="002F0530"/>
    <w:rsid w:val="002F060D"/>
    <w:rsid w:val="002F0896"/>
    <w:rsid w:val="002F0BD4"/>
    <w:rsid w:val="002F0C34"/>
    <w:rsid w:val="002F11E3"/>
    <w:rsid w:val="002F1211"/>
    <w:rsid w:val="002F16E5"/>
    <w:rsid w:val="002F1B9E"/>
    <w:rsid w:val="002F1DBF"/>
    <w:rsid w:val="002F2173"/>
    <w:rsid w:val="002F25D2"/>
    <w:rsid w:val="002F2771"/>
    <w:rsid w:val="002F29A7"/>
    <w:rsid w:val="002F29E7"/>
    <w:rsid w:val="002F2AE0"/>
    <w:rsid w:val="002F2B0C"/>
    <w:rsid w:val="002F30CF"/>
    <w:rsid w:val="002F30F4"/>
    <w:rsid w:val="002F3243"/>
    <w:rsid w:val="002F368A"/>
    <w:rsid w:val="002F3829"/>
    <w:rsid w:val="002F3C54"/>
    <w:rsid w:val="002F3E76"/>
    <w:rsid w:val="002F4158"/>
    <w:rsid w:val="002F4163"/>
    <w:rsid w:val="002F46DB"/>
    <w:rsid w:val="002F49B8"/>
    <w:rsid w:val="002F4C41"/>
    <w:rsid w:val="002F4DA9"/>
    <w:rsid w:val="002F4DC4"/>
    <w:rsid w:val="002F4F3A"/>
    <w:rsid w:val="002F5462"/>
    <w:rsid w:val="002F5552"/>
    <w:rsid w:val="002F584F"/>
    <w:rsid w:val="002F58FA"/>
    <w:rsid w:val="002F59D7"/>
    <w:rsid w:val="002F59ED"/>
    <w:rsid w:val="002F5AE4"/>
    <w:rsid w:val="002F5E0E"/>
    <w:rsid w:val="002F5E6D"/>
    <w:rsid w:val="002F5FAE"/>
    <w:rsid w:val="002F640B"/>
    <w:rsid w:val="002F6511"/>
    <w:rsid w:val="002F6B69"/>
    <w:rsid w:val="002F6E15"/>
    <w:rsid w:val="002F6E60"/>
    <w:rsid w:val="002F70B6"/>
    <w:rsid w:val="002F7406"/>
    <w:rsid w:val="002F74B7"/>
    <w:rsid w:val="002F77F5"/>
    <w:rsid w:val="002F7F85"/>
    <w:rsid w:val="00300011"/>
    <w:rsid w:val="00300017"/>
    <w:rsid w:val="003004FB"/>
    <w:rsid w:val="00300638"/>
    <w:rsid w:val="003008BB"/>
    <w:rsid w:val="003009A2"/>
    <w:rsid w:val="00300AC6"/>
    <w:rsid w:val="00300C72"/>
    <w:rsid w:val="00300F5F"/>
    <w:rsid w:val="00301444"/>
    <w:rsid w:val="003016E8"/>
    <w:rsid w:val="00301B56"/>
    <w:rsid w:val="003021BA"/>
    <w:rsid w:val="00302778"/>
    <w:rsid w:val="003029EA"/>
    <w:rsid w:val="003029FA"/>
    <w:rsid w:val="00302B35"/>
    <w:rsid w:val="00302B3E"/>
    <w:rsid w:val="00302C46"/>
    <w:rsid w:val="00302C9C"/>
    <w:rsid w:val="00302CB7"/>
    <w:rsid w:val="00302EB3"/>
    <w:rsid w:val="00302F9C"/>
    <w:rsid w:val="00303057"/>
    <w:rsid w:val="0030334E"/>
    <w:rsid w:val="003033BC"/>
    <w:rsid w:val="00303420"/>
    <w:rsid w:val="00303726"/>
    <w:rsid w:val="003038F8"/>
    <w:rsid w:val="00303AF7"/>
    <w:rsid w:val="00303EDB"/>
    <w:rsid w:val="0030404E"/>
    <w:rsid w:val="003043A0"/>
    <w:rsid w:val="003044DB"/>
    <w:rsid w:val="00304521"/>
    <w:rsid w:val="00304735"/>
    <w:rsid w:val="00304A6F"/>
    <w:rsid w:val="00304B72"/>
    <w:rsid w:val="00304CB4"/>
    <w:rsid w:val="00304FA9"/>
    <w:rsid w:val="0030514E"/>
    <w:rsid w:val="003053E9"/>
    <w:rsid w:val="0030543F"/>
    <w:rsid w:val="00305737"/>
    <w:rsid w:val="00305907"/>
    <w:rsid w:val="00305932"/>
    <w:rsid w:val="00305BAD"/>
    <w:rsid w:val="00305DCA"/>
    <w:rsid w:val="0030610B"/>
    <w:rsid w:val="00306193"/>
    <w:rsid w:val="00306370"/>
    <w:rsid w:val="00306801"/>
    <w:rsid w:val="00306C09"/>
    <w:rsid w:val="00306D26"/>
    <w:rsid w:val="00306F25"/>
    <w:rsid w:val="00306F5B"/>
    <w:rsid w:val="003073EC"/>
    <w:rsid w:val="00307429"/>
    <w:rsid w:val="003075BA"/>
    <w:rsid w:val="00307B76"/>
    <w:rsid w:val="00307B83"/>
    <w:rsid w:val="00307DD4"/>
    <w:rsid w:val="0031028B"/>
    <w:rsid w:val="00310DBB"/>
    <w:rsid w:val="00310DE5"/>
    <w:rsid w:val="0031118E"/>
    <w:rsid w:val="003114FD"/>
    <w:rsid w:val="00311535"/>
    <w:rsid w:val="003115DA"/>
    <w:rsid w:val="00311600"/>
    <w:rsid w:val="003117FB"/>
    <w:rsid w:val="00311A19"/>
    <w:rsid w:val="00311B9B"/>
    <w:rsid w:val="00311D7B"/>
    <w:rsid w:val="00311E8A"/>
    <w:rsid w:val="00312030"/>
    <w:rsid w:val="003121C1"/>
    <w:rsid w:val="00312228"/>
    <w:rsid w:val="0031234E"/>
    <w:rsid w:val="00312368"/>
    <w:rsid w:val="0031267F"/>
    <w:rsid w:val="003128FA"/>
    <w:rsid w:val="00312A13"/>
    <w:rsid w:val="00312D4E"/>
    <w:rsid w:val="00312F6E"/>
    <w:rsid w:val="0031330B"/>
    <w:rsid w:val="00313490"/>
    <w:rsid w:val="00313540"/>
    <w:rsid w:val="003136AC"/>
    <w:rsid w:val="00313C82"/>
    <w:rsid w:val="00313E2A"/>
    <w:rsid w:val="00313FEF"/>
    <w:rsid w:val="003143C4"/>
    <w:rsid w:val="003144DC"/>
    <w:rsid w:val="0031461B"/>
    <w:rsid w:val="003146E9"/>
    <w:rsid w:val="003147DA"/>
    <w:rsid w:val="00314825"/>
    <w:rsid w:val="003149E7"/>
    <w:rsid w:val="00314C0F"/>
    <w:rsid w:val="00314F52"/>
    <w:rsid w:val="00315084"/>
    <w:rsid w:val="003151FF"/>
    <w:rsid w:val="00315433"/>
    <w:rsid w:val="003155B4"/>
    <w:rsid w:val="003157A0"/>
    <w:rsid w:val="00315B90"/>
    <w:rsid w:val="00315C25"/>
    <w:rsid w:val="00315C5D"/>
    <w:rsid w:val="00315CDE"/>
    <w:rsid w:val="00315EF4"/>
    <w:rsid w:val="00316032"/>
    <w:rsid w:val="003161D3"/>
    <w:rsid w:val="00316371"/>
    <w:rsid w:val="003165BB"/>
    <w:rsid w:val="003165E3"/>
    <w:rsid w:val="00316753"/>
    <w:rsid w:val="00316777"/>
    <w:rsid w:val="00316C88"/>
    <w:rsid w:val="00316CAC"/>
    <w:rsid w:val="00316CC9"/>
    <w:rsid w:val="00316E96"/>
    <w:rsid w:val="00316EBB"/>
    <w:rsid w:val="00316FB8"/>
    <w:rsid w:val="003175FA"/>
    <w:rsid w:val="0031761E"/>
    <w:rsid w:val="00317623"/>
    <w:rsid w:val="003179C0"/>
    <w:rsid w:val="00317A87"/>
    <w:rsid w:val="00317CAE"/>
    <w:rsid w:val="00317F2C"/>
    <w:rsid w:val="003200D7"/>
    <w:rsid w:val="0032016A"/>
    <w:rsid w:val="00320620"/>
    <w:rsid w:val="003206DF"/>
    <w:rsid w:val="00320784"/>
    <w:rsid w:val="00320B89"/>
    <w:rsid w:val="00321465"/>
    <w:rsid w:val="0032146C"/>
    <w:rsid w:val="003214C8"/>
    <w:rsid w:val="00321EB9"/>
    <w:rsid w:val="00322145"/>
    <w:rsid w:val="003224DD"/>
    <w:rsid w:val="003226CB"/>
    <w:rsid w:val="00322AC9"/>
    <w:rsid w:val="00322D1C"/>
    <w:rsid w:val="00322DF2"/>
    <w:rsid w:val="00322FDE"/>
    <w:rsid w:val="0032320A"/>
    <w:rsid w:val="00323647"/>
    <w:rsid w:val="0032367B"/>
    <w:rsid w:val="0032373B"/>
    <w:rsid w:val="00323869"/>
    <w:rsid w:val="00323BA3"/>
    <w:rsid w:val="00323F73"/>
    <w:rsid w:val="0032424C"/>
    <w:rsid w:val="00324514"/>
    <w:rsid w:val="003248E8"/>
    <w:rsid w:val="00324C60"/>
    <w:rsid w:val="00324EE6"/>
    <w:rsid w:val="003252C2"/>
    <w:rsid w:val="00325484"/>
    <w:rsid w:val="00325538"/>
    <w:rsid w:val="0032576B"/>
    <w:rsid w:val="003258FD"/>
    <w:rsid w:val="00325E87"/>
    <w:rsid w:val="003260F4"/>
    <w:rsid w:val="003261E6"/>
    <w:rsid w:val="00326251"/>
    <w:rsid w:val="00326359"/>
    <w:rsid w:val="0032644D"/>
    <w:rsid w:val="00326634"/>
    <w:rsid w:val="00326838"/>
    <w:rsid w:val="00326A8F"/>
    <w:rsid w:val="00327064"/>
    <w:rsid w:val="0032706B"/>
    <w:rsid w:val="003272A0"/>
    <w:rsid w:val="0032758E"/>
    <w:rsid w:val="0032759B"/>
    <w:rsid w:val="00327770"/>
    <w:rsid w:val="003278AA"/>
    <w:rsid w:val="00327D9F"/>
    <w:rsid w:val="00327EAE"/>
    <w:rsid w:val="003301D5"/>
    <w:rsid w:val="00330C4F"/>
    <w:rsid w:val="00330D05"/>
    <w:rsid w:val="00330E6A"/>
    <w:rsid w:val="00330FE9"/>
    <w:rsid w:val="0033127C"/>
    <w:rsid w:val="003314C0"/>
    <w:rsid w:val="00331AB6"/>
    <w:rsid w:val="00331BC4"/>
    <w:rsid w:val="00331CA1"/>
    <w:rsid w:val="00331D1F"/>
    <w:rsid w:val="00331E2A"/>
    <w:rsid w:val="003321F5"/>
    <w:rsid w:val="00332291"/>
    <w:rsid w:val="0033247B"/>
    <w:rsid w:val="00332486"/>
    <w:rsid w:val="0033249C"/>
    <w:rsid w:val="003326E3"/>
    <w:rsid w:val="003326ED"/>
    <w:rsid w:val="00332748"/>
    <w:rsid w:val="00332DF5"/>
    <w:rsid w:val="00333029"/>
    <w:rsid w:val="003332E5"/>
    <w:rsid w:val="0033336A"/>
    <w:rsid w:val="003338F0"/>
    <w:rsid w:val="003339E7"/>
    <w:rsid w:val="00333B74"/>
    <w:rsid w:val="00333BAF"/>
    <w:rsid w:val="00333E26"/>
    <w:rsid w:val="00333E71"/>
    <w:rsid w:val="003342EC"/>
    <w:rsid w:val="003344DE"/>
    <w:rsid w:val="00334822"/>
    <w:rsid w:val="00334C69"/>
    <w:rsid w:val="00334DE3"/>
    <w:rsid w:val="003352B2"/>
    <w:rsid w:val="0033546B"/>
    <w:rsid w:val="003354CF"/>
    <w:rsid w:val="0033550C"/>
    <w:rsid w:val="00335524"/>
    <w:rsid w:val="00335557"/>
    <w:rsid w:val="003356A9"/>
    <w:rsid w:val="003360AE"/>
    <w:rsid w:val="00336238"/>
    <w:rsid w:val="003368ED"/>
    <w:rsid w:val="00336986"/>
    <w:rsid w:val="00336AAF"/>
    <w:rsid w:val="00336B8C"/>
    <w:rsid w:val="00337253"/>
    <w:rsid w:val="0033732C"/>
    <w:rsid w:val="00337501"/>
    <w:rsid w:val="00337680"/>
    <w:rsid w:val="003376E3"/>
    <w:rsid w:val="00337CE0"/>
    <w:rsid w:val="00337EFA"/>
    <w:rsid w:val="00340334"/>
    <w:rsid w:val="003403D0"/>
    <w:rsid w:val="00340958"/>
    <w:rsid w:val="0034099E"/>
    <w:rsid w:val="00340A3D"/>
    <w:rsid w:val="00340BE2"/>
    <w:rsid w:val="00340C4C"/>
    <w:rsid w:val="00340C74"/>
    <w:rsid w:val="00340D49"/>
    <w:rsid w:val="00340E71"/>
    <w:rsid w:val="003410F6"/>
    <w:rsid w:val="003414EE"/>
    <w:rsid w:val="0034161A"/>
    <w:rsid w:val="003416F6"/>
    <w:rsid w:val="00341768"/>
    <w:rsid w:val="003417D2"/>
    <w:rsid w:val="00341F61"/>
    <w:rsid w:val="00341F72"/>
    <w:rsid w:val="00341FB0"/>
    <w:rsid w:val="0034208B"/>
    <w:rsid w:val="00342123"/>
    <w:rsid w:val="00342336"/>
    <w:rsid w:val="0034275A"/>
    <w:rsid w:val="00342CD6"/>
    <w:rsid w:val="00342FC6"/>
    <w:rsid w:val="00342FE4"/>
    <w:rsid w:val="003433B5"/>
    <w:rsid w:val="00343405"/>
    <w:rsid w:val="00343415"/>
    <w:rsid w:val="00343714"/>
    <w:rsid w:val="0034389D"/>
    <w:rsid w:val="00343B00"/>
    <w:rsid w:val="00343B90"/>
    <w:rsid w:val="00343E7B"/>
    <w:rsid w:val="00343E8B"/>
    <w:rsid w:val="00343F35"/>
    <w:rsid w:val="00343FD2"/>
    <w:rsid w:val="00344800"/>
    <w:rsid w:val="00344E5D"/>
    <w:rsid w:val="003452D5"/>
    <w:rsid w:val="00345D68"/>
    <w:rsid w:val="00346013"/>
    <w:rsid w:val="003461E2"/>
    <w:rsid w:val="003462A4"/>
    <w:rsid w:val="00346421"/>
    <w:rsid w:val="003469BD"/>
    <w:rsid w:val="003472B3"/>
    <w:rsid w:val="0034767A"/>
    <w:rsid w:val="003477AB"/>
    <w:rsid w:val="0034782C"/>
    <w:rsid w:val="003478E7"/>
    <w:rsid w:val="00347F15"/>
    <w:rsid w:val="00347FC9"/>
    <w:rsid w:val="00350030"/>
    <w:rsid w:val="0035062A"/>
    <w:rsid w:val="003506F9"/>
    <w:rsid w:val="00350A4C"/>
    <w:rsid w:val="00350D24"/>
    <w:rsid w:val="00350D52"/>
    <w:rsid w:val="00350E0B"/>
    <w:rsid w:val="00350EFC"/>
    <w:rsid w:val="0035117A"/>
    <w:rsid w:val="003515C0"/>
    <w:rsid w:val="003515DF"/>
    <w:rsid w:val="003516F8"/>
    <w:rsid w:val="00351C49"/>
    <w:rsid w:val="00351DB0"/>
    <w:rsid w:val="00351E0F"/>
    <w:rsid w:val="00351FF9"/>
    <w:rsid w:val="00352709"/>
    <w:rsid w:val="003532A8"/>
    <w:rsid w:val="00353399"/>
    <w:rsid w:val="003533B6"/>
    <w:rsid w:val="003534F1"/>
    <w:rsid w:val="00353A61"/>
    <w:rsid w:val="00353C16"/>
    <w:rsid w:val="00353EAC"/>
    <w:rsid w:val="0035405B"/>
    <w:rsid w:val="0035498A"/>
    <w:rsid w:val="00354A8A"/>
    <w:rsid w:val="00354C50"/>
    <w:rsid w:val="00354C82"/>
    <w:rsid w:val="00354D27"/>
    <w:rsid w:val="00355849"/>
    <w:rsid w:val="003559B0"/>
    <w:rsid w:val="00355C36"/>
    <w:rsid w:val="00355D5A"/>
    <w:rsid w:val="00355E34"/>
    <w:rsid w:val="00355EAD"/>
    <w:rsid w:val="00356181"/>
    <w:rsid w:val="00356351"/>
    <w:rsid w:val="0035661C"/>
    <w:rsid w:val="00356A41"/>
    <w:rsid w:val="00356BDF"/>
    <w:rsid w:val="00356C0A"/>
    <w:rsid w:val="00356FCB"/>
    <w:rsid w:val="00357AA2"/>
    <w:rsid w:val="00357E4F"/>
    <w:rsid w:val="00357F46"/>
    <w:rsid w:val="00357F92"/>
    <w:rsid w:val="0036008C"/>
    <w:rsid w:val="00360673"/>
    <w:rsid w:val="003606CC"/>
    <w:rsid w:val="003608BA"/>
    <w:rsid w:val="00360B4D"/>
    <w:rsid w:val="00360E51"/>
    <w:rsid w:val="00360F60"/>
    <w:rsid w:val="00361308"/>
    <w:rsid w:val="0036159E"/>
    <w:rsid w:val="003615C5"/>
    <w:rsid w:val="003615FD"/>
    <w:rsid w:val="003617EE"/>
    <w:rsid w:val="00361B11"/>
    <w:rsid w:val="00361E31"/>
    <w:rsid w:val="00361E3A"/>
    <w:rsid w:val="003620DB"/>
    <w:rsid w:val="0036251F"/>
    <w:rsid w:val="00362973"/>
    <w:rsid w:val="00362D8C"/>
    <w:rsid w:val="00362E80"/>
    <w:rsid w:val="00362F3C"/>
    <w:rsid w:val="00362FC2"/>
    <w:rsid w:val="0036339C"/>
    <w:rsid w:val="0036340E"/>
    <w:rsid w:val="0036397D"/>
    <w:rsid w:val="00363ABD"/>
    <w:rsid w:val="00363DD6"/>
    <w:rsid w:val="003640BE"/>
    <w:rsid w:val="003641D9"/>
    <w:rsid w:val="0036425A"/>
    <w:rsid w:val="00364484"/>
    <w:rsid w:val="003646D3"/>
    <w:rsid w:val="003647D4"/>
    <w:rsid w:val="003647D6"/>
    <w:rsid w:val="00364F39"/>
    <w:rsid w:val="00364FAA"/>
    <w:rsid w:val="0036523C"/>
    <w:rsid w:val="00365421"/>
    <w:rsid w:val="0036550C"/>
    <w:rsid w:val="003656C7"/>
    <w:rsid w:val="0036574C"/>
    <w:rsid w:val="003659E4"/>
    <w:rsid w:val="00365AC1"/>
    <w:rsid w:val="00365DDA"/>
    <w:rsid w:val="00365F7F"/>
    <w:rsid w:val="003663DA"/>
    <w:rsid w:val="00366607"/>
    <w:rsid w:val="0036668D"/>
    <w:rsid w:val="00366746"/>
    <w:rsid w:val="00366B13"/>
    <w:rsid w:val="00366DEC"/>
    <w:rsid w:val="00366F23"/>
    <w:rsid w:val="0036703E"/>
    <w:rsid w:val="0036708C"/>
    <w:rsid w:val="00367134"/>
    <w:rsid w:val="003674F8"/>
    <w:rsid w:val="00367595"/>
    <w:rsid w:val="003675A3"/>
    <w:rsid w:val="0036770C"/>
    <w:rsid w:val="00367CBF"/>
    <w:rsid w:val="00367E4C"/>
    <w:rsid w:val="00370015"/>
    <w:rsid w:val="0037092C"/>
    <w:rsid w:val="00370A92"/>
    <w:rsid w:val="00370BA6"/>
    <w:rsid w:val="00370BC8"/>
    <w:rsid w:val="00370EB1"/>
    <w:rsid w:val="00371063"/>
    <w:rsid w:val="0037132D"/>
    <w:rsid w:val="003713C1"/>
    <w:rsid w:val="003714B1"/>
    <w:rsid w:val="0037167A"/>
    <w:rsid w:val="00371B98"/>
    <w:rsid w:val="00371C45"/>
    <w:rsid w:val="00371ECE"/>
    <w:rsid w:val="00372022"/>
    <w:rsid w:val="00372238"/>
    <w:rsid w:val="003727F0"/>
    <w:rsid w:val="00372CEF"/>
    <w:rsid w:val="00372EFC"/>
    <w:rsid w:val="00373305"/>
    <w:rsid w:val="003734A8"/>
    <w:rsid w:val="00373986"/>
    <w:rsid w:val="00373AC6"/>
    <w:rsid w:val="00373CDF"/>
    <w:rsid w:val="00373EE4"/>
    <w:rsid w:val="0037427E"/>
    <w:rsid w:val="003744C6"/>
    <w:rsid w:val="00374558"/>
    <w:rsid w:val="003747F5"/>
    <w:rsid w:val="00374CB3"/>
    <w:rsid w:val="003751F0"/>
    <w:rsid w:val="003752B8"/>
    <w:rsid w:val="00375350"/>
    <w:rsid w:val="003754BE"/>
    <w:rsid w:val="00375571"/>
    <w:rsid w:val="00375825"/>
    <w:rsid w:val="00375CAE"/>
    <w:rsid w:val="00375EB8"/>
    <w:rsid w:val="0037616C"/>
    <w:rsid w:val="00376317"/>
    <w:rsid w:val="0037632B"/>
    <w:rsid w:val="0037687A"/>
    <w:rsid w:val="003768B4"/>
    <w:rsid w:val="0037729B"/>
    <w:rsid w:val="003773A8"/>
    <w:rsid w:val="003773CF"/>
    <w:rsid w:val="00377421"/>
    <w:rsid w:val="003775F5"/>
    <w:rsid w:val="0037760B"/>
    <w:rsid w:val="0037769B"/>
    <w:rsid w:val="00377727"/>
    <w:rsid w:val="00377A24"/>
    <w:rsid w:val="00377AE4"/>
    <w:rsid w:val="00377C3B"/>
    <w:rsid w:val="00377C6A"/>
    <w:rsid w:val="0038007D"/>
    <w:rsid w:val="00380159"/>
    <w:rsid w:val="00380427"/>
    <w:rsid w:val="003804EE"/>
    <w:rsid w:val="00380579"/>
    <w:rsid w:val="00380A87"/>
    <w:rsid w:val="00380FC7"/>
    <w:rsid w:val="0038127C"/>
    <w:rsid w:val="00381B4D"/>
    <w:rsid w:val="00381B99"/>
    <w:rsid w:val="00381DD4"/>
    <w:rsid w:val="003820E3"/>
    <w:rsid w:val="00382E02"/>
    <w:rsid w:val="00382E3A"/>
    <w:rsid w:val="00382EAB"/>
    <w:rsid w:val="00382F42"/>
    <w:rsid w:val="0038300D"/>
    <w:rsid w:val="0038321A"/>
    <w:rsid w:val="00383254"/>
    <w:rsid w:val="003834D7"/>
    <w:rsid w:val="003834EA"/>
    <w:rsid w:val="003835CD"/>
    <w:rsid w:val="00383736"/>
    <w:rsid w:val="00383820"/>
    <w:rsid w:val="003838DE"/>
    <w:rsid w:val="0038396B"/>
    <w:rsid w:val="003839E2"/>
    <w:rsid w:val="00383C94"/>
    <w:rsid w:val="00383DE8"/>
    <w:rsid w:val="00384128"/>
    <w:rsid w:val="00384B70"/>
    <w:rsid w:val="00384B92"/>
    <w:rsid w:val="00385029"/>
    <w:rsid w:val="00385042"/>
    <w:rsid w:val="003852A3"/>
    <w:rsid w:val="003853E1"/>
    <w:rsid w:val="00385EFA"/>
    <w:rsid w:val="0038618D"/>
    <w:rsid w:val="003863C7"/>
    <w:rsid w:val="003865C0"/>
    <w:rsid w:val="00386A65"/>
    <w:rsid w:val="00386B19"/>
    <w:rsid w:val="00386B3D"/>
    <w:rsid w:val="00386F21"/>
    <w:rsid w:val="003870F3"/>
    <w:rsid w:val="00387421"/>
    <w:rsid w:val="003876D2"/>
    <w:rsid w:val="00387A95"/>
    <w:rsid w:val="00387E3D"/>
    <w:rsid w:val="00387ED5"/>
    <w:rsid w:val="00390060"/>
    <w:rsid w:val="00390168"/>
    <w:rsid w:val="00390492"/>
    <w:rsid w:val="00390753"/>
    <w:rsid w:val="00390AC2"/>
    <w:rsid w:val="00390BCB"/>
    <w:rsid w:val="00390DFC"/>
    <w:rsid w:val="00390F36"/>
    <w:rsid w:val="00390F73"/>
    <w:rsid w:val="00390FFB"/>
    <w:rsid w:val="0039149A"/>
    <w:rsid w:val="00391591"/>
    <w:rsid w:val="0039181B"/>
    <w:rsid w:val="00391C70"/>
    <w:rsid w:val="00391CC6"/>
    <w:rsid w:val="00391F9B"/>
    <w:rsid w:val="00392279"/>
    <w:rsid w:val="003923FD"/>
    <w:rsid w:val="0039261C"/>
    <w:rsid w:val="003928CA"/>
    <w:rsid w:val="00392917"/>
    <w:rsid w:val="00392C16"/>
    <w:rsid w:val="00392D56"/>
    <w:rsid w:val="00392E84"/>
    <w:rsid w:val="00393042"/>
    <w:rsid w:val="0039317C"/>
    <w:rsid w:val="00393631"/>
    <w:rsid w:val="003936BC"/>
    <w:rsid w:val="003936C4"/>
    <w:rsid w:val="00393853"/>
    <w:rsid w:val="00393996"/>
    <w:rsid w:val="003939AB"/>
    <w:rsid w:val="00393A2A"/>
    <w:rsid w:val="00393DF1"/>
    <w:rsid w:val="0039428D"/>
    <w:rsid w:val="00394476"/>
    <w:rsid w:val="0039448E"/>
    <w:rsid w:val="00394F1E"/>
    <w:rsid w:val="00395367"/>
    <w:rsid w:val="00395739"/>
    <w:rsid w:val="00395751"/>
    <w:rsid w:val="00395803"/>
    <w:rsid w:val="0039581D"/>
    <w:rsid w:val="003959A7"/>
    <w:rsid w:val="003959B7"/>
    <w:rsid w:val="00395F78"/>
    <w:rsid w:val="003962CE"/>
    <w:rsid w:val="003963AD"/>
    <w:rsid w:val="003965FA"/>
    <w:rsid w:val="00396A5D"/>
    <w:rsid w:val="00396A7B"/>
    <w:rsid w:val="00396ACC"/>
    <w:rsid w:val="00396B2F"/>
    <w:rsid w:val="00396D5B"/>
    <w:rsid w:val="00397023"/>
    <w:rsid w:val="003971CC"/>
    <w:rsid w:val="0039796A"/>
    <w:rsid w:val="00397E41"/>
    <w:rsid w:val="003A003C"/>
    <w:rsid w:val="003A02FD"/>
    <w:rsid w:val="003A03F6"/>
    <w:rsid w:val="003A042F"/>
    <w:rsid w:val="003A06E2"/>
    <w:rsid w:val="003A0769"/>
    <w:rsid w:val="003A09AF"/>
    <w:rsid w:val="003A0BF8"/>
    <w:rsid w:val="003A1104"/>
    <w:rsid w:val="003A165D"/>
    <w:rsid w:val="003A197F"/>
    <w:rsid w:val="003A1F5C"/>
    <w:rsid w:val="003A25CC"/>
    <w:rsid w:val="003A25CD"/>
    <w:rsid w:val="003A263A"/>
    <w:rsid w:val="003A2739"/>
    <w:rsid w:val="003A29F5"/>
    <w:rsid w:val="003A3099"/>
    <w:rsid w:val="003A3139"/>
    <w:rsid w:val="003A3340"/>
    <w:rsid w:val="003A3410"/>
    <w:rsid w:val="003A3656"/>
    <w:rsid w:val="003A3962"/>
    <w:rsid w:val="003A39A7"/>
    <w:rsid w:val="003A3CD5"/>
    <w:rsid w:val="003A40C8"/>
    <w:rsid w:val="003A41F4"/>
    <w:rsid w:val="003A4229"/>
    <w:rsid w:val="003A4279"/>
    <w:rsid w:val="003A427C"/>
    <w:rsid w:val="003A461C"/>
    <w:rsid w:val="003A47E9"/>
    <w:rsid w:val="003A494E"/>
    <w:rsid w:val="003A4A37"/>
    <w:rsid w:val="003A4C47"/>
    <w:rsid w:val="003A4E1C"/>
    <w:rsid w:val="003A4EDD"/>
    <w:rsid w:val="003A4FA9"/>
    <w:rsid w:val="003A51E8"/>
    <w:rsid w:val="003A55C9"/>
    <w:rsid w:val="003A56D1"/>
    <w:rsid w:val="003A571C"/>
    <w:rsid w:val="003A5812"/>
    <w:rsid w:val="003A5C74"/>
    <w:rsid w:val="003A5D1C"/>
    <w:rsid w:val="003A607C"/>
    <w:rsid w:val="003A61E0"/>
    <w:rsid w:val="003A6324"/>
    <w:rsid w:val="003A6F09"/>
    <w:rsid w:val="003A7059"/>
    <w:rsid w:val="003A73AF"/>
    <w:rsid w:val="003A78D5"/>
    <w:rsid w:val="003B0311"/>
    <w:rsid w:val="003B03A9"/>
    <w:rsid w:val="003B0539"/>
    <w:rsid w:val="003B064E"/>
    <w:rsid w:val="003B0789"/>
    <w:rsid w:val="003B0B91"/>
    <w:rsid w:val="003B0B98"/>
    <w:rsid w:val="003B0D50"/>
    <w:rsid w:val="003B0F1A"/>
    <w:rsid w:val="003B10B2"/>
    <w:rsid w:val="003B10D8"/>
    <w:rsid w:val="003B1145"/>
    <w:rsid w:val="003B1488"/>
    <w:rsid w:val="003B174F"/>
    <w:rsid w:val="003B1A39"/>
    <w:rsid w:val="003B1C5B"/>
    <w:rsid w:val="003B1C72"/>
    <w:rsid w:val="003B1D6B"/>
    <w:rsid w:val="003B1FE3"/>
    <w:rsid w:val="003B2298"/>
    <w:rsid w:val="003B23B4"/>
    <w:rsid w:val="003B23CC"/>
    <w:rsid w:val="003B2925"/>
    <w:rsid w:val="003B2EBA"/>
    <w:rsid w:val="003B2F27"/>
    <w:rsid w:val="003B3322"/>
    <w:rsid w:val="003B3379"/>
    <w:rsid w:val="003B3456"/>
    <w:rsid w:val="003B385E"/>
    <w:rsid w:val="003B3873"/>
    <w:rsid w:val="003B389C"/>
    <w:rsid w:val="003B3A07"/>
    <w:rsid w:val="003B3C24"/>
    <w:rsid w:val="003B3C47"/>
    <w:rsid w:val="003B3F96"/>
    <w:rsid w:val="003B4106"/>
    <w:rsid w:val="003B41FF"/>
    <w:rsid w:val="003B4454"/>
    <w:rsid w:val="003B47A0"/>
    <w:rsid w:val="003B4838"/>
    <w:rsid w:val="003B4AF2"/>
    <w:rsid w:val="003B5419"/>
    <w:rsid w:val="003B59C6"/>
    <w:rsid w:val="003B5B2B"/>
    <w:rsid w:val="003B5B64"/>
    <w:rsid w:val="003B5DBF"/>
    <w:rsid w:val="003B5DF2"/>
    <w:rsid w:val="003B620B"/>
    <w:rsid w:val="003B6329"/>
    <w:rsid w:val="003B64E4"/>
    <w:rsid w:val="003B65A5"/>
    <w:rsid w:val="003B684B"/>
    <w:rsid w:val="003B68A7"/>
    <w:rsid w:val="003B6B6D"/>
    <w:rsid w:val="003B6D30"/>
    <w:rsid w:val="003B6E01"/>
    <w:rsid w:val="003B715A"/>
    <w:rsid w:val="003B72B9"/>
    <w:rsid w:val="003B7539"/>
    <w:rsid w:val="003B7749"/>
    <w:rsid w:val="003B7787"/>
    <w:rsid w:val="003B779B"/>
    <w:rsid w:val="003B7DD6"/>
    <w:rsid w:val="003B7E00"/>
    <w:rsid w:val="003C03C8"/>
    <w:rsid w:val="003C04CE"/>
    <w:rsid w:val="003C056E"/>
    <w:rsid w:val="003C073C"/>
    <w:rsid w:val="003C0780"/>
    <w:rsid w:val="003C0A1F"/>
    <w:rsid w:val="003C0ACB"/>
    <w:rsid w:val="003C0E05"/>
    <w:rsid w:val="003C1100"/>
    <w:rsid w:val="003C12AF"/>
    <w:rsid w:val="003C12B2"/>
    <w:rsid w:val="003C157A"/>
    <w:rsid w:val="003C15FE"/>
    <w:rsid w:val="003C1810"/>
    <w:rsid w:val="003C19C4"/>
    <w:rsid w:val="003C1AA1"/>
    <w:rsid w:val="003C1CA0"/>
    <w:rsid w:val="003C1CF4"/>
    <w:rsid w:val="003C1E06"/>
    <w:rsid w:val="003C1F26"/>
    <w:rsid w:val="003C1F61"/>
    <w:rsid w:val="003C1F92"/>
    <w:rsid w:val="003C2270"/>
    <w:rsid w:val="003C23A0"/>
    <w:rsid w:val="003C267B"/>
    <w:rsid w:val="003C3284"/>
    <w:rsid w:val="003C3325"/>
    <w:rsid w:val="003C3339"/>
    <w:rsid w:val="003C344E"/>
    <w:rsid w:val="003C35EF"/>
    <w:rsid w:val="003C3986"/>
    <w:rsid w:val="003C3B3B"/>
    <w:rsid w:val="003C3B47"/>
    <w:rsid w:val="003C3B92"/>
    <w:rsid w:val="003C3E28"/>
    <w:rsid w:val="003C406B"/>
    <w:rsid w:val="003C40B3"/>
    <w:rsid w:val="003C42BF"/>
    <w:rsid w:val="003C42C4"/>
    <w:rsid w:val="003C45C8"/>
    <w:rsid w:val="003C4678"/>
    <w:rsid w:val="003C4777"/>
    <w:rsid w:val="003C47E8"/>
    <w:rsid w:val="003C49C5"/>
    <w:rsid w:val="003C4A4E"/>
    <w:rsid w:val="003C4B3F"/>
    <w:rsid w:val="003C4BE4"/>
    <w:rsid w:val="003C4DE4"/>
    <w:rsid w:val="003C52FB"/>
    <w:rsid w:val="003C534C"/>
    <w:rsid w:val="003C53AE"/>
    <w:rsid w:val="003C53F4"/>
    <w:rsid w:val="003C58BB"/>
    <w:rsid w:val="003C5B53"/>
    <w:rsid w:val="003C5BB2"/>
    <w:rsid w:val="003C6DFE"/>
    <w:rsid w:val="003C6F48"/>
    <w:rsid w:val="003C733E"/>
    <w:rsid w:val="003C73AF"/>
    <w:rsid w:val="003C73B1"/>
    <w:rsid w:val="003C7496"/>
    <w:rsid w:val="003C78F7"/>
    <w:rsid w:val="003C79B2"/>
    <w:rsid w:val="003C7B03"/>
    <w:rsid w:val="003C7DD2"/>
    <w:rsid w:val="003D00A2"/>
    <w:rsid w:val="003D00BD"/>
    <w:rsid w:val="003D0228"/>
    <w:rsid w:val="003D032D"/>
    <w:rsid w:val="003D045F"/>
    <w:rsid w:val="003D04AA"/>
    <w:rsid w:val="003D04FE"/>
    <w:rsid w:val="003D0819"/>
    <w:rsid w:val="003D092D"/>
    <w:rsid w:val="003D0D0E"/>
    <w:rsid w:val="003D0FE6"/>
    <w:rsid w:val="003D1501"/>
    <w:rsid w:val="003D15EF"/>
    <w:rsid w:val="003D1907"/>
    <w:rsid w:val="003D1A80"/>
    <w:rsid w:val="003D1B93"/>
    <w:rsid w:val="003D1DEE"/>
    <w:rsid w:val="003D1E1B"/>
    <w:rsid w:val="003D1E7D"/>
    <w:rsid w:val="003D1FA8"/>
    <w:rsid w:val="003D207C"/>
    <w:rsid w:val="003D21DC"/>
    <w:rsid w:val="003D2D3F"/>
    <w:rsid w:val="003D2FBD"/>
    <w:rsid w:val="003D316A"/>
    <w:rsid w:val="003D3174"/>
    <w:rsid w:val="003D3237"/>
    <w:rsid w:val="003D34A1"/>
    <w:rsid w:val="003D353E"/>
    <w:rsid w:val="003D368F"/>
    <w:rsid w:val="003D3AB4"/>
    <w:rsid w:val="003D3B85"/>
    <w:rsid w:val="003D3DA9"/>
    <w:rsid w:val="003D4095"/>
    <w:rsid w:val="003D42C4"/>
    <w:rsid w:val="003D451C"/>
    <w:rsid w:val="003D473E"/>
    <w:rsid w:val="003D4895"/>
    <w:rsid w:val="003D4BE4"/>
    <w:rsid w:val="003D4F6F"/>
    <w:rsid w:val="003D5137"/>
    <w:rsid w:val="003D5412"/>
    <w:rsid w:val="003D545A"/>
    <w:rsid w:val="003D5477"/>
    <w:rsid w:val="003D5D1B"/>
    <w:rsid w:val="003D5E18"/>
    <w:rsid w:val="003D5FB9"/>
    <w:rsid w:val="003D6095"/>
    <w:rsid w:val="003D60FC"/>
    <w:rsid w:val="003D610D"/>
    <w:rsid w:val="003D6335"/>
    <w:rsid w:val="003D65B2"/>
    <w:rsid w:val="003D67D9"/>
    <w:rsid w:val="003D6B5B"/>
    <w:rsid w:val="003D6E31"/>
    <w:rsid w:val="003D7129"/>
    <w:rsid w:val="003D71D7"/>
    <w:rsid w:val="003D72F6"/>
    <w:rsid w:val="003D74DF"/>
    <w:rsid w:val="003D753B"/>
    <w:rsid w:val="003D75C0"/>
    <w:rsid w:val="003D783A"/>
    <w:rsid w:val="003D7867"/>
    <w:rsid w:val="003D7E39"/>
    <w:rsid w:val="003D7F02"/>
    <w:rsid w:val="003E00EB"/>
    <w:rsid w:val="003E01A4"/>
    <w:rsid w:val="003E041A"/>
    <w:rsid w:val="003E04FE"/>
    <w:rsid w:val="003E060B"/>
    <w:rsid w:val="003E075F"/>
    <w:rsid w:val="003E0AB7"/>
    <w:rsid w:val="003E0B7A"/>
    <w:rsid w:val="003E0DD3"/>
    <w:rsid w:val="003E0E07"/>
    <w:rsid w:val="003E0E0C"/>
    <w:rsid w:val="003E0F04"/>
    <w:rsid w:val="003E138D"/>
    <w:rsid w:val="003E15B5"/>
    <w:rsid w:val="003E161E"/>
    <w:rsid w:val="003E16A5"/>
    <w:rsid w:val="003E1820"/>
    <w:rsid w:val="003E1A46"/>
    <w:rsid w:val="003E1F06"/>
    <w:rsid w:val="003E208E"/>
    <w:rsid w:val="003E2448"/>
    <w:rsid w:val="003E2669"/>
    <w:rsid w:val="003E269D"/>
    <w:rsid w:val="003E2961"/>
    <w:rsid w:val="003E326E"/>
    <w:rsid w:val="003E32C9"/>
    <w:rsid w:val="003E32D0"/>
    <w:rsid w:val="003E34F8"/>
    <w:rsid w:val="003E3641"/>
    <w:rsid w:val="003E39F9"/>
    <w:rsid w:val="003E3A62"/>
    <w:rsid w:val="003E3D63"/>
    <w:rsid w:val="003E3DEC"/>
    <w:rsid w:val="003E3E6F"/>
    <w:rsid w:val="003E3F0D"/>
    <w:rsid w:val="003E3F28"/>
    <w:rsid w:val="003E3FFD"/>
    <w:rsid w:val="003E412A"/>
    <w:rsid w:val="003E41AA"/>
    <w:rsid w:val="003E4435"/>
    <w:rsid w:val="003E49BA"/>
    <w:rsid w:val="003E4BEE"/>
    <w:rsid w:val="003E4C03"/>
    <w:rsid w:val="003E4C75"/>
    <w:rsid w:val="003E4E43"/>
    <w:rsid w:val="003E51B7"/>
    <w:rsid w:val="003E56D8"/>
    <w:rsid w:val="003E5727"/>
    <w:rsid w:val="003E5785"/>
    <w:rsid w:val="003E5C5E"/>
    <w:rsid w:val="003E5E18"/>
    <w:rsid w:val="003E5E36"/>
    <w:rsid w:val="003E658B"/>
    <w:rsid w:val="003E65A4"/>
    <w:rsid w:val="003E70BF"/>
    <w:rsid w:val="003E7135"/>
    <w:rsid w:val="003E73C9"/>
    <w:rsid w:val="003E7A43"/>
    <w:rsid w:val="003E7F81"/>
    <w:rsid w:val="003F0411"/>
    <w:rsid w:val="003F0443"/>
    <w:rsid w:val="003F050D"/>
    <w:rsid w:val="003F063C"/>
    <w:rsid w:val="003F0ADC"/>
    <w:rsid w:val="003F0C34"/>
    <w:rsid w:val="003F0F8E"/>
    <w:rsid w:val="003F10E2"/>
    <w:rsid w:val="003F1349"/>
    <w:rsid w:val="003F167E"/>
    <w:rsid w:val="003F1AF0"/>
    <w:rsid w:val="003F1F8B"/>
    <w:rsid w:val="003F1FF2"/>
    <w:rsid w:val="003F2224"/>
    <w:rsid w:val="003F2523"/>
    <w:rsid w:val="003F2A47"/>
    <w:rsid w:val="003F321B"/>
    <w:rsid w:val="003F33F3"/>
    <w:rsid w:val="003F38BD"/>
    <w:rsid w:val="003F3970"/>
    <w:rsid w:val="003F3BE3"/>
    <w:rsid w:val="003F3D46"/>
    <w:rsid w:val="003F3E93"/>
    <w:rsid w:val="003F3EA8"/>
    <w:rsid w:val="003F4182"/>
    <w:rsid w:val="003F41AF"/>
    <w:rsid w:val="003F42DC"/>
    <w:rsid w:val="003F48B6"/>
    <w:rsid w:val="003F494D"/>
    <w:rsid w:val="003F4C01"/>
    <w:rsid w:val="003F4CF8"/>
    <w:rsid w:val="003F4D3E"/>
    <w:rsid w:val="003F4D6F"/>
    <w:rsid w:val="003F5041"/>
    <w:rsid w:val="003F5139"/>
    <w:rsid w:val="003F5725"/>
    <w:rsid w:val="003F589B"/>
    <w:rsid w:val="003F58DB"/>
    <w:rsid w:val="003F5CDF"/>
    <w:rsid w:val="003F602F"/>
    <w:rsid w:val="003F6092"/>
    <w:rsid w:val="003F63D9"/>
    <w:rsid w:val="003F65A6"/>
    <w:rsid w:val="003F68C6"/>
    <w:rsid w:val="003F6CF1"/>
    <w:rsid w:val="003F6FF0"/>
    <w:rsid w:val="003F7103"/>
    <w:rsid w:val="003F7108"/>
    <w:rsid w:val="003F7332"/>
    <w:rsid w:val="003F741B"/>
    <w:rsid w:val="003F7477"/>
    <w:rsid w:val="003F759A"/>
    <w:rsid w:val="003F7644"/>
    <w:rsid w:val="003F7976"/>
    <w:rsid w:val="003F7B86"/>
    <w:rsid w:val="003F7C25"/>
    <w:rsid w:val="003F7E59"/>
    <w:rsid w:val="003F7F2D"/>
    <w:rsid w:val="003F7F93"/>
    <w:rsid w:val="0040054B"/>
    <w:rsid w:val="00400B9E"/>
    <w:rsid w:val="00400C8B"/>
    <w:rsid w:val="00400D80"/>
    <w:rsid w:val="00400EB8"/>
    <w:rsid w:val="00400FA8"/>
    <w:rsid w:val="00401086"/>
    <w:rsid w:val="00401420"/>
    <w:rsid w:val="0040154E"/>
    <w:rsid w:val="00401981"/>
    <w:rsid w:val="00401AC9"/>
    <w:rsid w:val="00401D0D"/>
    <w:rsid w:val="00402097"/>
    <w:rsid w:val="00402290"/>
    <w:rsid w:val="004027DD"/>
    <w:rsid w:val="004027EB"/>
    <w:rsid w:val="00402AC9"/>
    <w:rsid w:val="00402D22"/>
    <w:rsid w:val="00402E2F"/>
    <w:rsid w:val="00403224"/>
    <w:rsid w:val="00403404"/>
    <w:rsid w:val="00403542"/>
    <w:rsid w:val="004039FE"/>
    <w:rsid w:val="00403A1B"/>
    <w:rsid w:val="00403B33"/>
    <w:rsid w:val="00403BB3"/>
    <w:rsid w:val="00404297"/>
    <w:rsid w:val="00404315"/>
    <w:rsid w:val="00404744"/>
    <w:rsid w:val="00404886"/>
    <w:rsid w:val="004048BD"/>
    <w:rsid w:val="00404B1C"/>
    <w:rsid w:val="00404BAC"/>
    <w:rsid w:val="00404C40"/>
    <w:rsid w:val="00404DAF"/>
    <w:rsid w:val="00404E4C"/>
    <w:rsid w:val="00404EFA"/>
    <w:rsid w:val="00404F4F"/>
    <w:rsid w:val="004050D0"/>
    <w:rsid w:val="004051B8"/>
    <w:rsid w:val="004052BC"/>
    <w:rsid w:val="0040546E"/>
    <w:rsid w:val="00405484"/>
    <w:rsid w:val="004057AC"/>
    <w:rsid w:val="00405EA4"/>
    <w:rsid w:val="00405F73"/>
    <w:rsid w:val="0040607A"/>
    <w:rsid w:val="004066C3"/>
    <w:rsid w:val="004069F9"/>
    <w:rsid w:val="00406A2D"/>
    <w:rsid w:val="004072B3"/>
    <w:rsid w:val="00407837"/>
    <w:rsid w:val="00407841"/>
    <w:rsid w:val="004079A7"/>
    <w:rsid w:val="004079C0"/>
    <w:rsid w:val="00407AE0"/>
    <w:rsid w:val="00407B43"/>
    <w:rsid w:val="00407DCC"/>
    <w:rsid w:val="00407E0F"/>
    <w:rsid w:val="0041036F"/>
    <w:rsid w:val="00410A44"/>
    <w:rsid w:val="00410A4A"/>
    <w:rsid w:val="00410BCA"/>
    <w:rsid w:val="00410C36"/>
    <w:rsid w:val="00411214"/>
    <w:rsid w:val="0041129D"/>
    <w:rsid w:val="004113C0"/>
    <w:rsid w:val="004113C4"/>
    <w:rsid w:val="00411420"/>
    <w:rsid w:val="00411571"/>
    <w:rsid w:val="00411922"/>
    <w:rsid w:val="00411B46"/>
    <w:rsid w:val="00411C14"/>
    <w:rsid w:val="00411E51"/>
    <w:rsid w:val="0041221A"/>
    <w:rsid w:val="0041226E"/>
    <w:rsid w:val="004128C5"/>
    <w:rsid w:val="00412A82"/>
    <w:rsid w:val="00412D71"/>
    <w:rsid w:val="00412EA0"/>
    <w:rsid w:val="00412F92"/>
    <w:rsid w:val="00413491"/>
    <w:rsid w:val="00413655"/>
    <w:rsid w:val="00413786"/>
    <w:rsid w:val="0041389D"/>
    <w:rsid w:val="00413B20"/>
    <w:rsid w:val="00413B64"/>
    <w:rsid w:val="00413B85"/>
    <w:rsid w:val="00413CD7"/>
    <w:rsid w:val="004141B9"/>
    <w:rsid w:val="00414372"/>
    <w:rsid w:val="0041483E"/>
    <w:rsid w:val="00414B74"/>
    <w:rsid w:val="00414F88"/>
    <w:rsid w:val="004152A5"/>
    <w:rsid w:val="0041535A"/>
    <w:rsid w:val="00415549"/>
    <w:rsid w:val="004156F6"/>
    <w:rsid w:val="004158A0"/>
    <w:rsid w:val="00415A2E"/>
    <w:rsid w:val="00415BA9"/>
    <w:rsid w:val="00415C77"/>
    <w:rsid w:val="00415DE6"/>
    <w:rsid w:val="0041602C"/>
    <w:rsid w:val="00416124"/>
    <w:rsid w:val="00416217"/>
    <w:rsid w:val="004162DA"/>
    <w:rsid w:val="004163BD"/>
    <w:rsid w:val="004165A7"/>
    <w:rsid w:val="00416923"/>
    <w:rsid w:val="00416BF6"/>
    <w:rsid w:val="00416E2F"/>
    <w:rsid w:val="00417163"/>
    <w:rsid w:val="004174C3"/>
    <w:rsid w:val="004174F1"/>
    <w:rsid w:val="004177D0"/>
    <w:rsid w:val="00417952"/>
    <w:rsid w:val="004179A5"/>
    <w:rsid w:val="004179BD"/>
    <w:rsid w:val="004179CA"/>
    <w:rsid w:val="00417D85"/>
    <w:rsid w:val="004200C0"/>
    <w:rsid w:val="00420241"/>
    <w:rsid w:val="00420278"/>
    <w:rsid w:val="004204DC"/>
    <w:rsid w:val="0042091A"/>
    <w:rsid w:val="004209B4"/>
    <w:rsid w:val="004209FA"/>
    <w:rsid w:val="00420F09"/>
    <w:rsid w:val="004213EA"/>
    <w:rsid w:val="0042161E"/>
    <w:rsid w:val="00421849"/>
    <w:rsid w:val="004218A6"/>
    <w:rsid w:val="00421A7B"/>
    <w:rsid w:val="00421ACA"/>
    <w:rsid w:val="00421CE8"/>
    <w:rsid w:val="00421D73"/>
    <w:rsid w:val="00421EEA"/>
    <w:rsid w:val="00421FA0"/>
    <w:rsid w:val="0042206E"/>
    <w:rsid w:val="00422341"/>
    <w:rsid w:val="00422524"/>
    <w:rsid w:val="00422609"/>
    <w:rsid w:val="00423121"/>
    <w:rsid w:val="004235AB"/>
    <w:rsid w:val="004237EC"/>
    <w:rsid w:val="0042395F"/>
    <w:rsid w:val="00423C1F"/>
    <w:rsid w:val="00423CB6"/>
    <w:rsid w:val="00423F06"/>
    <w:rsid w:val="00424028"/>
    <w:rsid w:val="00424157"/>
    <w:rsid w:val="004242FB"/>
    <w:rsid w:val="00424825"/>
    <w:rsid w:val="004249BA"/>
    <w:rsid w:val="00424C77"/>
    <w:rsid w:val="004253BC"/>
    <w:rsid w:val="004256AD"/>
    <w:rsid w:val="0042576C"/>
    <w:rsid w:val="00425798"/>
    <w:rsid w:val="00426028"/>
    <w:rsid w:val="0042602C"/>
    <w:rsid w:val="00426073"/>
    <w:rsid w:val="004261E3"/>
    <w:rsid w:val="0042634E"/>
    <w:rsid w:val="004266F6"/>
    <w:rsid w:val="00426770"/>
    <w:rsid w:val="00426866"/>
    <w:rsid w:val="00426A9F"/>
    <w:rsid w:val="00426D16"/>
    <w:rsid w:val="00426D81"/>
    <w:rsid w:val="00426F17"/>
    <w:rsid w:val="00426FD0"/>
    <w:rsid w:val="0042704C"/>
    <w:rsid w:val="0042773B"/>
    <w:rsid w:val="00427D29"/>
    <w:rsid w:val="00427F76"/>
    <w:rsid w:val="00430055"/>
    <w:rsid w:val="00430112"/>
    <w:rsid w:val="004303C7"/>
    <w:rsid w:val="00430585"/>
    <w:rsid w:val="004309BB"/>
    <w:rsid w:val="00430BCF"/>
    <w:rsid w:val="00430D25"/>
    <w:rsid w:val="00430F34"/>
    <w:rsid w:val="0043130B"/>
    <w:rsid w:val="004314E1"/>
    <w:rsid w:val="004316BA"/>
    <w:rsid w:val="00431DBE"/>
    <w:rsid w:val="00431ECA"/>
    <w:rsid w:val="00431ECB"/>
    <w:rsid w:val="00431F8D"/>
    <w:rsid w:val="00432002"/>
    <w:rsid w:val="004322F8"/>
    <w:rsid w:val="00432516"/>
    <w:rsid w:val="0043258A"/>
    <w:rsid w:val="00432720"/>
    <w:rsid w:val="0043280E"/>
    <w:rsid w:val="004330EA"/>
    <w:rsid w:val="004333C7"/>
    <w:rsid w:val="004335F8"/>
    <w:rsid w:val="0043362F"/>
    <w:rsid w:val="00433A66"/>
    <w:rsid w:val="00433B4A"/>
    <w:rsid w:val="00433D4F"/>
    <w:rsid w:val="00434012"/>
    <w:rsid w:val="00434121"/>
    <w:rsid w:val="004347AB"/>
    <w:rsid w:val="004348F2"/>
    <w:rsid w:val="00434A9C"/>
    <w:rsid w:val="00434E68"/>
    <w:rsid w:val="00435259"/>
    <w:rsid w:val="004354FF"/>
    <w:rsid w:val="00435537"/>
    <w:rsid w:val="00435A24"/>
    <w:rsid w:val="00435CA8"/>
    <w:rsid w:val="00435E91"/>
    <w:rsid w:val="00436149"/>
    <w:rsid w:val="004362B6"/>
    <w:rsid w:val="0043631F"/>
    <w:rsid w:val="004364F4"/>
    <w:rsid w:val="00436563"/>
    <w:rsid w:val="004366D4"/>
    <w:rsid w:val="00436A31"/>
    <w:rsid w:val="00436A8D"/>
    <w:rsid w:val="00436E4A"/>
    <w:rsid w:val="00436E71"/>
    <w:rsid w:val="00436F8A"/>
    <w:rsid w:val="004372D1"/>
    <w:rsid w:val="00437EEB"/>
    <w:rsid w:val="00437FEF"/>
    <w:rsid w:val="00440052"/>
    <w:rsid w:val="00440582"/>
    <w:rsid w:val="00440700"/>
    <w:rsid w:val="0044079E"/>
    <w:rsid w:val="00440BBC"/>
    <w:rsid w:val="00440F61"/>
    <w:rsid w:val="0044107D"/>
    <w:rsid w:val="0044117C"/>
    <w:rsid w:val="004411EE"/>
    <w:rsid w:val="00441447"/>
    <w:rsid w:val="0044159E"/>
    <w:rsid w:val="004415D8"/>
    <w:rsid w:val="0044180A"/>
    <w:rsid w:val="004418FE"/>
    <w:rsid w:val="0044190A"/>
    <w:rsid w:val="00441AB8"/>
    <w:rsid w:val="00441AC2"/>
    <w:rsid w:val="00441B43"/>
    <w:rsid w:val="00441B8C"/>
    <w:rsid w:val="00441E14"/>
    <w:rsid w:val="00441E5C"/>
    <w:rsid w:val="004425DA"/>
    <w:rsid w:val="004427DE"/>
    <w:rsid w:val="004429F4"/>
    <w:rsid w:val="00442BE5"/>
    <w:rsid w:val="0044316D"/>
    <w:rsid w:val="00443212"/>
    <w:rsid w:val="0044332F"/>
    <w:rsid w:val="00443453"/>
    <w:rsid w:val="00443B48"/>
    <w:rsid w:val="00443D6E"/>
    <w:rsid w:val="0044430D"/>
    <w:rsid w:val="004443BB"/>
    <w:rsid w:val="00444422"/>
    <w:rsid w:val="004446EF"/>
    <w:rsid w:val="004447C7"/>
    <w:rsid w:val="00444A8C"/>
    <w:rsid w:val="00444A8D"/>
    <w:rsid w:val="00444B86"/>
    <w:rsid w:val="00444BAB"/>
    <w:rsid w:val="00445172"/>
    <w:rsid w:val="0044524A"/>
    <w:rsid w:val="00445298"/>
    <w:rsid w:val="004453E1"/>
    <w:rsid w:val="0044558B"/>
    <w:rsid w:val="00445A1F"/>
    <w:rsid w:val="00445AFB"/>
    <w:rsid w:val="00445EB0"/>
    <w:rsid w:val="00445EC4"/>
    <w:rsid w:val="00445FF6"/>
    <w:rsid w:val="0044612D"/>
    <w:rsid w:val="00446390"/>
    <w:rsid w:val="0044643D"/>
    <w:rsid w:val="00446572"/>
    <w:rsid w:val="0044663E"/>
    <w:rsid w:val="0044675D"/>
    <w:rsid w:val="00446B1F"/>
    <w:rsid w:val="00446C5B"/>
    <w:rsid w:val="00446D1A"/>
    <w:rsid w:val="0044724B"/>
    <w:rsid w:val="004472B8"/>
    <w:rsid w:val="00447BDC"/>
    <w:rsid w:val="00447D7D"/>
    <w:rsid w:val="00447E0C"/>
    <w:rsid w:val="00450135"/>
    <w:rsid w:val="00450566"/>
    <w:rsid w:val="004505FB"/>
    <w:rsid w:val="00450814"/>
    <w:rsid w:val="00450851"/>
    <w:rsid w:val="004509E3"/>
    <w:rsid w:val="00450B4E"/>
    <w:rsid w:val="00450D65"/>
    <w:rsid w:val="00450D8B"/>
    <w:rsid w:val="00451498"/>
    <w:rsid w:val="004519A8"/>
    <w:rsid w:val="00451AD9"/>
    <w:rsid w:val="00452313"/>
    <w:rsid w:val="00452796"/>
    <w:rsid w:val="004527BE"/>
    <w:rsid w:val="00452A52"/>
    <w:rsid w:val="00452A90"/>
    <w:rsid w:val="00452AC0"/>
    <w:rsid w:val="00452B62"/>
    <w:rsid w:val="00452BA1"/>
    <w:rsid w:val="00452BAB"/>
    <w:rsid w:val="00452BB1"/>
    <w:rsid w:val="00452BD2"/>
    <w:rsid w:val="00452C97"/>
    <w:rsid w:val="00452CE4"/>
    <w:rsid w:val="00452D89"/>
    <w:rsid w:val="00452E59"/>
    <w:rsid w:val="00452F12"/>
    <w:rsid w:val="00452FBA"/>
    <w:rsid w:val="0045307B"/>
    <w:rsid w:val="004536D8"/>
    <w:rsid w:val="00453ADD"/>
    <w:rsid w:val="00453B49"/>
    <w:rsid w:val="00453CEA"/>
    <w:rsid w:val="00453EC0"/>
    <w:rsid w:val="004542C5"/>
    <w:rsid w:val="004545BA"/>
    <w:rsid w:val="004546B8"/>
    <w:rsid w:val="004548E4"/>
    <w:rsid w:val="00454CDE"/>
    <w:rsid w:val="0045552D"/>
    <w:rsid w:val="0045562A"/>
    <w:rsid w:val="00455669"/>
    <w:rsid w:val="00455C12"/>
    <w:rsid w:val="00455EC9"/>
    <w:rsid w:val="00455F12"/>
    <w:rsid w:val="00456013"/>
    <w:rsid w:val="004561CC"/>
    <w:rsid w:val="004561DC"/>
    <w:rsid w:val="004565B5"/>
    <w:rsid w:val="0045667F"/>
    <w:rsid w:val="004566C3"/>
    <w:rsid w:val="0045680E"/>
    <w:rsid w:val="00456A0C"/>
    <w:rsid w:val="00456DA8"/>
    <w:rsid w:val="00456ECC"/>
    <w:rsid w:val="0045723B"/>
    <w:rsid w:val="0045725D"/>
    <w:rsid w:val="00457315"/>
    <w:rsid w:val="004576AF"/>
    <w:rsid w:val="0045778D"/>
    <w:rsid w:val="00457798"/>
    <w:rsid w:val="00457826"/>
    <w:rsid w:val="00457938"/>
    <w:rsid w:val="00457C2C"/>
    <w:rsid w:val="00457FAA"/>
    <w:rsid w:val="004602D2"/>
    <w:rsid w:val="004607AB"/>
    <w:rsid w:val="00460B8E"/>
    <w:rsid w:val="00460DDC"/>
    <w:rsid w:val="00461055"/>
    <w:rsid w:val="0046109E"/>
    <w:rsid w:val="00461105"/>
    <w:rsid w:val="00461262"/>
    <w:rsid w:val="00461322"/>
    <w:rsid w:val="004615A1"/>
    <w:rsid w:val="00461686"/>
    <w:rsid w:val="0046191D"/>
    <w:rsid w:val="00461B81"/>
    <w:rsid w:val="00461BD7"/>
    <w:rsid w:val="00461C19"/>
    <w:rsid w:val="00461C9E"/>
    <w:rsid w:val="004620C9"/>
    <w:rsid w:val="004621E2"/>
    <w:rsid w:val="00462276"/>
    <w:rsid w:val="0046256A"/>
    <w:rsid w:val="0046269D"/>
    <w:rsid w:val="0046289B"/>
    <w:rsid w:val="00462E3E"/>
    <w:rsid w:val="00462E4A"/>
    <w:rsid w:val="00462EA2"/>
    <w:rsid w:val="00463234"/>
    <w:rsid w:val="004634BB"/>
    <w:rsid w:val="004637E7"/>
    <w:rsid w:val="00463847"/>
    <w:rsid w:val="00463B12"/>
    <w:rsid w:val="00463C07"/>
    <w:rsid w:val="00463D69"/>
    <w:rsid w:val="00463E26"/>
    <w:rsid w:val="004642E0"/>
    <w:rsid w:val="0046439A"/>
    <w:rsid w:val="004644C2"/>
    <w:rsid w:val="0046453B"/>
    <w:rsid w:val="0046457C"/>
    <w:rsid w:val="00464624"/>
    <w:rsid w:val="0046465D"/>
    <w:rsid w:val="004647C6"/>
    <w:rsid w:val="00464933"/>
    <w:rsid w:val="00464D60"/>
    <w:rsid w:val="00464D8A"/>
    <w:rsid w:val="00464EB1"/>
    <w:rsid w:val="00464FD2"/>
    <w:rsid w:val="00465250"/>
    <w:rsid w:val="00465279"/>
    <w:rsid w:val="00465B52"/>
    <w:rsid w:val="00465F15"/>
    <w:rsid w:val="00465F50"/>
    <w:rsid w:val="00466022"/>
    <w:rsid w:val="00466046"/>
    <w:rsid w:val="0046612E"/>
    <w:rsid w:val="004665D0"/>
    <w:rsid w:val="00466708"/>
    <w:rsid w:val="0046673E"/>
    <w:rsid w:val="00466986"/>
    <w:rsid w:val="00466A9A"/>
    <w:rsid w:val="00466DCC"/>
    <w:rsid w:val="0046710D"/>
    <w:rsid w:val="004672E0"/>
    <w:rsid w:val="004673D9"/>
    <w:rsid w:val="0046742F"/>
    <w:rsid w:val="00467A58"/>
    <w:rsid w:val="00467B2F"/>
    <w:rsid w:val="00467D44"/>
    <w:rsid w:val="00467FE6"/>
    <w:rsid w:val="004703F3"/>
    <w:rsid w:val="004706FF"/>
    <w:rsid w:val="00470C32"/>
    <w:rsid w:val="00470D97"/>
    <w:rsid w:val="00470E7A"/>
    <w:rsid w:val="00470E7E"/>
    <w:rsid w:val="00471053"/>
    <w:rsid w:val="00471171"/>
    <w:rsid w:val="00471849"/>
    <w:rsid w:val="00471C34"/>
    <w:rsid w:val="00471C52"/>
    <w:rsid w:val="00471C93"/>
    <w:rsid w:val="00471DA2"/>
    <w:rsid w:val="00472804"/>
    <w:rsid w:val="00472A3C"/>
    <w:rsid w:val="00472AA7"/>
    <w:rsid w:val="00472FC1"/>
    <w:rsid w:val="0047314D"/>
    <w:rsid w:val="00473154"/>
    <w:rsid w:val="00473161"/>
    <w:rsid w:val="00473166"/>
    <w:rsid w:val="0047316C"/>
    <w:rsid w:val="004732FA"/>
    <w:rsid w:val="0047339D"/>
    <w:rsid w:val="0047339E"/>
    <w:rsid w:val="0047351E"/>
    <w:rsid w:val="00473555"/>
    <w:rsid w:val="00473614"/>
    <w:rsid w:val="0047361E"/>
    <w:rsid w:val="004736DD"/>
    <w:rsid w:val="00473C24"/>
    <w:rsid w:val="00473E0A"/>
    <w:rsid w:val="004740A1"/>
    <w:rsid w:val="004740D0"/>
    <w:rsid w:val="004740E5"/>
    <w:rsid w:val="004741E6"/>
    <w:rsid w:val="00474643"/>
    <w:rsid w:val="00474B99"/>
    <w:rsid w:val="00474E86"/>
    <w:rsid w:val="00474F8E"/>
    <w:rsid w:val="004750FC"/>
    <w:rsid w:val="00475186"/>
    <w:rsid w:val="004752E5"/>
    <w:rsid w:val="00475506"/>
    <w:rsid w:val="0047574F"/>
    <w:rsid w:val="00475A80"/>
    <w:rsid w:val="00475C5C"/>
    <w:rsid w:val="0047601C"/>
    <w:rsid w:val="00476132"/>
    <w:rsid w:val="004769C0"/>
    <w:rsid w:val="00476C36"/>
    <w:rsid w:val="00476C67"/>
    <w:rsid w:val="00476CDC"/>
    <w:rsid w:val="00476E5A"/>
    <w:rsid w:val="00476E71"/>
    <w:rsid w:val="00476EEB"/>
    <w:rsid w:val="00477208"/>
    <w:rsid w:val="004774E0"/>
    <w:rsid w:val="004774E8"/>
    <w:rsid w:val="00477A4C"/>
    <w:rsid w:val="0048023A"/>
    <w:rsid w:val="004802FC"/>
    <w:rsid w:val="004807D8"/>
    <w:rsid w:val="00480A27"/>
    <w:rsid w:val="00480C96"/>
    <w:rsid w:val="00480DB8"/>
    <w:rsid w:val="00480DD7"/>
    <w:rsid w:val="0048114A"/>
    <w:rsid w:val="004815D9"/>
    <w:rsid w:val="004815FA"/>
    <w:rsid w:val="00481AF5"/>
    <w:rsid w:val="00481D2D"/>
    <w:rsid w:val="00481E45"/>
    <w:rsid w:val="00482041"/>
    <w:rsid w:val="004820D9"/>
    <w:rsid w:val="00482102"/>
    <w:rsid w:val="00482155"/>
    <w:rsid w:val="004823B1"/>
    <w:rsid w:val="00482976"/>
    <w:rsid w:val="00482A2D"/>
    <w:rsid w:val="00482AEB"/>
    <w:rsid w:val="00482BB6"/>
    <w:rsid w:val="00482CBA"/>
    <w:rsid w:val="00482D6F"/>
    <w:rsid w:val="00482E17"/>
    <w:rsid w:val="00482FFB"/>
    <w:rsid w:val="0048306F"/>
    <w:rsid w:val="00483078"/>
    <w:rsid w:val="004831B6"/>
    <w:rsid w:val="004833BF"/>
    <w:rsid w:val="0048347C"/>
    <w:rsid w:val="00483B40"/>
    <w:rsid w:val="00483D42"/>
    <w:rsid w:val="0048432E"/>
    <w:rsid w:val="00484343"/>
    <w:rsid w:val="004843D6"/>
    <w:rsid w:val="004843F3"/>
    <w:rsid w:val="00484654"/>
    <w:rsid w:val="00484804"/>
    <w:rsid w:val="0048483F"/>
    <w:rsid w:val="0048484F"/>
    <w:rsid w:val="00484ADF"/>
    <w:rsid w:val="00484C54"/>
    <w:rsid w:val="00484DE4"/>
    <w:rsid w:val="004854B3"/>
    <w:rsid w:val="00485B99"/>
    <w:rsid w:val="00485C27"/>
    <w:rsid w:val="00485C52"/>
    <w:rsid w:val="00485DB2"/>
    <w:rsid w:val="00485E79"/>
    <w:rsid w:val="00485F2F"/>
    <w:rsid w:val="004860A3"/>
    <w:rsid w:val="0048615D"/>
    <w:rsid w:val="004864D0"/>
    <w:rsid w:val="00486513"/>
    <w:rsid w:val="00486736"/>
    <w:rsid w:val="00486A99"/>
    <w:rsid w:val="00486BF4"/>
    <w:rsid w:val="0048784D"/>
    <w:rsid w:val="00487997"/>
    <w:rsid w:val="00487A04"/>
    <w:rsid w:val="00487B8D"/>
    <w:rsid w:val="00487C34"/>
    <w:rsid w:val="00490814"/>
    <w:rsid w:val="0049151B"/>
    <w:rsid w:val="00491731"/>
    <w:rsid w:val="00491756"/>
    <w:rsid w:val="004917C4"/>
    <w:rsid w:val="004917D5"/>
    <w:rsid w:val="004918C1"/>
    <w:rsid w:val="00491CFC"/>
    <w:rsid w:val="00491D86"/>
    <w:rsid w:val="00491FDE"/>
    <w:rsid w:val="00492028"/>
    <w:rsid w:val="0049210C"/>
    <w:rsid w:val="00492CEA"/>
    <w:rsid w:val="00492DD0"/>
    <w:rsid w:val="00492F54"/>
    <w:rsid w:val="00493001"/>
    <w:rsid w:val="004931D5"/>
    <w:rsid w:val="0049397C"/>
    <w:rsid w:val="00493998"/>
    <w:rsid w:val="00493AF9"/>
    <w:rsid w:val="00493E3B"/>
    <w:rsid w:val="00494158"/>
    <w:rsid w:val="004947A6"/>
    <w:rsid w:val="004948CE"/>
    <w:rsid w:val="00494D2A"/>
    <w:rsid w:val="00494DDB"/>
    <w:rsid w:val="00494E37"/>
    <w:rsid w:val="00494EA5"/>
    <w:rsid w:val="00494EC9"/>
    <w:rsid w:val="004950F0"/>
    <w:rsid w:val="00495193"/>
    <w:rsid w:val="004958A1"/>
    <w:rsid w:val="00495AB9"/>
    <w:rsid w:val="004962D7"/>
    <w:rsid w:val="00496488"/>
    <w:rsid w:val="00496778"/>
    <w:rsid w:val="00496A5E"/>
    <w:rsid w:val="00496BE3"/>
    <w:rsid w:val="00497119"/>
    <w:rsid w:val="004975C9"/>
    <w:rsid w:val="00497642"/>
    <w:rsid w:val="0049768A"/>
    <w:rsid w:val="004977FF"/>
    <w:rsid w:val="00497C2C"/>
    <w:rsid w:val="00497E7C"/>
    <w:rsid w:val="004A048B"/>
    <w:rsid w:val="004A0742"/>
    <w:rsid w:val="004A0773"/>
    <w:rsid w:val="004A0869"/>
    <w:rsid w:val="004A0B70"/>
    <w:rsid w:val="004A0D88"/>
    <w:rsid w:val="004A0DCC"/>
    <w:rsid w:val="004A1007"/>
    <w:rsid w:val="004A10E0"/>
    <w:rsid w:val="004A1268"/>
    <w:rsid w:val="004A136C"/>
    <w:rsid w:val="004A13C1"/>
    <w:rsid w:val="004A15F7"/>
    <w:rsid w:val="004A1635"/>
    <w:rsid w:val="004A16A4"/>
    <w:rsid w:val="004A17FC"/>
    <w:rsid w:val="004A1EC7"/>
    <w:rsid w:val="004A20E9"/>
    <w:rsid w:val="004A21AD"/>
    <w:rsid w:val="004A22AC"/>
    <w:rsid w:val="004A2450"/>
    <w:rsid w:val="004A24CD"/>
    <w:rsid w:val="004A24F8"/>
    <w:rsid w:val="004A2AEC"/>
    <w:rsid w:val="004A2B81"/>
    <w:rsid w:val="004A2F54"/>
    <w:rsid w:val="004A33A3"/>
    <w:rsid w:val="004A3451"/>
    <w:rsid w:val="004A3477"/>
    <w:rsid w:val="004A3626"/>
    <w:rsid w:val="004A3D80"/>
    <w:rsid w:val="004A412F"/>
    <w:rsid w:val="004A4185"/>
    <w:rsid w:val="004A42CE"/>
    <w:rsid w:val="004A44EB"/>
    <w:rsid w:val="004A4860"/>
    <w:rsid w:val="004A49C9"/>
    <w:rsid w:val="004A50A5"/>
    <w:rsid w:val="004A5538"/>
    <w:rsid w:val="004A5727"/>
    <w:rsid w:val="004A572E"/>
    <w:rsid w:val="004A59B5"/>
    <w:rsid w:val="004A5E89"/>
    <w:rsid w:val="004A6041"/>
    <w:rsid w:val="004A6469"/>
    <w:rsid w:val="004A6587"/>
    <w:rsid w:val="004A666F"/>
    <w:rsid w:val="004A67A7"/>
    <w:rsid w:val="004A6DE4"/>
    <w:rsid w:val="004A708C"/>
    <w:rsid w:val="004A70E9"/>
    <w:rsid w:val="004A7262"/>
    <w:rsid w:val="004A75AC"/>
    <w:rsid w:val="004A7DF1"/>
    <w:rsid w:val="004B010F"/>
    <w:rsid w:val="004B05CE"/>
    <w:rsid w:val="004B0760"/>
    <w:rsid w:val="004B09E0"/>
    <w:rsid w:val="004B0BEF"/>
    <w:rsid w:val="004B0DF0"/>
    <w:rsid w:val="004B1177"/>
    <w:rsid w:val="004B16D0"/>
    <w:rsid w:val="004B1EA9"/>
    <w:rsid w:val="004B2029"/>
    <w:rsid w:val="004B2034"/>
    <w:rsid w:val="004B2197"/>
    <w:rsid w:val="004B21B3"/>
    <w:rsid w:val="004B220F"/>
    <w:rsid w:val="004B2360"/>
    <w:rsid w:val="004B242E"/>
    <w:rsid w:val="004B28EF"/>
    <w:rsid w:val="004B2BC5"/>
    <w:rsid w:val="004B2D20"/>
    <w:rsid w:val="004B33F5"/>
    <w:rsid w:val="004B3614"/>
    <w:rsid w:val="004B3976"/>
    <w:rsid w:val="004B39EE"/>
    <w:rsid w:val="004B3D03"/>
    <w:rsid w:val="004B3DEC"/>
    <w:rsid w:val="004B3E3B"/>
    <w:rsid w:val="004B45A0"/>
    <w:rsid w:val="004B469C"/>
    <w:rsid w:val="004B4D01"/>
    <w:rsid w:val="004B4E9B"/>
    <w:rsid w:val="004B4EC8"/>
    <w:rsid w:val="004B5258"/>
    <w:rsid w:val="004B5528"/>
    <w:rsid w:val="004B5778"/>
    <w:rsid w:val="004B5839"/>
    <w:rsid w:val="004B59F5"/>
    <w:rsid w:val="004B5AFB"/>
    <w:rsid w:val="004B5B8E"/>
    <w:rsid w:val="004B5F65"/>
    <w:rsid w:val="004B5FBF"/>
    <w:rsid w:val="004B6258"/>
    <w:rsid w:val="004B627E"/>
    <w:rsid w:val="004B6766"/>
    <w:rsid w:val="004B68A7"/>
    <w:rsid w:val="004B68E2"/>
    <w:rsid w:val="004B6997"/>
    <w:rsid w:val="004B6AF2"/>
    <w:rsid w:val="004B6C27"/>
    <w:rsid w:val="004B6F6B"/>
    <w:rsid w:val="004B7144"/>
    <w:rsid w:val="004B758F"/>
    <w:rsid w:val="004B76A0"/>
    <w:rsid w:val="004B7771"/>
    <w:rsid w:val="004B78E6"/>
    <w:rsid w:val="004B78F6"/>
    <w:rsid w:val="004B7998"/>
    <w:rsid w:val="004B7C13"/>
    <w:rsid w:val="004B7C8A"/>
    <w:rsid w:val="004B7EFA"/>
    <w:rsid w:val="004B7FED"/>
    <w:rsid w:val="004C00C8"/>
    <w:rsid w:val="004C038F"/>
    <w:rsid w:val="004C040B"/>
    <w:rsid w:val="004C0795"/>
    <w:rsid w:val="004C1193"/>
    <w:rsid w:val="004C13EF"/>
    <w:rsid w:val="004C1520"/>
    <w:rsid w:val="004C152E"/>
    <w:rsid w:val="004C18D4"/>
    <w:rsid w:val="004C18DC"/>
    <w:rsid w:val="004C233D"/>
    <w:rsid w:val="004C2344"/>
    <w:rsid w:val="004C2349"/>
    <w:rsid w:val="004C2616"/>
    <w:rsid w:val="004C2700"/>
    <w:rsid w:val="004C2AC4"/>
    <w:rsid w:val="004C2F2D"/>
    <w:rsid w:val="004C3166"/>
    <w:rsid w:val="004C395F"/>
    <w:rsid w:val="004C3D21"/>
    <w:rsid w:val="004C3E4B"/>
    <w:rsid w:val="004C3F87"/>
    <w:rsid w:val="004C40BE"/>
    <w:rsid w:val="004C4133"/>
    <w:rsid w:val="004C4156"/>
    <w:rsid w:val="004C463E"/>
    <w:rsid w:val="004C4679"/>
    <w:rsid w:val="004C4947"/>
    <w:rsid w:val="004C49FB"/>
    <w:rsid w:val="004C4D0B"/>
    <w:rsid w:val="004C4E95"/>
    <w:rsid w:val="004C4F98"/>
    <w:rsid w:val="004C510C"/>
    <w:rsid w:val="004C58B0"/>
    <w:rsid w:val="004C58C7"/>
    <w:rsid w:val="004C5BB7"/>
    <w:rsid w:val="004C5EA0"/>
    <w:rsid w:val="004C5FD7"/>
    <w:rsid w:val="004C6042"/>
    <w:rsid w:val="004C63D3"/>
    <w:rsid w:val="004C6682"/>
    <w:rsid w:val="004C6927"/>
    <w:rsid w:val="004C6A5D"/>
    <w:rsid w:val="004C6A93"/>
    <w:rsid w:val="004C6C7E"/>
    <w:rsid w:val="004C6C99"/>
    <w:rsid w:val="004C7065"/>
    <w:rsid w:val="004C72BC"/>
    <w:rsid w:val="004C7846"/>
    <w:rsid w:val="004C7904"/>
    <w:rsid w:val="004C7DA6"/>
    <w:rsid w:val="004C7DDB"/>
    <w:rsid w:val="004C7DF9"/>
    <w:rsid w:val="004C7EB5"/>
    <w:rsid w:val="004C7F62"/>
    <w:rsid w:val="004D0008"/>
    <w:rsid w:val="004D01AF"/>
    <w:rsid w:val="004D04A8"/>
    <w:rsid w:val="004D06A4"/>
    <w:rsid w:val="004D09F0"/>
    <w:rsid w:val="004D0AF9"/>
    <w:rsid w:val="004D0B50"/>
    <w:rsid w:val="004D10BC"/>
    <w:rsid w:val="004D115C"/>
    <w:rsid w:val="004D119B"/>
    <w:rsid w:val="004D130B"/>
    <w:rsid w:val="004D1416"/>
    <w:rsid w:val="004D159E"/>
    <w:rsid w:val="004D15DC"/>
    <w:rsid w:val="004D187A"/>
    <w:rsid w:val="004D193C"/>
    <w:rsid w:val="004D1A51"/>
    <w:rsid w:val="004D1AC0"/>
    <w:rsid w:val="004D1DC9"/>
    <w:rsid w:val="004D1DE2"/>
    <w:rsid w:val="004D1EB4"/>
    <w:rsid w:val="004D1F57"/>
    <w:rsid w:val="004D1FE5"/>
    <w:rsid w:val="004D2021"/>
    <w:rsid w:val="004D20F3"/>
    <w:rsid w:val="004D21C7"/>
    <w:rsid w:val="004D23C8"/>
    <w:rsid w:val="004D258D"/>
    <w:rsid w:val="004D25B8"/>
    <w:rsid w:val="004D2693"/>
    <w:rsid w:val="004D26A6"/>
    <w:rsid w:val="004D27AE"/>
    <w:rsid w:val="004D289D"/>
    <w:rsid w:val="004D2B80"/>
    <w:rsid w:val="004D2D0C"/>
    <w:rsid w:val="004D2EE1"/>
    <w:rsid w:val="004D2F42"/>
    <w:rsid w:val="004D353F"/>
    <w:rsid w:val="004D37F0"/>
    <w:rsid w:val="004D3A16"/>
    <w:rsid w:val="004D3C41"/>
    <w:rsid w:val="004D3DF5"/>
    <w:rsid w:val="004D3FA3"/>
    <w:rsid w:val="004D403F"/>
    <w:rsid w:val="004D4512"/>
    <w:rsid w:val="004D467F"/>
    <w:rsid w:val="004D49C7"/>
    <w:rsid w:val="004D49FC"/>
    <w:rsid w:val="004D4CD6"/>
    <w:rsid w:val="004D4F58"/>
    <w:rsid w:val="004D5339"/>
    <w:rsid w:val="004D5737"/>
    <w:rsid w:val="004D5B23"/>
    <w:rsid w:val="004D5EB6"/>
    <w:rsid w:val="004D6088"/>
    <w:rsid w:val="004D6175"/>
    <w:rsid w:val="004D6387"/>
    <w:rsid w:val="004D6488"/>
    <w:rsid w:val="004D6535"/>
    <w:rsid w:val="004D6B6F"/>
    <w:rsid w:val="004D6BE2"/>
    <w:rsid w:val="004D6E06"/>
    <w:rsid w:val="004D71BA"/>
    <w:rsid w:val="004D747E"/>
    <w:rsid w:val="004D78F5"/>
    <w:rsid w:val="004D7AB4"/>
    <w:rsid w:val="004D7C84"/>
    <w:rsid w:val="004D7D9D"/>
    <w:rsid w:val="004E039D"/>
    <w:rsid w:val="004E0793"/>
    <w:rsid w:val="004E09F2"/>
    <w:rsid w:val="004E140B"/>
    <w:rsid w:val="004E1608"/>
    <w:rsid w:val="004E1795"/>
    <w:rsid w:val="004E1AE0"/>
    <w:rsid w:val="004E1B76"/>
    <w:rsid w:val="004E1BAD"/>
    <w:rsid w:val="004E2131"/>
    <w:rsid w:val="004E22AE"/>
    <w:rsid w:val="004E235F"/>
    <w:rsid w:val="004E2555"/>
    <w:rsid w:val="004E269C"/>
    <w:rsid w:val="004E2E92"/>
    <w:rsid w:val="004E30CD"/>
    <w:rsid w:val="004E3124"/>
    <w:rsid w:val="004E322D"/>
    <w:rsid w:val="004E32E6"/>
    <w:rsid w:val="004E38BD"/>
    <w:rsid w:val="004E38F9"/>
    <w:rsid w:val="004E3C49"/>
    <w:rsid w:val="004E3CB6"/>
    <w:rsid w:val="004E3CCF"/>
    <w:rsid w:val="004E3DBF"/>
    <w:rsid w:val="004E3E75"/>
    <w:rsid w:val="004E3FA8"/>
    <w:rsid w:val="004E43CF"/>
    <w:rsid w:val="004E4936"/>
    <w:rsid w:val="004E49C5"/>
    <w:rsid w:val="004E4C9E"/>
    <w:rsid w:val="004E5172"/>
    <w:rsid w:val="004E51A5"/>
    <w:rsid w:val="004E5664"/>
    <w:rsid w:val="004E596C"/>
    <w:rsid w:val="004E5B39"/>
    <w:rsid w:val="004E5B84"/>
    <w:rsid w:val="004E5C00"/>
    <w:rsid w:val="004E5EF5"/>
    <w:rsid w:val="004E6218"/>
    <w:rsid w:val="004E6254"/>
    <w:rsid w:val="004E637E"/>
    <w:rsid w:val="004E639E"/>
    <w:rsid w:val="004E6BDC"/>
    <w:rsid w:val="004E6FE2"/>
    <w:rsid w:val="004E7200"/>
    <w:rsid w:val="004E788E"/>
    <w:rsid w:val="004E7AA7"/>
    <w:rsid w:val="004E7C8A"/>
    <w:rsid w:val="004E7FC9"/>
    <w:rsid w:val="004F006E"/>
    <w:rsid w:val="004F04FE"/>
    <w:rsid w:val="004F0731"/>
    <w:rsid w:val="004F09B9"/>
    <w:rsid w:val="004F1581"/>
    <w:rsid w:val="004F178A"/>
    <w:rsid w:val="004F1DB6"/>
    <w:rsid w:val="004F2077"/>
    <w:rsid w:val="004F2225"/>
    <w:rsid w:val="004F2299"/>
    <w:rsid w:val="004F22A4"/>
    <w:rsid w:val="004F2432"/>
    <w:rsid w:val="004F2B97"/>
    <w:rsid w:val="004F2C24"/>
    <w:rsid w:val="004F31B5"/>
    <w:rsid w:val="004F3755"/>
    <w:rsid w:val="004F37B9"/>
    <w:rsid w:val="004F396C"/>
    <w:rsid w:val="004F3FB9"/>
    <w:rsid w:val="004F4668"/>
    <w:rsid w:val="004F46BF"/>
    <w:rsid w:val="004F471E"/>
    <w:rsid w:val="004F47B4"/>
    <w:rsid w:val="004F4818"/>
    <w:rsid w:val="004F494E"/>
    <w:rsid w:val="004F4A4B"/>
    <w:rsid w:val="004F5331"/>
    <w:rsid w:val="004F53DE"/>
    <w:rsid w:val="004F5552"/>
    <w:rsid w:val="004F575E"/>
    <w:rsid w:val="004F5860"/>
    <w:rsid w:val="004F5D2B"/>
    <w:rsid w:val="004F5F6E"/>
    <w:rsid w:val="004F60AF"/>
    <w:rsid w:val="004F62B8"/>
    <w:rsid w:val="004F62CC"/>
    <w:rsid w:val="004F67FA"/>
    <w:rsid w:val="004F6B30"/>
    <w:rsid w:val="004F6D39"/>
    <w:rsid w:val="004F6E6F"/>
    <w:rsid w:val="004F7031"/>
    <w:rsid w:val="004F71B6"/>
    <w:rsid w:val="004F778C"/>
    <w:rsid w:val="004F78CC"/>
    <w:rsid w:val="004F7A67"/>
    <w:rsid w:val="004F7B47"/>
    <w:rsid w:val="004F7F49"/>
    <w:rsid w:val="00500343"/>
    <w:rsid w:val="005003CB"/>
    <w:rsid w:val="0050043B"/>
    <w:rsid w:val="005004C0"/>
    <w:rsid w:val="005008D9"/>
    <w:rsid w:val="00500997"/>
    <w:rsid w:val="005009AE"/>
    <w:rsid w:val="00500AE9"/>
    <w:rsid w:val="00500C76"/>
    <w:rsid w:val="00500CEF"/>
    <w:rsid w:val="0050112A"/>
    <w:rsid w:val="0050152C"/>
    <w:rsid w:val="005015C6"/>
    <w:rsid w:val="0050189B"/>
    <w:rsid w:val="005018D5"/>
    <w:rsid w:val="00501C43"/>
    <w:rsid w:val="00501EFF"/>
    <w:rsid w:val="0050203C"/>
    <w:rsid w:val="005021D6"/>
    <w:rsid w:val="005021FA"/>
    <w:rsid w:val="005023EE"/>
    <w:rsid w:val="00502693"/>
    <w:rsid w:val="005027CB"/>
    <w:rsid w:val="0050286F"/>
    <w:rsid w:val="00502987"/>
    <w:rsid w:val="00502CD7"/>
    <w:rsid w:val="005032B5"/>
    <w:rsid w:val="005038D8"/>
    <w:rsid w:val="00503ABD"/>
    <w:rsid w:val="00503D68"/>
    <w:rsid w:val="00503F2F"/>
    <w:rsid w:val="005043D4"/>
    <w:rsid w:val="0050445A"/>
    <w:rsid w:val="005047B7"/>
    <w:rsid w:val="00504915"/>
    <w:rsid w:val="00504A16"/>
    <w:rsid w:val="00504EE5"/>
    <w:rsid w:val="00505298"/>
    <w:rsid w:val="005052FC"/>
    <w:rsid w:val="005053AF"/>
    <w:rsid w:val="00505799"/>
    <w:rsid w:val="00505874"/>
    <w:rsid w:val="00505A28"/>
    <w:rsid w:val="00505B4B"/>
    <w:rsid w:val="00505CC7"/>
    <w:rsid w:val="00506512"/>
    <w:rsid w:val="00506626"/>
    <w:rsid w:val="00506798"/>
    <w:rsid w:val="0050685A"/>
    <w:rsid w:val="00506F64"/>
    <w:rsid w:val="005071B5"/>
    <w:rsid w:val="00507271"/>
    <w:rsid w:val="0050738A"/>
    <w:rsid w:val="00507729"/>
    <w:rsid w:val="00507B19"/>
    <w:rsid w:val="00507FCE"/>
    <w:rsid w:val="005100A3"/>
    <w:rsid w:val="005101C2"/>
    <w:rsid w:val="00510236"/>
    <w:rsid w:val="0051050B"/>
    <w:rsid w:val="005107C7"/>
    <w:rsid w:val="00510900"/>
    <w:rsid w:val="005109B3"/>
    <w:rsid w:val="00510B22"/>
    <w:rsid w:val="005111CA"/>
    <w:rsid w:val="005112FB"/>
    <w:rsid w:val="0051134F"/>
    <w:rsid w:val="005113C4"/>
    <w:rsid w:val="005117A5"/>
    <w:rsid w:val="00511835"/>
    <w:rsid w:val="00511FE7"/>
    <w:rsid w:val="00512172"/>
    <w:rsid w:val="00512230"/>
    <w:rsid w:val="005125A5"/>
    <w:rsid w:val="005127A6"/>
    <w:rsid w:val="00512A65"/>
    <w:rsid w:val="00512C51"/>
    <w:rsid w:val="00512C67"/>
    <w:rsid w:val="00513868"/>
    <w:rsid w:val="0051396B"/>
    <w:rsid w:val="005139BB"/>
    <w:rsid w:val="00513A84"/>
    <w:rsid w:val="00513B8D"/>
    <w:rsid w:val="00513C50"/>
    <w:rsid w:val="00514098"/>
    <w:rsid w:val="00514178"/>
    <w:rsid w:val="0051476E"/>
    <w:rsid w:val="005149FC"/>
    <w:rsid w:val="00514C55"/>
    <w:rsid w:val="00514EB7"/>
    <w:rsid w:val="00515218"/>
    <w:rsid w:val="0051536A"/>
    <w:rsid w:val="0051553D"/>
    <w:rsid w:val="00515B58"/>
    <w:rsid w:val="00515C78"/>
    <w:rsid w:val="00515F7D"/>
    <w:rsid w:val="00516015"/>
    <w:rsid w:val="0051611C"/>
    <w:rsid w:val="0051614C"/>
    <w:rsid w:val="0051631B"/>
    <w:rsid w:val="0051647B"/>
    <w:rsid w:val="005167C9"/>
    <w:rsid w:val="00516C57"/>
    <w:rsid w:val="00516DA2"/>
    <w:rsid w:val="00516E90"/>
    <w:rsid w:val="0051701B"/>
    <w:rsid w:val="005170AE"/>
    <w:rsid w:val="00517123"/>
    <w:rsid w:val="0051735A"/>
    <w:rsid w:val="005173DC"/>
    <w:rsid w:val="00517499"/>
    <w:rsid w:val="00517590"/>
    <w:rsid w:val="005175C4"/>
    <w:rsid w:val="00517AC4"/>
    <w:rsid w:val="00517E55"/>
    <w:rsid w:val="005203AD"/>
    <w:rsid w:val="0052046F"/>
    <w:rsid w:val="00520BE0"/>
    <w:rsid w:val="00520CD3"/>
    <w:rsid w:val="00520D5B"/>
    <w:rsid w:val="00521155"/>
    <w:rsid w:val="0052122C"/>
    <w:rsid w:val="00521567"/>
    <w:rsid w:val="005215B9"/>
    <w:rsid w:val="005216CE"/>
    <w:rsid w:val="00521A90"/>
    <w:rsid w:val="00521D49"/>
    <w:rsid w:val="00521EFF"/>
    <w:rsid w:val="005221BB"/>
    <w:rsid w:val="005222A0"/>
    <w:rsid w:val="00522422"/>
    <w:rsid w:val="00522470"/>
    <w:rsid w:val="005224FA"/>
    <w:rsid w:val="00522816"/>
    <w:rsid w:val="005229A3"/>
    <w:rsid w:val="005229C3"/>
    <w:rsid w:val="00522A26"/>
    <w:rsid w:val="00522C54"/>
    <w:rsid w:val="00522CE5"/>
    <w:rsid w:val="00522E3B"/>
    <w:rsid w:val="00522F46"/>
    <w:rsid w:val="005232BD"/>
    <w:rsid w:val="00523452"/>
    <w:rsid w:val="005236FE"/>
    <w:rsid w:val="0052377B"/>
    <w:rsid w:val="00523BA1"/>
    <w:rsid w:val="00523C24"/>
    <w:rsid w:val="0052423E"/>
    <w:rsid w:val="00524303"/>
    <w:rsid w:val="005246E0"/>
    <w:rsid w:val="005248B7"/>
    <w:rsid w:val="00524AC7"/>
    <w:rsid w:val="00524B6E"/>
    <w:rsid w:val="00524E45"/>
    <w:rsid w:val="00524FD4"/>
    <w:rsid w:val="00525123"/>
    <w:rsid w:val="0052553B"/>
    <w:rsid w:val="00525980"/>
    <w:rsid w:val="00525D3B"/>
    <w:rsid w:val="00525E74"/>
    <w:rsid w:val="00525F59"/>
    <w:rsid w:val="0052618E"/>
    <w:rsid w:val="00526573"/>
    <w:rsid w:val="0052675D"/>
    <w:rsid w:val="0052679D"/>
    <w:rsid w:val="00526863"/>
    <w:rsid w:val="0052687C"/>
    <w:rsid w:val="005269ED"/>
    <w:rsid w:val="00526CAA"/>
    <w:rsid w:val="00526D31"/>
    <w:rsid w:val="00526FCA"/>
    <w:rsid w:val="005270F9"/>
    <w:rsid w:val="005272FB"/>
    <w:rsid w:val="00527353"/>
    <w:rsid w:val="00527891"/>
    <w:rsid w:val="00527898"/>
    <w:rsid w:val="0052796B"/>
    <w:rsid w:val="00527CFB"/>
    <w:rsid w:val="00527DA0"/>
    <w:rsid w:val="005304DE"/>
    <w:rsid w:val="005306BB"/>
    <w:rsid w:val="00530859"/>
    <w:rsid w:val="00530895"/>
    <w:rsid w:val="005309D1"/>
    <w:rsid w:val="00530B16"/>
    <w:rsid w:val="00530BCC"/>
    <w:rsid w:val="00530C92"/>
    <w:rsid w:val="00530D9F"/>
    <w:rsid w:val="00530DE1"/>
    <w:rsid w:val="005318D0"/>
    <w:rsid w:val="00531ACD"/>
    <w:rsid w:val="00531D9C"/>
    <w:rsid w:val="00532120"/>
    <w:rsid w:val="005322B7"/>
    <w:rsid w:val="00532434"/>
    <w:rsid w:val="0053245E"/>
    <w:rsid w:val="00532823"/>
    <w:rsid w:val="00532976"/>
    <w:rsid w:val="00532B49"/>
    <w:rsid w:val="00532CF4"/>
    <w:rsid w:val="00532DFC"/>
    <w:rsid w:val="00532E15"/>
    <w:rsid w:val="00532EE7"/>
    <w:rsid w:val="0053321B"/>
    <w:rsid w:val="005335CC"/>
    <w:rsid w:val="00533632"/>
    <w:rsid w:val="00533875"/>
    <w:rsid w:val="00533A1D"/>
    <w:rsid w:val="00533D67"/>
    <w:rsid w:val="00533EB1"/>
    <w:rsid w:val="00534222"/>
    <w:rsid w:val="005343C9"/>
    <w:rsid w:val="00534541"/>
    <w:rsid w:val="005346F7"/>
    <w:rsid w:val="0053478A"/>
    <w:rsid w:val="005347B3"/>
    <w:rsid w:val="005348D7"/>
    <w:rsid w:val="00534963"/>
    <w:rsid w:val="00534A3D"/>
    <w:rsid w:val="00534C66"/>
    <w:rsid w:val="00534E87"/>
    <w:rsid w:val="005354A1"/>
    <w:rsid w:val="0053555C"/>
    <w:rsid w:val="0053555E"/>
    <w:rsid w:val="005356C5"/>
    <w:rsid w:val="00535732"/>
    <w:rsid w:val="005359AD"/>
    <w:rsid w:val="005359D2"/>
    <w:rsid w:val="00535B71"/>
    <w:rsid w:val="00535C0F"/>
    <w:rsid w:val="00535C54"/>
    <w:rsid w:val="00535CA8"/>
    <w:rsid w:val="00535F2F"/>
    <w:rsid w:val="00536146"/>
    <w:rsid w:val="00536234"/>
    <w:rsid w:val="00536AB8"/>
    <w:rsid w:val="00536D87"/>
    <w:rsid w:val="00536D93"/>
    <w:rsid w:val="00536F63"/>
    <w:rsid w:val="0053727B"/>
    <w:rsid w:val="00537284"/>
    <w:rsid w:val="0053733D"/>
    <w:rsid w:val="00537665"/>
    <w:rsid w:val="005379E4"/>
    <w:rsid w:val="005379F5"/>
    <w:rsid w:val="00537B02"/>
    <w:rsid w:val="00537CCD"/>
    <w:rsid w:val="00537CDA"/>
    <w:rsid w:val="00540249"/>
    <w:rsid w:val="00540260"/>
    <w:rsid w:val="00540325"/>
    <w:rsid w:val="00540695"/>
    <w:rsid w:val="00540A45"/>
    <w:rsid w:val="00540D00"/>
    <w:rsid w:val="005411BE"/>
    <w:rsid w:val="005412BA"/>
    <w:rsid w:val="0054148A"/>
    <w:rsid w:val="00541866"/>
    <w:rsid w:val="00541A0E"/>
    <w:rsid w:val="00541DA1"/>
    <w:rsid w:val="00541DC2"/>
    <w:rsid w:val="00541DEB"/>
    <w:rsid w:val="00542030"/>
    <w:rsid w:val="00542101"/>
    <w:rsid w:val="00542369"/>
    <w:rsid w:val="00542505"/>
    <w:rsid w:val="00542A07"/>
    <w:rsid w:val="00542C66"/>
    <w:rsid w:val="00542CB2"/>
    <w:rsid w:val="00542D82"/>
    <w:rsid w:val="00542DC6"/>
    <w:rsid w:val="00542F10"/>
    <w:rsid w:val="0054374C"/>
    <w:rsid w:val="005439ED"/>
    <w:rsid w:val="00543BA8"/>
    <w:rsid w:val="00543C11"/>
    <w:rsid w:val="00543C20"/>
    <w:rsid w:val="00543D37"/>
    <w:rsid w:val="00543FB4"/>
    <w:rsid w:val="005449DE"/>
    <w:rsid w:val="00544D7A"/>
    <w:rsid w:val="00544D7F"/>
    <w:rsid w:val="00544E6F"/>
    <w:rsid w:val="00544F0D"/>
    <w:rsid w:val="0054503A"/>
    <w:rsid w:val="005450AE"/>
    <w:rsid w:val="0054524C"/>
    <w:rsid w:val="005452F5"/>
    <w:rsid w:val="0054535A"/>
    <w:rsid w:val="005454A0"/>
    <w:rsid w:val="00545776"/>
    <w:rsid w:val="00545D6D"/>
    <w:rsid w:val="005460EA"/>
    <w:rsid w:val="00546408"/>
    <w:rsid w:val="0054642F"/>
    <w:rsid w:val="0054645F"/>
    <w:rsid w:val="00546738"/>
    <w:rsid w:val="00546F80"/>
    <w:rsid w:val="005471ED"/>
    <w:rsid w:val="00547237"/>
    <w:rsid w:val="005472D8"/>
    <w:rsid w:val="0054739C"/>
    <w:rsid w:val="005474BC"/>
    <w:rsid w:val="00547657"/>
    <w:rsid w:val="005477A5"/>
    <w:rsid w:val="00547AF4"/>
    <w:rsid w:val="00550110"/>
    <w:rsid w:val="00550796"/>
    <w:rsid w:val="00550966"/>
    <w:rsid w:val="00550974"/>
    <w:rsid w:val="005509E0"/>
    <w:rsid w:val="00550AD8"/>
    <w:rsid w:val="00550B7D"/>
    <w:rsid w:val="00550D96"/>
    <w:rsid w:val="00550E0F"/>
    <w:rsid w:val="00550ED9"/>
    <w:rsid w:val="0055175C"/>
    <w:rsid w:val="005518CD"/>
    <w:rsid w:val="00551F36"/>
    <w:rsid w:val="00551F79"/>
    <w:rsid w:val="00552060"/>
    <w:rsid w:val="005520F3"/>
    <w:rsid w:val="00552769"/>
    <w:rsid w:val="005528FB"/>
    <w:rsid w:val="00552CA4"/>
    <w:rsid w:val="00552CBC"/>
    <w:rsid w:val="00552D01"/>
    <w:rsid w:val="005535AC"/>
    <w:rsid w:val="00553CB1"/>
    <w:rsid w:val="00553DEB"/>
    <w:rsid w:val="00553F96"/>
    <w:rsid w:val="0055426C"/>
    <w:rsid w:val="005549C1"/>
    <w:rsid w:val="00554A8E"/>
    <w:rsid w:val="00554C96"/>
    <w:rsid w:val="00554DAE"/>
    <w:rsid w:val="00554E2F"/>
    <w:rsid w:val="00554FA5"/>
    <w:rsid w:val="0055515F"/>
    <w:rsid w:val="00555185"/>
    <w:rsid w:val="005551F7"/>
    <w:rsid w:val="00555391"/>
    <w:rsid w:val="005555D9"/>
    <w:rsid w:val="005559BA"/>
    <w:rsid w:val="00555BB5"/>
    <w:rsid w:val="00555DDF"/>
    <w:rsid w:val="0055618A"/>
    <w:rsid w:val="005562DB"/>
    <w:rsid w:val="00556582"/>
    <w:rsid w:val="005565F3"/>
    <w:rsid w:val="0055675C"/>
    <w:rsid w:val="005568AA"/>
    <w:rsid w:val="00556941"/>
    <w:rsid w:val="0055696E"/>
    <w:rsid w:val="00556B60"/>
    <w:rsid w:val="00556C16"/>
    <w:rsid w:val="00556E09"/>
    <w:rsid w:val="00556EB7"/>
    <w:rsid w:val="00557247"/>
    <w:rsid w:val="005572F5"/>
    <w:rsid w:val="005576C5"/>
    <w:rsid w:val="00557B04"/>
    <w:rsid w:val="00557D0E"/>
    <w:rsid w:val="00557F87"/>
    <w:rsid w:val="00560543"/>
    <w:rsid w:val="0056063F"/>
    <w:rsid w:val="0056079B"/>
    <w:rsid w:val="005609B2"/>
    <w:rsid w:val="00560ADD"/>
    <w:rsid w:val="00560B32"/>
    <w:rsid w:val="00560C60"/>
    <w:rsid w:val="00561509"/>
    <w:rsid w:val="0056151F"/>
    <w:rsid w:val="00561A76"/>
    <w:rsid w:val="00561C60"/>
    <w:rsid w:val="00561DAF"/>
    <w:rsid w:val="00561E2C"/>
    <w:rsid w:val="005620A8"/>
    <w:rsid w:val="00562420"/>
    <w:rsid w:val="00562EB1"/>
    <w:rsid w:val="00563019"/>
    <w:rsid w:val="00563030"/>
    <w:rsid w:val="0056323A"/>
    <w:rsid w:val="00563398"/>
    <w:rsid w:val="005633A9"/>
    <w:rsid w:val="005633D4"/>
    <w:rsid w:val="005633ED"/>
    <w:rsid w:val="00563456"/>
    <w:rsid w:val="00563779"/>
    <w:rsid w:val="0056380B"/>
    <w:rsid w:val="00563C6F"/>
    <w:rsid w:val="00563DF7"/>
    <w:rsid w:val="00563EF1"/>
    <w:rsid w:val="0056408B"/>
    <w:rsid w:val="005645F0"/>
    <w:rsid w:val="00564AC0"/>
    <w:rsid w:val="00564BF7"/>
    <w:rsid w:val="00564F21"/>
    <w:rsid w:val="0056563F"/>
    <w:rsid w:val="005659A7"/>
    <w:rsid w:val="00565B69"/>
    <w:rsid w:val="00565BDB"/>
    <w:rsid w:val="00565C3C"/>
    <w:rsid w:val="00565C6C"/>
    <w:rsid w:val="00565C9D"/>
    <w:rsid w:val="005663D9"/>
    <w:rsid w:val="0056654A"/>
    <w:rsid w:val="005666EA"/>
    <w:rsid w:val="00566923"/>
    <w:rsid w:val="00566AF1"/>
    <w:rsid w:val="00567766"/>
    <w:rsid w:val="00567CAB"/>
    <w:rsid w:val="00567EA1"/>
    <w:rsid w:val="00570031"/>
    <w:rsid w:val="00570208"/>
    <w:rsid w:val="0057031F"/>
    <w:rsid w:val="00570BAD"/>
    <w:rsid w:val="00570C0E"/>
    <w:rsid w:val="00570F2C"/>
    <w:rsid w:val="0057133F"/>
    <w:rsid w:val="00571523"/>
    <w:rsid w:val="00572062"/>
    <w:rsid w:val="0057224B"/>
    <w:rsid w:val="0057231A"/>
    <w:rsid w:val="00572883"/>
    <w:rsid w:val="00572957"/>
    <w:rsid w:val="00572F71"/>
    <w:rsid w:val="00572FDF"/>
    <w:rsid w:val="00572FEE"/>
    <w:rsid w:val="00573052"/>
    <w:rsid w:val="005731B4"/>
    <w:rsid w:val="005733B5"/>
    <w:rsid w:val="0057342F"/>
    <w:rsid w:val="005734D4"/>
    <w:rsid w:val="00573556"/>
    <w:rsid w:val="00573623"/>
    <w:rsid w:val="0057379A"/>
    <w:rsid w:val="00573804"/>
    <w:rsid w:val="005739F7"/>
    <w:rsid w:val="00573D2F"/>
    <w:rsid w:val="00573E06"/>
    <w:rsid w:val="00573F88"/>
    <w:rsid w:val="005740B0"/>
    <w:rsid w:val="005742BE"/>
    <w:rsid w:val="005743CD"/>
    <w:rsid w:val="005744BA"/>
    <w:rsid w:val="005744DB"/>
    <w:rsid w:val="0057473F"/>
    <w:rsid w:val="00574DEE"/>
    <w:rsid w:val="00574F66"/>
    <w:rsid w:val="005750CD"/>
    <w:rsid w:val="005751AE"/>
    <w:rsid w:val="0057529C"/>
    <w:rsid w:val="00575391"/>
    <w:rsid w:val="005754F4"/>
    <w:rsid w:val="00575693"/>
    <w:rsid w:val="00575DAB"/>
    <w:rsid w:val="00575EA1"/>
    <w:rsid w:val="00575F99"/>
    <w:rsid w:val="00576090"/>
    <w:rsid w:val="005764C8"/>
    <w:rsid w:val="005764D8"/>
    <w:rsid w:val="00576738"/>
    <w:rsid w:val="0057679A"/>
    <w:rsid w:val="005767E1"/>
    <w:rsid w:val="005769D5"/>
    <w:rsid w:val="00576A72"/>
    <w:rsid w:val="00576AB6"/>
    <w:rsid w:val="00576AE1"/>
    <w:rsid w:val="00576BA6"/>
    <w:rsid w:val="005770E5"/>
    <w:rsid w:val="005770E6"/>
    <w:rsid w:val="00577116"/>
    <w:rsid w:val="005772D4"/>
    <w:rsid w:val="005773CD"/>
    <w:rsid w:val="00577509"/>
    <w:rsid w:val="00577598"/>
    <w:rsid w:val="00577601"/>
    <w:rsid w:val="005778CC"/>
    <w:rsid w:val="00577C78"/>
    <w:rsid w:val="0058084C"/>
    <w:rsid w:val="005809B2"/>
    <w:rsid w:val="00580AAF"/>
    <w:rsid w:val="00580B97"/>
    <w:rsid w:val="00580C36"/>
    <w:rsid w:val="00580C46"/>
    <w:rsid w:val="00580CD1"/>
    <w:rsid w:val="00580EFF"/>
    <w:rsid w:val="00581131"/>
    <w:rsid w:val="005811D7"/>
    <w:rsid w:val="00581361"/>
    <w:rsid w:val="00581421"/>
    <w:rsid w:val="005815BB"/>
    <w:rsid w:val="005815F4"/>
    <w:rsid w:val="0058197F"/>
    <w:rsid w:val="00581E79"/>
    <w:rsid w:val="00581F9F"/>
    <w:rsid w:val="0058211A"/>
    <w:rsid w:val="00582165"/>
    <w:rsid w:val="005821AE"/>
    <w:rsid w:val="00582468"/>
    <w:rsid w:val="00582893"/>
    <w:rsid w:val="00582EB3"/>
    <w:rsid w:val="00582FC5"/>
    <w:rsid w:val="0058313A"/>
    <w:rsid w:val="00583175"/>
    <w:rsid w:val="005833A0"/>
    <w:rsid w:val="005836D1"/>
    <w:rsid w:val="00583CDE"/>
    <w:rsid w:val="00583D20"/>
    <w:rsid w:val="00583DCB"/>
    <w:rsid w:val="00583E0F"/>
    <w:rsid w:val="00584344"/>
    <w:rsid w:val="0058435B"/>
    <w:rsid w:val="005843DE"/>
    <w:rsid w:val="005846B0"/>
    <w:rsid w:val="00584955"/>
    <w:rsid w:val="005851EF"/>
    <w:rsid w:val="005854FE"/>
    <w:rsid w:val="00585AB7"/>
    <w:rsid w:val="00585B11"/>
    <w:rsid w:val="00585E1A"/>
    <w:rsid w:val="00585FD6"/>
    <w:rsid w:val="00586291"/>
    <w:rsid w:val="005864B9"/>
    <w:rsid w:val="00586570"/>
    <w:rsid w:val="00586586"/>
    <w:rsid w:val="005869C2"/>
    <w:rsid w:val="00586B9F"/>
    <w:rsid w:val="00586F66"/>
    <w:rsid w:val="00587A34"/>
    <w:rsid w:val="00587D54"/>
    <w:rsid w:val="00587DC9"/>
    <w:rsid w:val="005900AC"/>
    <w:rsid w:val="0059078D"/>
    <w:rsid w:val="00590BAC"/>
    <w:rsid w:val="00590C51"/>
    <w:rsid w:val="00590CEB"/>
    <w:rsid w:val="00590F04"/>
    <w:rsid w:val="005912C5"/>
    <w:rsid w:val="005912FD"/>
    <w:rsid w:val="005914F3"/>
    <w:rsid w:val="005915A9"/>
    <w:rsid w:val="00591AA1"/>
    <w:rsid w:val="00591C13"/>
    <w:rsid w:val="00591F81"/>
    <w:rsid w:val="005920D0"/>
    <w:rsid w:val="00592498"/>
    <w:rsid w:val="0059270B"/>
    <w:rsid w:val="005927FD"/>
    <w:rsid w:val="0059284E"/>
    <w:rsid w:val="00592C3D"/>
    <w:rsid w:val="00592C3E"/>
    <w:rsid w:val="00592E6C"/>
    <w:rsid w:val="00592F41"/>
    <w:rsid w:val="0059310C"/>
    <w:rsid w:val="005932CC"/>
    <w:rsid w:val="005933CA"/>
    <w:rsid w:val="00593412"/>
    <w:rsid w:val="0059353F"/>
    <w:rsid w:val="0059354A"/>
    <w:rsid w:val="005935E5"/>
    <w:rsid w:val="00593627"/>
    <w:rsid w:val="005936D6"/>
    <w:rsid w:val="005939DD"/>
    <w:rsid w:val="00593A00"/>
    <w:rsid w:val="00593B7B"/>
    <w:rsid w:val="00593BF7"/>
    <w:rsid w:val="00593E2A"/>
    <w:rsid w:val="00594331"/>
    <w:rsid w:val="005944A5"/>
    <w:rsid w:val="00594537"/>
    <w:rsid w:val="005945BD"/>
    <w:rsid w:val="00594759"/>
    <w:rsid w:val="00594990"/>
    <w:rsid w:val="00594D38"/>
    <w:rsid w:val="00594DDF"/>
    <w:rsid w:val="0059504B"/>
    <w:rsid w:val="00595597"/>
    <w:rsid w:val="005959AD"/>
    <w:rsid w:val="00595A89"/>
    <w:rsid w:val="00595C47"/>
    <w:rsid w:val="00595E2D"/>
    <w:rsid w:val="00595E7D"/>
    <w:rsid w:val="005960E2"/>
    <w:rsid w:val="00596566"/>
    <w:rsid w:val="00596575"/>
    <w:rsid w:val="00596688"/>
    <w:rsid w:val="005967D7"/>
    <w:rsid w:val="0059682F"/>
    <w:rsid w:val="005968C1"/>
    <w:rsid w:val="005969FB"/>
    <w:rsid w:val="00596AE3"/>
    <w:rsid w:val="00596BCE"/>
    <w:rsid w:val="005971CA"/>
    <w:rsid w:val="00597A82"/>
    <w:rsid w:val="00597DA8"/>
    <w:rsid w:val="00597DF1"/>
    <w:rsid w:val="005A008F"/>
    <w:rsid w:val="005A00C8"/>
    <w:rsid w:val="005A0237"/>
    <w:rsid w:val="005A04B2"/>
    <w:rsid w:val="005A055A"/>
    <w:rsid w:val="005A12D6"/>
    <w:rsid w:val="005A1445"/>
    <w:rsid w:val="005A14C6"/>
    <w:rsid w:val="005A1AE9"/>
    <w:rsid w:val="005A1FAC"/>
    <w:rsid w:val="005A2048"/>
    <w:rsid w:val="005A2128"/>
    <w:rsid w:val="005A2183"/>
    <w:rsid w:val="005A2780"/>
    <w:rsid w:val="005A28AB"/>
    <w:rsid w:val="005A2A7F"/>
    <w:rsid w:val="005A2ECF"/>
    <w:rsid w:val="005A30F0"/>
    <w:rsid w:val="005A317D"/>
    <w:rsid w:val="005A3506"/>
    <w:rsid w:val="005A3738"/>
    <w:rsid w:val="005A3774"/>
    <w:rsid w:val="005A3BEB"/>
    <w:rsid w:val="005A3CEE"/>
    <w:rsid w:val="005A3D16"/>
    <w:rsid w:val="005A3D6C"/>
    <w:rsid w:val="005A3D82"/>
    <w:rsid w:val="005A3E0C"/>
    <w:rsid w:val="005A3EC9"/>
    <w:rsid w:val="005A405A"/>
    <w:rsid w:val="005A4328"/>
    <w:rsid w:val="005A443A"/>
    <w:rsid w:val="005A4783"/>
    <w:rsid w:val="005A4872"/>
    <w:rsid w:val="005A4A25"/>
    <w:rsid w:val="005A4CB7"/>
    <w:rsid w:val="005A4FC8"/>
    <w:rsid w:val="005A4FDE"/>
    <w:rsid w:val="005A4FE2"/>
    <w:rsid w:val="005A5573"/>
    <w:rsid w:val="005A5E91"/>
    <w:rsid w:val="005A685F"/>
    <w:rsid w:val="005A6936"/>
    <w:rsid w:val="005A69E9"/>
    <w:rsid w:val="005A6BA6"/>
    <w:rsid w:val="005A6D06"/>
    <w:rsid w:val="005A6DFA"/>
    <w:rsid w:val="005A7609"/>
    <w:rsid w:val="005A793B"/>
    <w:rsid w:val="005A7946"/>
    <w:rsid w:val="005A79BF"/>
    <w:rsid w:val="005A7FB9"/>
    <w:rsid w:val="005A7FBC"/>
    <w:rsid w:val="005B00B8"/>
    <w:rsid w:val="005B01F8"/>
    <w:rsid w:val="005B0256"/>
    <w:rsid w:val="005B07C3"/>
    <w:rsid w:val="005B0B13"/>
    <w:rsid w:val="005B0D2C"/>
    <w:rsid w:val="005B0DEA"/>
    <w:rsid w:val="005B0E1F"/>
    <w:rsid w:val="005B0F90"/>
    <w:rsid w:val="005B1046"/>
    <w:rsid w:val="005B1517"/>
    <w:rsid w:val="005B1589"/>
    <w:rsid w:val="005B1C24"/>
    <w:rsid w:val="005B1C83"/>
    <w:rsid w:val="005B1D8B"/>
    <w:rsid w:val="005B2439"/>
    <w:rsid w:val="005B253E"/>
    <w:rsid w:val="005B26F7"/>
    <w:rsid w:val="005B2AD5"/>
    <w:rsid w:val="005B2BC7"/>
    <w:rsid w:val="005B2BFD"/>
    <w:rsid w:val="005B2F0B"/>
    <w:rsid w:val="005B3468"/>
    <w:rsid w:val="005B3571"/>
    <w:rsid w:val="005B35C6"/>
    <w:rsid w:val="005B3661"/>
    <w:rsid w:val="005B367E"/>
    <w:rsid w:val="005B3798"/>
    <w:rsid w:val="005B3AD9"/>
    <w:rsid w:val="005B3DE3"/>
    <w:rsid w:val="005B3DEB"/>
    <w:rsid w:val="005B3F70"/>
    <w:rsid w:val="005B3FFF"/>
    <w:rsid w:val="005B41BB"/>
    <w:rsid w:val="005B42C7"/>
    <w:rsid w:val="005B4387"/>
    <w:rsid w:val="005B4554"/>
    <w:rsid w:val="005B4780"/>
    <w:rsid w:val="005B48CE"/>
    <w:rsid w:val="005B5071"/>
    <w:rsid w:val="005B50D6"/>
    <w:rsid w:val="005B50F5"/>
    <w:rsid w:val="005B51CB"/>
    <w:rsid w:val="005B5415"/>
    <w:rsid w:val="005B550E"/>
    <w:rsid w:val="005B5516"/>
    <w:rsid w:val="005B5620"/>
    <w:rsid w:val="005B5825"/>
    <w:rsid w:val="005B5841"/>
    <w:rsid w:val="005B5999"/>
    <w:rsid w:val="005B5F91"/>
    <w:rsid w:val="005B5F93"/>
    <w:rsid w:val="005B6190"/>
    <w:rsid w:val="005B63FA"/>
    <w:rsid w:val="005B6B53"/>
    <w:rsid w:val="005B6DE8"/>
    <w:rsid w:val="005B6E4D"/>
    <w:rsid w:val="005B6FE8"/>
    <w:rsid w:val="005B7066"/>
    <w:rsid w:val="005B7148"/>
    <w:rsid w:val="005B757D"/>
    <w:rsid w:val="005B7591"/>
    <w:rsid w:val="005B769A"/>
    <w:rsid w:val="005B781E"/>
    <w:rsid w:val="005C0011"/>
    <w:rsid w:val="005C0200"/>
    <w:rsid w:val="005C0532"/>
    <w:rsid w:val="005C0542"/>
    <w:rsid w:val="005C0547"/>
    <w:rsid w:val="005C0714"/>
    <w:rsid w:val="005C08F9"/>
    <w:rsid w:val="005C0C97"/>
    <w:rsid w:val="005C0EB9"/>
    <w:rsid w:val="005C124A"/>
    <w:rsid w:val="005C165E"/>
    <w:rsid w:val="005C17C5"/>
    <w:rsid w:val="005C1B58"/>
    <w:rsid w:val="005C1D66"/>
    <w:rsid w:val="005C209A"/>
    <w:rsid w:val="005C214F"/>
    <w:rsid w:val="005C250B"/>
    <w:rsid w:val="005C2604"/>
    <w:rsid w:val="005C2749"/>
    <w:rsid w:val="005C2861"/>
    <w:rsid w:val="005C28C9"/>
    <w:rsid w:val="005C2A7F"/>
    <w:rsid w:val="005C2B14"/>
    <w:rsid w:val="005C2C43"/>
    <w:rsid w:val="005C2D24"/>
    <w:rsid w:val="005C2D69"/>
    <w:rsid w:val="005C2D70"/>
    <w:rsid w:val="005C2ECC"/>
    <w:rsid w:val="005C2F7C"/>
    <w:rsid w:val="005C3258"/>
    <w:rsid w:val="005C32AE"/>
    <w:rsid w:val="005C3472"/>
    <w:rsid w:val="005C35F1"/>
    <w:rsid w:val="005C363C"/>
    <w:rsid w:val="005C36E4"/>
    <w:rsid w:val="005C3B40"/>
    <w:rsid w:val="005C3E4B"/>
    <w:rsid w:val="005C4451"/>
    <w:rsid w:val="005C48CB"/>
    <w:rsid w:val="005C4D5B"/>
    <w:rsid w:val="005C4EF5"/>
    <w:rsid w:val="005C5117"/>
    <w:rsid w:val="005C512F"/>
    <w:rsid w:val="005C539A"/>
    <w:rsid w:val="005C5801"/>
    <w:rsid w:val="005C5AD7"/>
    <w:rsid w:val="005C5B35"/>
    <w:rsid w:val="005C5C98"/>
    <w:rsid w:val="005C6A6A"/>
    <w:rsid w:val="005C6B97"/>
    <w:rsid w:val="005C6D23"/>
    <w:rsid w:val="005C700A"/>
    <w:rsid w:val="005C734F"/>
    <w:rsid w:val="005C7517"/>
    <w:rsid w:val="005C786D"/>
    <w:rsid w:val="005C7972"/>
    <w:rsid w:val="005C79DE"/>
    <w:rsid w:val="005C7D94"/>
    <w:rsid w:val="005D01E9"/>
    <w:rsid w:val="005D0716"/>
    <w:rsid w:val="005D0DA8"/>
    <w:rsid w:val="005D1044"/>
    <w:rsid w:val="005D12A9"/>
    <w:rsid w:val="005D13B5"/>
    <w:rsid w:val="005D16D7"/>
    <w:rsid w:val="005D1726"/>
    <w:rsid w:val="005D178D"/>
    <w:rsid w:val="005D1DEF"/>
    <w:rsid w:val="005D1E77"/>
    <w:rsid w:val="005D1EA4"/>
    <w:rsid w:val="005D2189"/>
    <w:rsid w:val="005D2483"/>
    <w:rsid w:val="005D293F"/>
    <w:rsid w:val="005D2B24"/>
    <w:rsid w:val="005D2B3A"/>
    <w:rsid w:val="005D326B"/>
    <w:rsid w:val="005D32D0"/>
    <w:rsid w:val="005D3538"/>
    <w:rsid w:val="005D3B14"/>
    <w:rsid w:val="005D3BCB"/>
    <w:rsid w:val="005D3CA2"/>
    <w:rsid w:val="005D3CB4"/>
    <w:rsid w:val="005D3CDB"/>
    <w:rsid w:val="005D4101"/>
    <w:rsid w:val="005D47A6"/>
    <w:rsid w:val="005D4DFA"/>
    <w:rsid w:val="005D520B"/>
    <w:rsid w:val="005D5398"/>
    <w:rsid w:val="005D550E"/>
    <w:rsid w:val="005D5512"/>
    <w:rsid w:val="005D5562"/>
    <w:rsid w:val="005D5627"/>
    <w:rsid w:val="005D5818"/>
    <w:rsid w:val="005D5963"/>
    <w:rsid w:val="005D5E87"/>
    <w:rsid w:val="005D5FCF"/>
    <w:rsid w:val="005D6182"/>
    <w:rsid w:val="005D6348"/>
    <w:rsid w:val="005D63D7"/>
    <w:rsid w:val="005D6648"/>
    <w:rsid w:val="005D67DB"/>
    <w:rsid w:val="005D6A82"/>
    <w:rsid w:val="005D6AA5"/>
    <w:rsid w:val="005D6AD4"/>
    <w:rsid w:val="005D6BC4"/>
    <w:rsid w:val="005D6EAC"/>
    <w:rsid w:val="005D70B2"/>
    <w:rsid w:val="005D7224"/>
    <w:rsid w:val="005D7233"/>
    <w:rsid w:val="005D74A0"/>
    <w:rsid w:val="005D74CB"/>
    <w:rsid w:val="005D74D0"/>
    <w:rsid w:val="005D74D6"/>
    <w:rsid w:val="005D74E6"/>
    <w:rsid w:val="005D77DA"/>
    <w:rsid w:val="005D7D80"/>
    <w:rsid w:val="005E0053"/>
    <w:rsid w:val="005E0092"/>
    <w:rsid w:val="005E074B"/>
    <w:rsid w:val="005E07E6"/>
    <w:rsid w:val="005E0EDC"/>
    <w:rsid w:val="005E111A"/>
    <w:rsid w:val="005E118E"/>
    <w:rsid w:val="005E12B4"/>
    <w:rsid w:val="005E12F5"/>
    <w:rsid w:val="005E19ED"/>
    <w:rsid w:val="005E1D9E"/>
    <w:rsid w:val="005E28BD"/>
    <w:rsid w:val="005E29C4"/>
    <w:rsid w:val="005E2BFD"/>
    <w:rsid w:val="005E2C50"/>
    <w:rsid w:val="005E31CA"/>
    <w:rsid w:val="005E3501"/>
    <w:rsid w:val="005E37D1"/>
    <w:rsid w:val="005E3857"/>
    <w:rsid w:val="005E3B1E"/>
    <w:rsid w:val="005E3D73"/>
    <w:rsid w:val="005E4086"/>
    <w:rsid w:val="005E431C"/>
    <w:rsid w:val="005E4927"/>
    <w:rsid w:val="005E49C4"/>
    <w:rsid w:val="005E5001"/>
    <w:rsid w:val="005E5115"/>
    <w:rsid w:val="005E5330"/>
    <w:rsid w:val="005E5400"/>
    <w:rsid w:val="005E55EA"/>
    <w:rsid w:val="005E565E"/>
    <w:rsid w:val="005E5709"/>
    <w:rsid w:val="005E5A5B"/>
    <w:rsid w:val="005E5E96"/>
    <w:rsid w:val="005E6005"/>
    <w:rsid w:val="005E606C"/>
    <w:rsid w:val="005E608C"/>
    <w:rsid w:val="005E60F9"/>
    <w:rsid w:val="005E6222"/>
    <w:rsid w:val="005E6392"/>
    <w:rsid w:val="005E6516"/>
    <w:rsid w:val="005E6541"/>
    <w:rsid w:val="005E6607"/>
    <w:rsid w:val="005E66C6"/>
    <w:rsid w:val="005E6CE7"/>
    <w:rsid w:val="005E6D17"/>
    <w:rsid w:val="005E6E90"/>
    <w:rsid w:val="005E6F06"/>
    <w:rsid w:val="005E6F14"/>
    <w:rsid w:val="005E7001"/>
    <w:rsid w:val="005E7098"/>
    <w:rsid w:val="005E71C9"/>
    <w:rsid w:val="005E786D"/>
    <w:rsid w:val="005E79AE"/>
    <w:rsid w:val="005E7A2E"/>
    <w:rsid w:val="005E7A45"/>
    <w:rsid w:val="005E7D2B"/>
    <w:rsid w:val="005F0209"/>
    <w:rsid w:val="005F0536"/>
    <w:rsid w:val="005F06EA"/>
    <w:rsid w:val="005F0788"/>
    <w:rsid w:val="005F09C0"/>
    <w:rsid w:val="005F0C6E"/>
    <w:rsid w:val="005F0D9F"/>
    <w:rsid w:val="005F0E58"/>
    <w:rsid w:val="005F0E80"/>
    <w:rsid w:val="005F0F0E"/>
    <w:rsid w:val="005F1215"/>
    <w:rsid w:val="005F1528"/>
    <w:rsid w:val="005F15A2"/>
    <w:rsid w:val="005F16FF"/>
    <w:rsid w:val="005F1AB0"/>
    <w:rsid w:val="005F1AF6"/>
    <w:rsid w:val="005F218A"/>
    <w:rsid w:val="005F2381"/>
    <w:rsid w:val="005F260D"/>
    <w:rsid w:val="005F27BE"/>
    <w:rsid w:val="005F2B39"/>
    <w:rsid w:val="005F2D3D"/>
    <w:rsid w:val="005F31E9"/>
    <w:rsid w:val="005F3269"/>
    <w:rsid w:val="005F3383"/>
    <w:rsid w:val="005F3771"/>
    <w:rsid w:val="005F3795"/>
    <w:rsid w:val="005F3B6E"/>
    <w:rsid w:val="005F3BAF"/>
    <w:rsid w:val="005F3BE6"/>
    <w:rsid w:val="005F3D7B"/>
    <w:rsid w:val="005F4054"/>
    <w:rsid w:val="005F44BA"/>
    <w:rsid w:val="005F46A3"/>
    <w:rsid w:val="005F4C0C"/>
    <w:rsid w:val="005F5028"/>
    <w:rsid w:val="005F5241"/>
    <w:rsid w:val="005F525A"/>
    <w:rsid w:val="005F53A3"/>
    <w:rsid w:val="005F5455"/>
    <w:rsid w:val="005F54F5"/>
    <w:rsid w:val="005F57A0"/>
    <w:rsid w:val="005F57FD"/>
    <w:rsid w:val="005F6191"/>
    <w:rsid w:val="005F6460"/>
    <w:rsid w:val="005F68FD"/>
    <w:rsid w:val="005F71B7"/>
    <w:rsid w:val="005F72DF"/>
    <w:rsid w:val="005F7471"/>
    <w:rsid w:val="005F74C0"/>
    <w:rsid w:val="005F7DAB"/>
    <w:rsid w:val="00600A21"/>
    <w:rsid w:val="00600A83"/>
    <w:rsid w:val="00600B90"/>
    <w:rsid w:val="00600D8C"/>
    <w:rsid w:val="00600F4C"/>
    <w:rsid w:val="00600FA6"/>
    <w:rsid w:val="0060112D"/>
    <w:rsid w:val="006012ED"/>
    <w:rsid w:val="006015CA"/>
    <w:rsid w:val="00601649"/>
    <w:rsid w:val="00601792"/>
    <w:rsid w:val="006018C9"/>
    <w:rsid w:val="00602566"/>
    <w:rsid w:val="006029DB"/>
    <w:rsid w:val="00602ACD"/>
    <w:rsid w:val="00602C16"/>
    <w:rsid w:val="00602C29"/>
    <w:rsid w:val="0060309A"/>
    <w:rsid w:val="0060311B"/>
    <w:rsid w:val="0060320D"/>
    <w:rsid w:val="0060355C"/>
    <w:rsid w:val="006035FC"/>
    <w:rsid w:val="0060361A"/>
    <w:rsid w:val="00603760"/>
    <w:rsid w:val="00603884"/>
    <w:rsid w:val="00603BFC"/>
    <w:rsid w:val="00603C01"/>
    <w:rsid w:val="00603D7D"/>
    <w:rsid w:val="00603D81"/>
    <w:rsid w:val="006040C4"/>
    <w:rsid w:val="00604239"/>
    <w:rsid w:val="00604755"/>
    <w:rsid w:val="00604792"/>
    <w:rsid w:val="0060479B"/>
    <w:rsid w:val="00604CFD"/>
    <w:rsid w:val="006050FA"/>
    <w:rsid w:val="00605128"/>
    <w:rsid w:val="00605199"/>
    <w:rsid w:val="00605253"/>
    <w:rsid w:val="00605318"/>
    <w:rsid w:val="00605885"/>
    <w:rsid w:val="006059C6"/>
    <w:rsid w:val="00605B4E"/>
    <w:rsid w:val="00605BD9"/>
    <w:rsid w:val="00605D2A"/>
    <w:rsid w:val="00605EFC"/>
    <w:rsid w:val="00605F9C"/>
    <w:rsid w:val="006060BC"/>
    <w:rsid w:val="00606527"/>
    <w:rsid w:val="00606532"/>
    <w:rsid w:val="00606934"/>
    <w:rsid w:val="00606A49"/>
    <w:rsid w:val="00606AA9"/>
    <w:rsid w:val="00606ADC"/>
    <w:rsid w:val="00606B1C"/>
    <w:rsid w:val="00606DD2"/>
    <w:rsid w:val="00606E60"/>
    <w:rsid w:val="00607335"/>
    <w:rsid w:val="0060738F"/>
    <w:rsid w:val="006074A1"/>
    <w:rsid w:val="00607502"/>
    <w:rsid w:val="00607D23"/>
    <w:rsid w:val="00607E60"/>
    <w:rsid w:val="00610146"/>
    <w:rsid w:val="006102E0"/>
    <w:rsid w:val="00610A9A"/>
    <w:rsid w:val="00610D14"/>
    <w:rsid w:val="00610F94"/>
    <w:rsid w:val="006113F3"/>
    <w:rsid w:val="006119D9"/>
    <w:rsid w:val="00611AA7"/>
    <w:rsid w:val="00611D9D"/>
    <w:rsid w:val="00611FEA"/>
    <w:rsid w:val="006126B6"/>
    <w:rsid w:val="006129EA"/>
    <w:rsid w:val="00612ABF"/>
    <w:rsid w:val="00612D76"/>
    <w:rsid w:val="00612E08"/>
    <w:rsid w:val="00612E59"/>
    <w:rsid w:val="00612EA8"/>
    <w:rsid w:val="00612FB3"/>
    <w:rsid w:val="006131BE"/>
    <w:rsid w:val="00613829"/>
    <w:rsid w:val="0061382F"/>
    <w:rsid w:val="00614257"/>
    <w:rsid w:val="006142AC"/>
    <w:rsid w:val="0061442F"/>
    <w:rsid w:val="00614492"/>
    <w:rsid w:val="0061487A"/>
    <w:rsid w:val="00614D84"/>
    <w:rsid w:val="00614E5A"/>
    <w:rsid w:val="006154D2"/>
    <w:rsid w:val="006154F3"/>
    <w:rsid w:val="00615717"/>
    <w:rsid w:val="00615859"/>
    <w:rsid w:val="00615C41"/>
    <w:rsid w:val="006161EA"/>
    <w:rsid w:val="006162A9"/>
    <w:rsid w:val="00616680"/>
    <w:rsid w:val="00616731"/>
    <w:rsid w:val="006167AC"/>
    <w:rsid w:val="006167BC"/>
    <w:rsid w:val="00616AD2"/>
    <w:rsid w:val="00616D0F"/>
    <w:rsid w:val="00616EDC"/>
    <w:rsid w:val="0061714D"/>
    <w:rsid w:val="00617392"/>
    <w:rsid w:val="006174A0"/>
    <w:rsid w:val="006176AA"/>
    <w:rsid w:val="00617773"/>
    <w:rsid w:val="0061786D"/>
    <w:rsid w:val="00617A69"/>
    <w:rsid w:val="00617E33"/>
    <w:rsid w:val="00617E7C"/>
    <w:rsid w:val="00617ED5"/>
    <w:rsid w:val="00620083"/>
    <w:rsid w:val="006200EC"/>
    <w:rsid w:val="00620733"/>
    <w:rsid w:val="006207F9"/>
    <w:rsid w:val="0062088A"/>
    <w:rsid w:val="006209D6"/>
    <w:rsid w:val="00620A0D"/>
    <w:rsid w:val="00620AD6"/>
    <w:rsid w:val="00621025"/>
    <w:rsid w:val="006213E2"/>
    <w:rsid w:val="006217CB"/>
    <w:rsid w:val="006218EC"/>
    <w:rsid w:val="00621C18"/>
    <w:rsid w:val="006222C4"/>
    <w:rsid w:val="0062231B"/>
    <w:rsid w:val="006223A6"/>
    <w:rsid w:val="00622A3E"/>
    <w:rsid w:val="00622BB3"/>
    <w:rsid w:val="00622D17"/>
    <w:rsid w:val="00622D86"/>
    <w:rsid w:val="0062349A"/>
    <w:rsid w:val="00623997"/>
    <w:rsid w:val="00623ADD"/>
    <w:rsid w:val="00623B04"/>
    <w:rsid w:val="00623CD0"/>
    <w:rsid w:val="006244F1"/>
    <w:rsid w:val="006246BD"/>
    <w:rsid w:val="006247F3"/>
    <w:rsid w:val="006247FF"/>
    <w:rsid w:val="006248EA"/>
    <w:rsid w:val="00624939"/>
    <w:rsid w:val="00624B7E"/>
    <w:rsid w:val="00624C5E"/>
    <w:rsid w:val="00624D62"/>
    <w:rsid w:val="0062540C"/>
    <w:rsid w:val="0062556C"/>
    <w:rsid w:val="00625894"/>
    <w:rsid w:val="00626197"/>
    <w:rsid w:val="006264D3"/>
    <w:rsid w:val="006269B6"/>
    <w:rsid w:val="00626E18"/>
    <w:rsid w:val="00626E73"/>
    <w:rsid w:val="00626FD8"/>
    <w:rsid w:val="0062762A"/>
    <w:rsid w:val="006279BD"/>
    <w:rsid w:val="00627B61"/>
    <w:rsid w:val="00627BAE"/>
    <w:rsid w:val="00627F52"/>
    <w:rsid w:val="006303A6"/>
    <w:rsid w:val="0063073F"/>
    <w:rsid w:val="0063097D"/>
    <w:rsid w:val="00630A3A"/>
    <w:rsid w:val="00630B17"/>
    <w:rsid w:val="00630CB2"/>
    <w:rsid w:val="00630D2E"/>
    <w:rsid w:val="00630DB5"/>
    <w:rsid w:val="00630DF7"/>
    <w:rsid w:val="006313E9"/>
    <w:rsid w:val="0063175C"/>
    <w:rsid w:val="00631CC4"/>
    <w:rsid w:val="00631D40"/>
    <w:rsid w:val="00631F7A"/>
    <w:rsid w:val="0063200E"/>
    <w:rsid w:val="0063236B"/>
    <w:rsid w:val="00633114"/>
    <w:rsid w:val="00633232"/>
    <w:rsid w:val="006334FF"/>
    <w:rsid w:val="006335A2"/>
    <w:rsid w:val="006335D7"/>
    <w:rsid w:val="006335D9"/>
    <w:rsid w:val="00633651"/>
    <w:rsid w:val="00633A02"/>
    <w:rsid w:val="00633E11"/>
    <w:rsid w:val="00634033"/>
    <w:rsid w:val="006342B9"/>
    <w:rsid w:val="0063443C"/>
    <w:rsid w:val="00634516"/>
    <w:rsid w:val="00634534"/>
    <w:rsid w:val="00634824"/>
    <w:rsid w:val="006349EE"/>
    <w:rsid w:val="00634F3A"/>
    <w:rsid w:val="00634F84"/>
    <w:rsid w:val="00634F95"/>
    <w:rsid w:val="0063508B"/>
    <w:rsid w:val="00635338"/>
    <w:rsid w:val="0063569A"/>
    <w:rsid w:val="00635B18"/>
    <w:rsid w:val="00635C14"/>
    <w:rsid w:val="006361F8"/>
    <w:rsid w:val="00636224"/>
    <w:rsid w:val="006362CB"/>
    <w:rsid w:val="006363F9"/>
    <w:rsid w:val="00636813"/>
    <w:rsid w:val="00636C66"/>
    <w:rsid w:val="0063724F"/>
    <w:rsid w:val="0063725A"/>
    <w:rsid w:val="006372AF"/>
    <w:rsid w:val="00637385"/>
    <w:rsid w:val="006374A1"/>
    <w:rsid w:val="00637C3B"/>
    <w:rsid w:val="00637CF1"/>
    <w:rsid w:val="00640115"/>
    <w:rsid w:val="00640162"/>
    <w:rsid w:val="00640474"/>
    <w:rsid w:val="006404DD"/>
    <w:rsid w:val="00640A41"/>
    <w:rsid w:val="00640AE2"/>
    <w:rsid w:val="00640B8F"/>
    <w:rsid w:val="00640DEA"/>
    <w:rsid w:val="006411CF"/>
    <w:rsid w:val="00641290"/>
    <w:rsid w:val="00641398"/>
    <w:rsid w:val="00641564"/>
    <w:rsid w:val="006418A6"/>
    <w:rsid w:val="00641F09"/>
    <w:rsid w:val="00642479"/>
    <w:rsid w:val="006424BE"/>
    <w:rsid w:val="0064262B"/>
    <w:rsid w:val="00642691"/>
    <w:rsid w:val="00642819"/>
    <w:rsid w:val="00642925"/>
    <w:rsid w:val="00642B26"/>
    <w:rsid w:val="00642BFB"/>
    <w:rsid w:val="00642C4C"/>
    <w:rsid w:val="00642DD7"/>
    <w:rsid w:val="00642F3E"/>
    <w:rsid w:val="006430BA"/>
    <w:rsid w:val="006432C0"/>
    <w:rsid w:val="00643546"/>
    <w:rsid w:val="0064355C"/>
    <w:rsid w:val="00643E75"/>
    <w:rsid w:val="006443B5"/>
    <w:rsid w:val="00644640"/>
    <w:rsid w:val="0064469A"/>
    <w:rsid w:val="00644A1F"/>
    <w:rsid w:val="00644A8B"/>
    <w:rsid w:val="00644CF5"/>
    <w:rsid w:val="00644EAE"/>
    <w:rsid w:val="00644EB7"/>
    <w:rsid w:val="006450E4"/>
    <w:rsid w:val="006453E8"/>
    <w:rsid w:val="006455ED"/>
    <w:rsid w:val="00645F2E"/>
    <w:rsid w:val="00646158"/>
    <w:rsid w:val="006463BD"/>
    <w:rsid w:val="0064644F"/>
    <w:rsid w:val="0064647E"/>
    <w:rsid w:val="006464B5"/>
    <w:rsid w:val="006464CD"/>
    <w:rsid w:val="0064696F"/>
    <w:rsid w:val="00646B2C"/>
    <w:rsid w:val="0064719C"/>
    <w:rsid w:val="0064788B"/>
    <w:rsid w:val="00647AE8"/>
    <w:rsid w:val="00647B9A"/>
    <w:rsid w:val="00647C30"/>
    <w:rsid w:val="00647C9B"/>
    <w:rsid w:val="00647D00"/>
    <w:rsid w:val="006500C3"/>
    <w:rsid w:val="00650116"/>
    <w:rsid w:val="00650447"/>
    <w:rsid w:val="006504B6"/>
    <w:rsid w:val="00650B52"/>
    <w:rsid w:val="00650B55"/>
    <w:rsid w:val="00650D85"/>
    <w:rsid w:val="00651149"/>
    <w:rsid w:val="00651A91"/>
    <w:rsid w:val="00651CA3"/>
    <w:rsid w:val="00651ECA"/>
    <w:rsid w:val="00651F0B"/>
    <w:rsid w:val="00652287"/>
    <w:rsid w:val="006525B9"/>
    <w:rsid w:val="00652660"/>
    <w:rsid w:val="00652682"/>
    <w:rsid w:val="006528A1"/>
    <w:rsid w:val="006528C9"/>
    <w:rsid w:val="00652EE5"/>
    <w:rsid w:val="00652FF8"/>
    <w:rsid w:val="006530B3"/>
    <w:rsid w:val="00653268"/>
    <w:rsid w:val="006533EE"/>
    <w:rsid w:val="00653712"/>
    <w:rsid w:val="006537C8"/>
    <w:rsid w:val="00653F84"/>
    <w:rsid w:val="006543D2"/>
    <w:rsid w:val="00654D83"/>
    <w:rsid w:val="00654DF7"/>
    <w:rsid w:val="0065505D"/>
    <w:rsid w:val="00655081"/>
    <w:rsid w:val="0065508E"/>
    <w:rsid w:val="00655A4B"/>
    <w:rsid w:val="00655E7A"/>
    <w:rsid w:val="00655EC1"/>
    <w:rsid w:val="00656253"/>
    <w:rsid w:val="00656451"/>
    <w:rsid w:val="006566BE"/>
    <w:rsid w:val="006567E4"/>
    <w:rsid w:val="0065694E"/>
    <w:rsid w:val="00656A97"/>
    <w:rsid w:val="00656C46"/>
    <w:rsid w:val="00656EA8"/>
    <w:rsid w:val="006573CB"/>
    <w:rsid w:val="006575E4"/>
    <w:rsid w:val="006575E7"/>
    <w:rsid w:val="006576E0"/>
    <w:rsid w:val="006579F1"/>
    <w:rsid w:val="00657DB6"/>
    <w:rsid w:val="00657EB1"/>
    <w:rsid w:val="006602C7"/>
    <w:rsid w:val="0066039A"/>
    <w:rsid w:val="00660452"/>
    <w:rsid w:val="0066045E"/>
    <w:rsid w:val="00660545"/>
    <w:rsid w:val="006605CF"/>
    <w:rsid w:val="006607E7"/>
    <w:rsid w:val="006608C0"/>
    <w:rsid w:val="00660A5B"/>
    <w:rsid w:val="00660A6B"/>
    <w:rsid w:val="00660A8A"/>
    <w:rsid w:val="00661023"/>
    <w:rsid w:val="006610D4"/>
    <w:rsid w:val="0066130A"/>
    <w:rsid w:val="0066138E"/>
    <w:rsid w:val="00661392"/>
    <w:rsid w:val="006614FD"/>
    <w:rsid w:val="006615BA"/>
    <w:rsid w:val="00661789"/>
    <w:rsid w:val="006621C3"/>
    <w:rsid w:val="006622F4"/>
    <w:rsid w:val="00662411"/>
    <w:rsid w:val="006625D9"/>
    <w:rsid w:val="00662620"/>
    <w:rsid w:val="006629E1"/>
    <w:rsid w:val="00662ACF"/>
    <w:rsid w:val="006633D4"/>
    <w:rsid w:val="00663998"/>
    <w:rsid w:val="00663A38"/>
    <w:rsid w:val="00663C5A"/>
    <w:rsid w:val="00663F7A"/>
    <w:rsid w:val="00664272"/>
    <w:rsid w:val="00664801"/>
    <w:rsid w:val="00664D34"/>
    <w:rsid w:val="0066515B"/>
    <w:rsid w:val="006651BD"/>
    <w:rsid w:val="00665455"/>
    <w:rsid w:val="00665A3D"/>
    <w:rsid w:val="00665AB8"/>
    <w:rsid w:val="00665CBA"/>
    <w:rsid w:val="00665CF0"/>
    <w:rsid w:val="00665FAD"/>
    <w:rsid w:val="00666055"/>
    <w:rsid w:val="006660A8"/>
    <w:rsid w:val="00666370"/>
    <w:rsid w:val="006663E4"/>
    <w:rsid w:val="00666433"/>
    <w:rsid w:val="00666481"/>
    <w:rsid w:val="00666648"/>
    <w:rsid w:val="0066664B"/>
    <w:rsid w:val="00666665"/>
    <w:rsid w:val="00666949"/>
    <w:rsid w:val="00666AAE"/>
    <w:rsid w:val="00666BB3"/>
    <w:rsid w:val="00666FAF"/>
    <w:rsid w:val="00667056"/>
    <w:rsid w:val="00667176"/>
    <w:rsid w:val="006673E8"/>
    <w:rsid w:val="006675F7"/>
    <w:rsid w:val="006676C7"/>
    <w:rsid w:val="00667835"/>
    <w:rsid w:val="006678A2"/>
    <w:rsid w:val="00667BFC"/>
    <w:rsid w:val="00667D7E"/>
    <w:rsid w:val="00667D9D"/>
    <w:rsid w:val="00667E31"/>
    <w:rsid w:val="00670111"/>
    <w:rsid w:val="00670225"/>
    <w:rsid w:val="006704D4"/>
    <w:rsid w:val="00670671"/>
    <w:rsid w:val="0067078A"/>
    <w:rsid w:val="006708D7"/>
    <w:rsid w:val="00670A59"/>
    <w:rsid w:val="00670ADF"/>
    <w:rsid w:val="0067195D"/>
    <w:rsid w:val="00671994"/>
    <w:rsid w:val="00671A71"/>
    <w:rsid w:val="00671BB6"/>
    <w:rsid w:val="00671DEE"/>
    <w:rsid w:val="00671EC0"/>
    <w:rsid w:val="006720AB"/>
    <w:rsid w:val="006721A3"/>
    <w:rsid w:val="00672300"/>
    <w:rsid w:val="006728B4"/>
    <w:rsid w:val="00672A36"/>
    <w:rsid w:val="00672D7F"/>
    <w:rsid w:val="00672E56"/>
    <w:rsid w:val="00672F6B"/>
    <w:rsid w:val="00672FD8"/>
    <w:rsid w:val="006732AD"/>
    <w:rsid w:val="006732C3"/>
    <w:rsid w:val="00673311"/>
    <w:rsid w:val="00673659"/>
    <w:rsid w:val="006739F9"/>
    <w:rsid w:val="00673B9B"/>
    <w:rsid w:val="00673C67"/>
    <w:rsid w:val="00673D1B"/>
    <w:rsid w:val="00673FF2"/>
    <w:rsid w:val="006741B9"/>
    <w:rsid w:val="006741CE"/>
    <w:rsid w:val="006743BB"/>
    <w:rsid w:val="00674613"/>
    <w:rsid w:val="00674924"/>
    <w:rsid w:val="00674B4E"/>
    <w:rsid w:val="00675590"/>
    <w:rsid w:val="00675627"/>
    <w:rsid w:val="006756AE"/>
    <w:rsid w:val="00675C9E"/>
    <w:rsid w:val="00675E47"/>
    <w:rsid w:val="006767FF"/>
    <w:rsid w:val="006768A9"/>
    <w:rsid w:val="00676951"/>
    <w:rsid w:val="00676B4F"/>
    <w:rsid w:val="00676B72"/>
    <w:rsid w:val="00676F2B"/>
    <w:rsid w:val="00676F48"/>
    <w:rsid w:val="00677124"/>
    <w:rsid w:val="006771EE"/>
    <w:rsid w:val="0067756D"/>
    <w:rsid w:val="00677666"/>
    <w:rsid w:val="0067770B"/>
    <w:rsid w:val="0067778D"/>
    <w:rsid w:val="00677879"/>
    <w:rsid w:val="00677937"/>
    <w:rsid w:val="00677E1B"/>
    <w:rsid w:val="00677F9D"/>
    <w:rsid w:val="00680142"/>
    <w:rsid w:val="006802D3"/>
    <w:rsid w:val="00680AB3"/>
    <w:rsid w:val="00680AC6"/>
    <w:rsid w:val="00680CEC"/>
    <w:rsid w:val="00681462"/>
    <w:rsid w:val="00681504"/>
    <w:rsid w:val="0068156D"/>
    <w:rsid w:val="006817E1"/>
    <w:rsid w:val="006818EF"/>
    <w:rsid w:val="00681A30"/>
    <w:rsid w:val="00681A49"/>
    <w:rsid w:val="00681C6E"/>
    <w:rsid w:val="00681D4B"/>
    <w:rsid w:val="00681D6E"/>
    <w:rsid w:val="00681DB0"/>
    <w:rsid w:val="00681E6F"/>
    <w:rsid w:val="00681F4D"/>
    <w:rsid w:val="0068250F"/>
    <w:rsid w:val="00682571"/>
    <w:rsid w:val="00682665"/>
    <w:rsid w:val="00682A41"/>
    <w:rsid w:val="00682B8A"/>
    <w:rsid w:val="00682D71"/>
    <w:rsid w:val="00682EEC"/>
    <w:rsid w:val="00682FEE"/>
    <w:rsid w:val="006836B8"/>
    <w:rsid w:val="00683C3D"/>
    <w:rsid w:val="00683EF7"/>
    <w:rsid w:val="00684063"/>
    <w:rsid w:val="006840FA"/>
    <w:rsid w:val="0068419E"/>
    <w:rsid w:val="0068475F"/>
    <w:rsid w:val="00684821"/>
    <w:rsid w:val="00684AD3"/>
    <w:rsid w:val="00684CAA"/>
    <w:rsid w:val="00685044"/>
    <w:rsid w:val="00685057"/>
    <w:rsid w:val="006857BB"/>
    <w:rsid w:val="00685866"/>
    <w:rsid w:val="006858F1"/>
    <w:rsid w:val="00685CA7"/>
    <w:rsid w:val="00685DAA"/>
    <w:rsid w:val="00686027"/>
    <w:rsid w:val="00686056"/>
    <w:rsid w:val="00686989"/>
    <w:rsid w:val="00686B48"/>
    <w:rsid w:val="00686BDC"/>
    <w:rsid w:val="00687069"/>
    <w:rsid w:val="00687140"/>
    <w:rsid w:val="006873A5"/>
    <w:rsid w:val="006875FC"/>
    <w:rsid w:val="006876CD"/>
    <w:rsid w:val="0068784D"/>
    <w:rsid w:val="00687859"/>
    <w:rsid w:val="00687E51"/>
    <w:rsid w:val="0069032E"/>
    <w:rsid w:val="006908D8"/>
    <w:rsid w:val="00690CDE"/>
    <w:rsid w:val="006910F6"/>
    <w:rsid w:val="006912F9"/>
    <w:rsid w:val="00691494"/>
    <w:rsid w:val="006915BE"/>
    <w:rsid w:val="00691956"/>
    <w:rsid w:val="00691B19"/>
    <w:rsid w:val="00691C32"/>
    <w:rsid w:val="00691CED"/>
    <w:rsid w:val="00691DFA"/>
    <w:rsid w:val="00691E61"/>
    <w:rsid w:val="006920CD"/>
    <w:rsid w:val="006920DD"/>
    <w:rsid w:val="00692551"/>
    <w:rsid w:val="006929F9"/>
    <w:rsid w:val="00692A72"/>
    <w:rsid w:val="00692F1F"/>
    <w:rsid w:val="00693004"/>
    <w:rsid w:val="00693155"/>
    <w:rsid w:val="0069316B"/>
    <w:rsid w:val="006931A3"/>
    <w:rsid w:val="006932AF"/>
    <w:rsid w:val="0069330F"/>
    <w:rsid w:val="0069339E"/>
    <w:rsid w:val="006934E8"/>
    <w:rsid w:val="006936EA"/>
    <w:rsid w:val="0069372A"/>
    <w:rsid w:val="00693759"/>
    <w:rsid w:val="006938A3"/>
    <w:rsid w:val="006938A4"/>
    <w:rsid w:val="006939B6"/>
    <w:rsid w:val="00693A8E"/>
    <w:rsid w:val="00693C43"/>
    <w:rsid w:val="00693CBC"/>
    <w:rsid w:val="00693E25"/>
    <w:rsid w:val="00693E4B"/>
    <w:rsid w:val="00694070"/>
    <w:rsid w:val="00694541"/>
    <w:rsid w:val="00694777"/>
    <w:rsid w:val="006948F4"/>
    <w:rsid w:val="00694C73"/>
    <w:rsid w:val="00694F97"/>
    <w:rsid w:val="00694FEE"/>
    <w:rsid w:val="00695056"/>
    <w:rsid w:val="00695195"/>
    <w:rsid w:val="0069529E"/>
    <w:rsid w:val="00695628"/>
    <w:rsid w:val="00695796"/>
    <w:rsid w:val="00695925"/>
    <w:rsid w:val="00695E0E"/>
    <w:rsid w:val="00695EDA"/>
    <w:rsid w:val="00695EDB"/>
    <w:rsid w:val="00695F40"/>
    <w:rsid w:val="0069633D"/>
    <w:rsid w:val="00696423"/>
    <w:rsid w:val="0069679E"/>
    <w:rsid w:val="00696A53"/>
    <w:rsid w:val="00696BFF"/>
    <w:rsid w:val="00696EEF"/>
    <w:rsid w:val="00696F0A"/>
    <w:rsid w:val="006970E8"/>
    <w:rsid w:val="006972F2"/>
    <w:rsid w:val="0069751D"/>
    <w:rsid w:val="00697A53"/>
    <w:rsid w:val="00697B99"/>
    <w:rsid w:val="00697F55"/>
    <w:rsid w:val="006A0150"/>
    <w:rsid w:val="006A017E"/>
    <w:rsid w:val="006A049A"/>
    <w:rsid w:val="006A0A96"/>
    <w:rsid w:val="006A0EA0"/>
    <w:rsid w:val="006A0EBD"/>
    <w:rsid w:val="006A1103"/>
    <w:rsid w:val="006A18B6"/>
    <w:rsid w:val="006A195F"/>
    <w:rsid w:val="006A1B39"/>
    <w:rsid w:val="006A1B71"/>
    <w:rsid w:val="006A1B75"/>
    <w:rsid w:val="006A1CF8"/>
    <w:rsid w:val="006A1E1C"/>
    <w:rsid w:val="006A1F75"/>
    <w:rsid w:val="006A258F"/>
    <w:rsid w:val="006A2647"/>
    <w:rsid w:val="006A29DD"/>
    <w:rsid w:val="006A29E3"/>
    <w:rsid w:val="006A2CEA"/>
    <w:rsid w:val="006A3057"/>
    <w:rsid w:val="006A31CD"/>
    <w:rsid w:val="006A32B0"/>
    <w:rsid w:val="006A3D3D"/>
    <w:rsid w:val="006A3F19"/>
    <w:rsid w:val="006A3F4E"/>
    <w:rsid w:val="006A4191"/>
    <w:rsid w:val="006A4318"/>
    <w:rsid w:val="006A4540"/>
    <w:rsid w:val="006A473D"/>
    <w:rsid w:val="006A4B98"/>
    <w:rsid w:val="006A4FAE"/>
    <w:rsid w:val="006A4FBA"/>
    <w:rsid w:val="006A54F9"/>
    <w:rsid w:val="006A57B3"/>
    <w:rsid w:val="006A5859"/>
    <w:rsid w:val="006A599A"/>
    <w:rsid w:val="006A5D51"/>
    <w:rsid w:val="006A65A2"/>
    <w:rsid w:val="006A65B8"/>
    <w:rsid w:val="006A6AD2"/>
    <w:rsid w:val="006A6C5D"/>
    <w:rsid w:val="006A6E08"/>
    <w:rsid w:val="006A70DA"/>
    <w:rsid w:val="006A73C6"/>
    <w:rsid w:val="006A7D64"/>
    <w:rsid w:val="006B01AA"/>
    <w:rsid w:val="006B0483"/>
    <w:rsid w:val="006B0513"/>
    <w:rsid w:val="006B0588"/>
    <w:rsid w:val="006B0940"/>
    <w:rsid w:val="006B0996"/>
    <w:rsid w:val="006B0A18"/>
    <w:rsid w:val="006B0B62"/>
    <w:rsid w:val="006B0C97"/>
    <w:rsid w:val="006B0EE6"/>
    <w:rsid w:val="006B134F"/>
    <w:rsid w:val="006B151F"/>
    <w:rsid w:val="006B1583"/>
    <w:rsid w:val="006B160D"/>
    <w:rsid w:val="006B1635"/>
    <w:rsid w:val="006B16E0"/>
    <w:rsid w:val="006B196B"/>
    <w:rsid w:val="006B1A18"/>
    <w:rsid w:val="006B1D43"/>
    <w:rsid w:val="006B1DC4"/>
    <w:rsid w:val="006B1ED2"/>
    <w:rsid w:val="006B1F68"/>
    <w:rsid w:val="006B1FF7"/>
    <w:rsid w:val="006B211D"/>
    <w:rsid w:val="006B23AB"/>
    <w:rsid w:val="006B242A"/>
    <w:rsid w:val="006B24BB"/>
    <w:rsid w:val="006B284B"/>
    <w:rsid w:val="006B2A8C"/>
    <w:rsid w:val="006B2DC5"/>
    <w:rsid w:val="006B30D1"/>
    <w:rsid w:val="006B3130"/>
    <w:rsid w:val="006B3184"/>
    <w:rsid w:val="006B31E4"/>
    <w:rsid w:val="006B32CB"/>
    <w:rsid w:val="006B3318"/>
    <w:rsid w:val="006B3400"/>
    <w:rsid w:val="006B37B0"/>
    <w:rsid w:val="006B37BF"/>
    <w:rsid w:val="006B3D9A"/>
    <w:rsid w:val="006B3DF3"/>
    <w:rsid w:val="006B3F20"/>
    <w:rsid w:val="006B4054"/>
    <w:rsid w:val="006B41F0"/>
    <w:rsid w:val="006B443E"/>
    <w:rsid w:val="006B4715"/>
    <w:rsid w:val="006B4816"/>
    <w:rsid w:val="006B4B6B"/>
    <w:rsid w:val="006B4B96"/>
    <w:rsid w:val="006B5091"/>
    <w:rsid w:val="006B50F6"/>
    <w:rsid w:val="006B526B"/>
    <w:rsid w:val="006B542D"/>
    <w:rsid w:val="006B5544"/>
    <w:rsid w:val="006B5781"/>
    <w:rsid w:val="006B58B4"/>
    <w:rsid w:val="006B593F"/>
    <w:rsid w:val="006B5B0F"/>
    <w:rsid w:val="006B5C58"/>
    <w:rsid w:val="006B5D10"/>
    <w:rsid w:val="006B5E71"/>
    <w:rsid w:val="006B6069"/>
    <w:rsid w:val="006B66E8"/>
    <w:rsid w:val="006B671F"/>
    <w:rsid w:val="006B699F"/>
    <w:rsid w:val="006B69E5"/>
    <w:rsid w:val="006B6B60"/>
    <w:rsid w:val="006B6C34"/>
    <w:rsid w:val="006B719A"/>
    <w:rsid w:val="006B719D"/>
    <w:rsid w:val="006B7242"/>
    <w:rsid w:val="006B73EF"/>
    <w:rsid w:val="006B766D"/>
    <w:rsid w:val="006B76F1"/>
    <w:rsid w:val="006B7909"/>
    <w:rsid w:val="006B7965"/>
    <w:rsid w:val="006B79D3"/>
    <w:rsid w:val="006B7C14"/>
    <w:rsid w:val="006B7E5E"/>
    <w:rsid w:val="006B7ED0"/>
    <w:rsid w:val="006B7F39"/>
    <w:rsid w:val="006B7FFC"/>
    <w:rsid w:val="006C016D"/>
    <w:rsid w:val="006C02E4"/>
    <w:rsid w:val="006C03A6"/>
    <w:rsid w:val="006C05A7"/>
    <w:rsid w:val="006C0B2D"/>
    <w:rsid w:val="006C0ED8"/>
    <w:rsid w:val="006C0F8B"/>
    <w:rsid w:val="006C12F6"/>
    <w:rsid w:val="006C1385"/>
    <w:rsid w:val="006C1942"/>
    <w:rsid w:val="006C1B91"/>
    <w:rsid w:val="006C1DEA"/>
    <w:rsid w:val="006C1E4E"/>
    <w:rsid w:val="006C291A"/>
    <w:rsid w:val="006C2AF1"/>
    <w:rsid w:val="006C2D6D"/>
    <w:rsid w:val="006C2D70"/>
    <w:rsid w:val="006C2DC5"/>
    <w:rsid w:val="006C34B0"/>
    <w:rsid w:val="006C350E"/>
    <w:rsid w:val="006C388D"/>
    <w:rsid w:val="006C39BC"/>
    <w:rsid w:val="006C3A37"/>
    <w:rsid w:val="006C3AE6"/>
    <w:rsid w:val="006C3D04"/>
    <w:rsid w:val="006C4684"/>
    <w:rsid w:val="006C4688"/>
    <w:rsid w:val="006C468B"/>
    <w:rsid w:val="006C46BD"/>
    <w:rsid w:val="006C47D4"/>
    <w:rsid w:val="006C4B12"/>
    <w:rsid w:val="006C4BC4"/>
    <w:rsid w:val="006C50B5"/>
    <w:rsid w:val="006C546B"/>
    <w:rsid w:val="006C554B"/>
    <w:rsid w:val="006C56B0"/>
    <w:rsid w:val="006C58F8"/>
    <w:rsid w:val="006C59CD"/>
    <w:rsid w:val="006C5AD3"/>
    <w:rsid w:val="006C5CAB"/>
    <w:rsid w:val="006C5CE8"/>
    <w:rsid w:val="006C5DF3"/>
    <w:rsid w:val="006C617F"/>
    <w:rsid w:val="006C61B4"/>
    <w:rsid w:val="006C636B"/>
    <w:rsid w:val="006C6642"/>
    <w:rsid w:val="006C66F1"/>
    <w:rsid w:val="006C6BB4"/>
    <w:rsid w:val="006C6BD0"/>
    <w:rsid w:val="006C6CA7"/>
    <w:rsid w:val="006C6D89"/>
    <w:rsid w:val="006C6EFE"/>
    <w:rsid w:val="006C6FAE"/>
    <w:rsid w:val="006C714E"/>
    <w:rsid w:val="006C74B6"/>
    <w:rsid w:val="006C74B8"/>
    <w:rsid w:val="006C75BC"/>
    <w:rsid w:val="006C7676"/>
    <w:rsid w:val="006C76DC"/>
    <w:rsid w:val="006C7A67"/>
    <w:rsid w:val="006D0201"/>
    <w:rsid w:val="006D02DD"/>
    <w:rsid w:val="006D0406"/>
    <w:rsid w:val="006D0608"/>
    <w:rsid w:val="006D07AC"/>
    <w:rsid w:val="006D0873"/>
    <w:rsid w:val="006D08B9"/>
    <w:rsid w:val="006D09AE"/>
    <w:rsid w:val="006D0C47"/>
    <w:rsid w:val="006D0E50"/>
    <w:rsid w:val="006D0E57"/>
    <w:rsid w:val="006D1065"/>
    <w:rsid w:val="006D1220"/>
    <w:rsid w:val="006D14E8"/>
    <w:rsid w:val="006D1C2C"/>
    <w:rsid w:val="006D2040"/>
    <w:rsid w:val="006D20F6"/>
    <w:rsid w:val="006D2129"/>
    <w:rsid w:val="006D2186"/>
    <w:rsid w:val="006D22B8"/>
    <w:rsid w:val="006D2666"/>
    <w:rsid w:val="006D2A17"/>
    <w:rsid w:val="006D2A1E"/>
    <w:rsid w:val="006D2E65"/>
    <w:rsid w:val="006D2F2E"/>
    <w:rsid w:val="006D3091"/>
    <w:rsid w:val="006D3104"/>
    <w:rsid w:val="006D3167"/>
    <w:rsid w:val="006D32EF"/>
    <w:rsid w:val="006D3402"/>
    <w:rsid w:val="006D3497"/>
    <w:rsid w:val="006D3965"/>
    <w:rsid w:val="006D3A6F"/>
    <w:rsid w:val="006D3DB2"/>
    <w:rsid w:val="006D3FF1"/>
    <w:rsid w:val="006D413B"/>
    <w:rsid w:val="006D439F"/>
    <w:rsid w:val="006D4404"/>
    <w:rsid w:val="006D44F7"/>
    <w:rsid w:val="006D45B3"/>
    <w:rsid w:val="006D4EE2"/>
    <w:rsid w:val="006D50AB"/>
    <w:rsid w:val="006D510B"/>
    <w:rsid w:val="006D5512"/>
    <w:rsid w:val="006D58DC"/>
    <w:rsid w:val="006D5951"/>
    <w:rsid w:val="006D6053"/>
    <w:rsid w:val="006D60C4"/>
    <w:rsid w:val="006D60F5"/>
    <w:rsid w:val="006D62B0"/>
    <w:rsid w:val="006D64E7"/>
    <w:rsid w:val="006D67DC"/>
    <w:rsid w:val="006D6A17"/>
    <w:rsid w:val="006D6C22"/>
    <w:rsid w:val="006D6C6E"/>
    <w:rsid w:val="006D728F"/>
    <w:rsid w:val="006D72E5"/>
    <w:rsid w:val="006D733D"/>
    <w:rsid w:val="006D75E8"/>
    <w:rsid w:val="006D7A99"/>
    <w:rsid w:val="006D7AE4"/>
    <w:rsid w:val="006D7D3C"/>
    <w:rsid w:val="006D7E1C"/>
    <w:rsid w:val="006D7F90"/>
    <w:rsid w:val="006E0120"/>
    <w:rsid w:val="006E014F"/>
    <w:rsid w:val="006E02D7"/>
    <w:rsid w:val="006E05DA"/>
    <w:rsid w:val="006E0994"/>
    <w:rsid w:val="006E0EAC"/>
    <w:rsid w:val="006E107F"/>
    <w:rsid w:val="006E13BF"/>
    <w:rsid w:val="006E13F2"/>
    <w:rsid w:val="006E1A0A"/>
    <w:rsid w:val="006E1BC0"/>
    <w:rsid w:val="006E1C0F"/>
    <w:rsid w:val="006E1E06"/>
    <w:rsid w:val="006E1EB6"/>
    <w:rsid w:val="006E1F88"/>
    <w:rsid w:val="006E2004"/>
    <w:rsid w:val="006E2311"/>
    <w:rsid w:val="006E24A6"/>
    <w:rsid w:val="006E2763"/>
    <w:rsid w:val="006E2786"/>
    <w:rsid w:val="006E29CF"/>
    <w:rsid w:val="006E2C62"/>
    <w:rsid w:val="006E357A"/>
    <w:rsid w:val="006E3AD1"/>
    <w:rsid w:val="006E3B99"/>
    <w:rsid w:val="006E4413"/>
    <w:rsid w:val="006E4463"/>
    <w:rsid w:val="006E4874"/>
    <w:rsid w:val="006E48FB"/>
    <w:rsid w:val="006E4AF2"/>
    <w:rsid w:val="006E5715"/>
    <w:rsid w:val="006E5BE8"/>
    <w:rsid w:val="006E5CCD"/>
    <w:rsid w:val="006E5FF9"/>
    <w:rsid w:val="006E60B6"/>
    <w:rsid w:val="006E628C"/>
    <w:rsid w:val="006E632F"/>
    <w:rsid w:val="006E64C9"/>
    <w:rsid w:val="006E6650"/>
    <w:rsid w:val="006E6811"/>
    <w:rsid w:val="006E6EDD"/>
    <w:rsid w:val="006E7099"/>
    <w:rsid w:val="006E740D"/>
    <w:rsid w:val="006E750B"/>
    <w:rsid w:val="006E76DD"/>
    <w:rsid w:val="006E7C27"/>
    <w:rsid w:val="006E7D08"/>
    <w:rsid w:val="006E7D0C"/>
    <w:rsid w:val="006F00D4"/>
    <w:rsid w:val="006F03B6"/>
    <w:rsid w:val="006F0B0B"/>
    <w:rsid w:val="006F1254"/>
    <w:rsid w:val="006F1444"/>
    <w:rsid w:val="006F169E"/>
    <w:rsid w:val="006F1849"/>
    <w:rsid w:val="006F188C"/>
    <w:rsid w:val="006F1CD5"/>
    <w:rsid w:val="006F256E"/>
    <w:rsid w:val="006F28C7"/>
    <w:rsid w:val="006F29D6"/>
    <w:rsid w:val="006F2A16"/>
    <w:rsid w:val="006F2B13"/>
    <w:rsid w:val="006F2BB4"/>
    <w:rsid w:val="006F2BB8"/>
    <w:rsid w:val="006F359A"/>
    <w:rsid w:val="006F37B8"/>
    <w:rsid w:val="006F38D5"/>
    <w:rsid w:val="006F3BA6"/>
    <w:rsid w:val="006F3C73"/>
    <w:rsid w:val="006F4221"/>
    <w:rsid w:val="006F49C0"/>
    <w:rsid w:val="006F4A4B"/>
    <w:rsid w:val="006F4B7F"/>
    <w:rsid w:val="006F4C4D"/>
    <w:rsid w:val="006F4F42"/>
    <w:rsid w:val="006F536B"/>
    <w:rsid w:val="006F559F"/>
    <w:rsid w:val="006F55A8"/>
    <w:rsid w:val="006F55AA"/>
    <w:rsid w:val="006F562C"/>
    <w:rsid w:val="006F5946"/>
    <w:rsid w:val="006F5A29"/>
    <w:rsid w:val="006F62EF"/>
    <w:rsid w:val="006F6960"/>
    <w:rsid w:val="006F699D"/>
    <w:rsid w:val="006F6CB2"/>
    <w:rsid w:val="006F70A2"/>
    <w:rsid w:val="006F76AF"/>
    <w:rsid w:val="006F7A93"/>
    <w:rsid w:val="006F7C48"/>
    <w:rsid w:val="006F7DA7"/>
    <w:rsid w:val="006F7DF3"/>
    <w:rsid w:val="00700112"/>
    <w:rsid w:val="0070025A"/>
    <w:rsid w:val="0070060B"/>
    <w:rsid w:val="007006C6"/>
    <w:rsid w:val="00700774"/>
    <w:rsid w:val="00700914"/>
    <w:rsid w:val="00700BA2"/>
    <w:rsid w:val="00700C1D"/>
    <w:rsid w:val="00700DCB"/>
    <w:rsid w:val="00700F30"/>
    <w:rsid w:val="00700FBA"/>
    <w:rsid w:val="00701114"/>
    <w:rsid w:val="00701765"/>
    <w:rsid w:val="007017A8"/>
    <w:rsid w:val="00701BB3"/>
    <w:rsid w:val="00701CC7"/>
    <w:rsid w:val="00701EED"/>
    <w:rsid w:val="00701FBB"/>
    <w:rsid w:val="007023D6"/>
    <w:rsid w:val="00702410"/>
    <w:rsid w:val="007024BB"/>
    <w:rsid w:val="00702C34"/>
    <w:rsid w:val="00703403"/>
    <w:rsid w:val="00703661"/>
    <w:rsid w:val="007039F3"/>
    <w:rsid w:val="00703B1E"/>
    <w:rsid w:val="00703C91"/>
    <w:rsid w:val="00703D8E"/>
    <w:rsid w:val="00704055"/>
    <w:rsid w:val="007049C2"/>
    <w:rsid w:val="00704B3D"/>
    <w:rsid w:val="0070514F"/>
    <w:rsid w:val="007052E5"/>
    <w:rsid w:val="007054B4"/>
    <w:rsid w:val="00705766"/>
    <w:rsid w:val="00705BC6"/>
    <w:rsid w:val="00705D8D"/>
    <w:rsid w:val="007062C9"/>
    <w:rsid w:val="00706393"/>
    <w:rsid w:val="007064C8"/>
    <w:rsid w:val="0070667E"/>
    <w:rsid w:val="007067C6"/>
    <w:rsid w:val="00706863"/>
    <w:rsid w:val="00706A46"/>
    <w:rsid w:val="00706BF8"/>
    <w:rsid w:val="00706C33"/>
    <w:rsid w:val="00706F4D"/>
    <w:rsid w:val="00707018"/>
    <w:rsid w:val="007072A3"/>
    <w:rsid w:val="007072C0"/>
    <w:rsid w:val="0070747A"/>
    <w:rsid w:val="00707726"/>
    <w:rsid w:val="007078CC"/>
    <w:rsid w:val="00707B56"/>
    <w:rsid w:val="00707B5A"/>
    <w:rsid w:val="00707BA6"/>
    <w:rsid w:val="00707E08"/>
    <w:rsid w:val="00707E4B"/>
    <w:rsid w:val="00707F8C"/>
    <w:rsid w:val="0071002A"/>
    <w:rsid w:val="007101B8"/>
    <w:rsid w:val="00710280"/>
    <w:rsid w:val="007104C4"/>
    <w:rsid w:val="007104CE"/>
    <w:rsid w:val="007105E4"/>
    <w:rsid w:val="00710F27"/>
    <w:rsid w:val="007113B6"/>
    <w:rsid w:val="0071159A"/>
    <w:rsid w:val="00711600"/>
    <w:rsid w:val="0071160A"/>
    <w:rsid w:val="007117A3"/>
    <w:rsid w:val="00711F00"/>
    <w:rsid w:val="00712272"/>
    <w:rsid w:val="007124FE"/>
    <w:rsid w:val="00712589"/>
    <w:rsid w:val="007127F9"/>
    <w:rsid w:val="00712917"/>
    <w:rsid w:val="0071298C"/>
    <w:rsid w:val="00712C93"/>
    <w:rsid w:val="00712EF5"/>
    <w:rsid w:val="0071318D"/>
    <w:rsid w:val="00713723"/>
    <w:rsid w:val="0071380C"/>
    <w:rsid w:val="0071390B"/>
    <w:rsid w:val="00713FD2"/>
    <w:rsid w:val="0071402A"/>
    <w:rsid w:val="00714030"/>
    <w:rsid w:val="007140AA"/>
    <w:rsid w:val="0071415E"/>
    <w:rsid w:val="007142E3"/>
    <w:rsid w:val="00714601"/>
    <w:rsid w:val="00714778"/>
    <w:rsid w:val="00714819"/>
    <w:rsid w:val="00714898"/>
    <w:rsid w:val="00714AE0"/>
    <w:rsid w:val="00714B01"/>
    <w:rsid w:val="00714CF7"/>
    <w:rsid w:val="00714CFE"/>
    <w:rsid w:val="00714DAE"/>
    <w:rsid w:val="0071535C"/>
    <w:rsid w:val="00715CD1"/>
    <w:rsid w:val="00715DED"/>
    <w:rsid w:val="00715F75"/>
    <w:rsid w:val="00716007"/>
    <w:rsid w:val="007160CC"/>
    <w:rsid w:val="007160DE"/>
    <w:rsid w:val="007162C7"/>
    <w:rsid w:val="0071688D"/>
    <w:rsid w:val="0071689B"/>
    <w:rsid w:val="00716947"/>
    <w:rsid w:val="00716C83"/>
    <w:rsid w:val="00716D24"/>
    <w:rsid w:val="00716F93"/>
    <w:rsid w:val="007171BF"/>
    <w:rsid w:val="007172D9"/>
    <w:rsid w:val="007174A2"/>
    <w:rsid w:val="007174D6"/>
    <w:rsid w:val="00717904"/>
    <w:rsid w:val="00717951"/>
    <w:rsid w:val="00717C79"/>
    <w:rsid w:val="00717CD8"/>
    <w:rsid w:val="00720068"/>
    <w:rsid w:val="0072023C"/>
    <w:rsid w:val="00720783"/>
    <w:rsid w:val="00720839"/>
    <w:rsid w:val="00720888"/>
    <w:rsid w:val="00720CBE"/>
    <w:rsid w:val="00720CD6"/>
    <w:rsid w:val="00720FF0"/>
    <w:rsid w:val="007211EA"/>
    <w:rsid w:val="0072138D"/>
    <w:rsid w:val="00721743"/>
    <w:rsid w:val="00721850"/>
    <w:rsid w:val="007218D4"/>
    <w:rsid w:val="00721A54"/>
    <w:rsid w:val="00721B1A"/>
    <w:rsid w:val="007220A2"/>
    <w:rsid w:val="0072252F"/>
    <w:rsid w:val="007225EA"/>
    <w:rsid w:val="00722654"/>
    <w:rsid w:val="00722D2A"/>
    <w:rsid w:val="00722D9B"/>
    <w:rsid w:val="00722F78"/>
    <w:rsid w:val="007232B4"/>
    <w:rsid w:val="00723597"/>
    <w:rsid w:val="00723670"/>
    <w:rsid w:val="00723B67"/>
    <w:rsid w:val="00723CF1"/>
    <w:rsid w:val="00723CFB"/>
    <w:rsid w:val="00723E39"/>
    <w:rsid w:val="00723F1C"/>
    <w:rsid w:val="007240A9"/>
    <w:rsid w:val="007240AB"/>
    <w:rsid w:val="00724953"/>
    <w:rsid w:val="00724B4E"/>
    <w:rsid w:val="00724D16"/>
    <w:rsid w:val="00724F1C"/>
    <w:rsid w:val="007251CA"/>
    <w:rsid w:val="007253A2"/>
    <w:rsid w:val="00725C24"/>
    <w:rsid w:val="00725D22"/>
    <w:rsid w:val="00725ED0"/>
    <w:rsid w:val="00725FFD"/>
    <w:rsid w:val="0072600B"/>
    <w:rsid w:val="00726039"/>
    <w:rsid w:val="007260CF"/>
    <w:rsid w:val="007263E2"/>
    <w:rsid w:val="0072697E"/>
    <w:rsid w:val="007269DF"/>
    <w:rsid w:val="00726A27"/>
    <w:rsid w:val="00726BEB"/>
    <w:rsid w:val="00726CBF"/>
    <w:rsid w:val="00727208"/>
    <w:rsid w:val="0072746D"/>
    <w:rsid w:val="00727826"/>
    <w:rsid w:val="007279B0"/>
    <w:rsid w:val="00727D08"/>
    <w:rsid w:val="00727D80"/>
    <w:rsid w:val="00727FB9"/>
    <w:rsid w:val="00727FD2"/>
    <w:rsid w:val="00730661"/>
    <w:rsid w:val="00730A5E"/>
    <w:rsid w:val="00730E6C"/>
    <w:rsid w:val="007312AA"/>
    <w:rsid w:val="00731596"/>
    <w:rsid w:val="007317CB"/>
    <w:rsid w:val="00731908"/>
    <w:rsid w:val="0073190E"/>
    <w:rsid w:val="007319AE"/>
    <w:rsid w:val="00731D26"/>
    <w:rsid w:val="007320DB"/>
    <w:rsid w:val="007325A0"/>
    <w:rsid w:val="007328AA"/>
    <w:rsid w:val="00732C9F"/>
    <w:rsid w:val="00732CAC"/>
    <w:rsid w:val="00732D2D"/>
    <w:rsid w:val="00733483"/>
    <w:rsid w:val="007334C7"/>
    <w:rsid w:val="007334E3"/>
    <w:rsid w:val="00733760"/>
    <w:rsid w:val="00733D44"/>
    <w:rsid w:val="007341C5"/>
    <w:rsid w:val="007343B2"/>
    <w:rsid w:val="0073448F"/>
    <w:rsid w:val="00734850"/>
    <w:rsid w:val="00734948"/>
    <w:rsid w:val="00734B69"/>
    <w:rsid w:val="00734C1B"/>
    <w:rsid w:val="00734E83"/>
    <w:rsid w:val="00734EB3"/>
    <w:rsid w:val="00735318"/>
    <w:rsid w:val="007353F9"/>
    <w:rsid w:val="00735626"/>
    <w:rsid w:val="00735C20"/>
    <w:rsid w:val="00735C70"/>
    <w:rsid w:val="00735C81"/>
    <w:rsid w:val="007360B9"/>
    <w:rsid w:val="00736879"/>
    <w:rsid w:val="007368E5"/>
    <w:rsid w:val="00736A2E"/>
    <w:rsid w:val="00736A72"/>
    <w:rsid w:val="00736B17"/>
    <w:rsid w:val="00736DCE"/>
    <w:rsid w:val="00736E83"/>
    <w:rsid w:val="00736F15"/>
    <w:rsid w:val="00736FB9"/>
    <w:rsid w:val="007370F2"/>
    <w:rsid w:val="00737285"/>
    <w:rsid w:val="00737463"/>
    <w:rsid w:val="00737B12"/>
    <w:rsid w:val="00737CA2"/>
    <w:rsid w:val="00737DE3"/>
    <w:rsid w:val="00740106"/>
    <w:rsid w:val="00740491"/>
    <w:rsid w:val="00740498"/>
    <w:rsid w:val="0074068A"/>
    <w:rsid w:val="007409D6"/>
    <w:rsid w:val="00740ABF"/>
    <w:rsid w:val="00740C41"/>
    <w:rsid w:val="00741112"/>
    <w:rsid w:val="007416F9"/>
    <w:rsid w:val="00741A52"/>
    <w:rsid w:val="00741D2D"/>
    <w:rsid w:val="00742236"/>
    <w:rsid w:val="00742A8C"/>
    <w:rsid w:val="00742C32"/>
    <w:rsid w:val="00742C77"/>
    <w:rsid w:val="00742C99"/>
    <w:rsid w:val="00742E8F"/>
    <w:rsid w:val="00742EA7"/>
    <w:rsid w:val="00742F50"/>
    <w:rsid w:val="00743303"/>
    <w:rsid w:val="0074394A"/>
    <w:rsid w:val="00743A39"/>
    <w:rsid w:val="00743F2B"/>
    <w:rsid w:val="00743F78"/>
    <w:rsid w:val="00744265"/>
    <w:rsid w:val="0074448A"/>
    <w:rsid w:val="007444FA"/>
    <w:rsid w:val="00744C9E"/>
    <w:rsid w:val="00744DB9"/>
    <w:rsid w:val="00744E16"/>
    <w:rsid w:val="007451CA"/>
    <w:rsid w:val="00745341"/>
    <w:rsid w:val="00745431"/>
    <w:rsid w:val="007456B1"/>
    <w:rsid w:val="00745731"/>
    <w:rsid w:val="007457E2"/>
    <w:rsid w:val="00745A8D"/>
    <w:rsid w:val="00745BB9"/>
    <w:rsid w:val="00745BBC"/>
    <w:rsid w:val="00745C97"/>
    <w:rsid w:val="0074608D"/>
    <w:rsid w:val="007460A4"/>
    <w:rsid w:val="007465E1"/>
    <w:rsid w:val="00746AFE"/>
    <w:rsid w:val="00746D1D"/>
    <w:rsid w:val="00746DCD"/>
    <w:rsid w:val="00746DD7"/>
    <w:rsid w:val="00747A36"/>
    <w:rsid w:val="00747C50"/>
    <w:rsid w:val="00747E21"/>
    <w:rsid w:val="00750123"/>
    <w:rsid w:val="0075012F"/>
    <w:rsid w:val="007501B6"/>
    <w:rsid w:val="007504A6"/>
    <w:rsid w:val="00750661"/>
    <w:rsid w:val="00750919"/>
    <w:rsid w:val="00750D3B"/>
    <w:rsid w:val="00750D9B"/>
    <w:rsid w:val="00750E85"/>
    <w:rsid w:val="00750FB6"/>
    <w:rsid w:val="0075133A"/>
    <w:rsid w:val="00751348"/>
    <w:rsid w:val="007514E1"/>
    <w:rsid w:val="0075151D"/>
    <w:rsid w:val="00751592"/>
    <w:rsid w:val="007516F0"/>
    <w:rsid w:val="007518B9"/>
    <w:rsid w:val="00751CD6"/>
    <w:rsid w:val="00751F62"/>
    <w:rsid w:val="007521CF"/>
    <w:rsid w:val="00752337"/>
    <w:rsid w:val="00752630"/>
    <w:rsid w:val="007527D7"/>
    <w:rsid w:val="0075284A"/>
    <w:rsid w:val="00752B67"/>
    <w:rsid w:val="007531E8"/>
    <w:rsid w:val="007538D0"/>
    <w:rsid w:val="00753A99"/>
    <w:rsid w:val="00753CA8"/>
    <w:rsid w:val="00753CD7"/>
    <w:rsid w:val="00753F96"/>
    <w:rsid w:val="00754385"/>
    <w:rsid w:val="0075447C"/>
    <w:rsid w:val="00754570"/>
    <w:rsid w:val="00754953"/>
    <w:rsid w:val="00754BB7"/>
    <w:rsid w:val="00754DB8"/>
    <w:rsid w:val="0075505E"/>
    <w:rsid w:val="007550AB"/>
    <w:rsid w:val="00755172"/>
    <w:rsid w:val="007551FA"/>
    <w:rsid w:val="007553FE"/>
    <w:rsid w:val="00755508"/>
    <w:rsid w:val="00755803"/>
    <w:rsid w:val="0075581E"/>
    <w:rsid w:val="007558FF"/>
    <w:rsid w:val="00755915"/>
    <w:rsid w:val="00755B40"/>
    <w:rsid w:val="007566F0"/>
    <w:rsid w:val="00756EA0"/>
    <w:rsid w:val="00757090"/>
    <w:rsid w:val="007574E6"/>
    <w:rsid w:val="0075785D"/>
    <w:rsid w:val="00757EBB"/>
    <w:rsid w:val="00760403"/>
    <w:rsid w:val="00760659"/>
    <w:rsid w:val="007609CE"/>
    <w:rsid w:val="00760CA8"/>
    <w:rsid w:val="00760F81"/>
    <w:rsid w:val="00761177"/>
    <w:rsid w:val="0076153E"/>
    <w:rsid w:val="007615D5"/>
    <w:rsid w:val="00761618"/>
    <w:rsid w:val="007616C6"/>
    <w:rsid w:val="007617F6"/>
    <w:rsid w:val="00761813"/>
    <w:rsid w:val="007619D0"/>
    <w:rsid w:val="007619EB"/>
    <w:rsid w:val="00761DE0"/>
    <w:rsid w:val="0076243B"/>
    <w:rsid w:val="0076247B"/>
    <w:rsid w:val="00762538"/>
    <w:rsid w:val="0076267F"/>
    <w:rsid w:val="00762716"/>
    <w:rsid w:val="00762796"/>
    <w:rsid w:val="007629C6"/>
    <w:rsid w:val="00762ECB"/>
    <w:rsid w:val="00763398"/>
    <w:rsid w:val="007635CC"/>
    <w:rsid w:val="00763867"/>
    <w:rsid w:val="00763895"/>
    <w:rsid w:val="00763A6D"/>
    <w:rsid w:val="00763CF9"/>
    <w:rsid w:val="007645EC"/>
    <w:rsid w:val="007646CC"/>
    <w:rsid w:val="00764781"/>
    <w:rsid w:val="00764A60"/>
    <w:rsid w:val="00764D1C"/>
    <w:rsid w:val="00764D8E"/>
    <w:rsid w:val="00764F6B"/>
    <w:rsid w:val="007653DA"/>
    <w:rsid w:val="00765408"/>
    <w:rsid w:val="00765642"/>
    <w:rsid w:val="00765A36"/>
    <w:rsid w:val="00765DF5"/>
    <w:rsid w:val="0076614E"/>
    <w:rsid w:val="007662EF"/>
    <w:rsid w:val="007665AC"/>
    <w:rsid w:val="00766604"/>
    <w:rsid w:val="00766681"/>
    <w:rsid w:val="00766962"/>
    <w:rsid w:val="00766998"/>
    <w:rsid w:val="00766A00"/>
    <w:rsid w:val="007670BF"/>
    <w:rsid w:val="00767198"/>
    <w:rsid w:val="007674DB"/>
    <w:rsid w:val="00767E20"/>
    <w:rsid w:val="00767EDD"/>
    <w:rsid w:val="00770136"/>
    <w:rsid w:val="007702BF"/>
    <w:rsid w:val="007705BB"/>
    <w:rsid w:val="007708DA"/>
    <w:rsid w:val="00770A1E"/>
    <w:rsid w:val="00770C59"/>
    <w:rsid w:val="007711C0"/>
    <w:rsid w:val="007711CB"/>
    <w:rsid w:val="007713AC"/>
    <w:rsid w:val="0077180C"/>
    <w:rsid w:val="00771BBF"/>
    <w:rsid w:val="00771C70"/>
    <w:rsid w:val="00771F71"/>
    <w:rsid w:val="0077200C"/>
    <w:rsid w:val="00772120"/>
    <w:rsid w:val="0077216F"/>
    <w:rsid w:val="007724BF"/>
    <w:rsid w:val="007724E5"/>
    <w:rsid w:val="007727EE"/>
    <w:rsid w:val="00772A7C"/>
    <w:rsid w:val="00772C21"/>
    <w:rsid w:val="00772D12"/>
    <w:rsid w:val="00772D4F"/>
    <w:rsid w:val="00772F73"/>
    <w:rsid w:val="00772F82"/>
    <w:rsid w:val="00773030"/>
    <w:rsid w:val="007730A6"/>
    <w:rsid w:val="007730F2"/>
    <w:rsid w:val="00773371"/>
    <w:rsid w:val="007733FB"/>
    <w:rsid w:val="00773612"/>
    <w:rsid w:val="00773725"/>
    <w:rsid w:val="00773783"/>
    <w:rsid w:val="007738EC"/>
    <w:rsid w:val="00773D94"/>
    <w:rsid w:val="00773F9E"/>
    <w:rsid w:val="00774216"/>
    <w:rsid w:val="007743A6"/>
    <w:rsid w:val="007743B9"/>
    <w:rsid w:val="00774672"/>
    <w:rsid w:val="007747A8"/>
    <w:rsid w:val="00774E20"/>
    <w:rsid w:val="00774ED9"/>
    <w:rsid w:val="00774FAC"/>
    <w:rsid w:val="007750E2"/>
    <w:rsid w:val="00775210"/>
    <w:rsid w:val="0077594B"/>
    <w:rsid w:val="00775A68"/>
    <w:rsid w:val="00775D53"/>
    <w:rsid w:val="007763ED"/>
    <w:rsid w:val="00776B6B"/>
    <w:rsid w:val="00776B9C"/>
    <w:rsid w:val="00776BB9"/>
    <w:rsid w:val="00776CBB"/>
    <w:rsid w:val="007770FE"/>
    <w:rsid w:val="00777197"/>
    <w:rsid w:val="00777242"/>
    <w:rsid w:val="00777442"/>
    <w:rsid w:val="00777767"/>
    <w:rsid w:val="007779F2"/>
    <w:rsid w:val="00777A8B"/>
    <w:rsid w:val="00777F54"/>
    <w:rsid w:val="0078018B"/>
    <w:rsid w:val="00780312"/>
    <w:rsid w:val="007803CF"/>
    <w:rsid w:val="00780991"/>
    <w:rsid w:val="0078099A"/>
    <w:rsid w:val="007811B3"/>
    <w:rsid w:val="007811EA"/>
    <w:rsid w:val="00781516"/>
    <w:rsid w:val="007815DD"/>
    <w:rsid w:val="00782359"/>
    <w:rsid w:val="007824C0"/>
    <w:rsid w:val="007826DB"/>
    <w:rsid w:val="007826F8"/>
    <w:rsid w:val="0078283F"/>
    <w:rsid w:val="007829E0"/>
    <w:rsid w:val="00782B3A"/>
    <w:rsid w:val="00782BBB"/>
    <w:rsid w:val="00782BF7"/>
    <w:rsid w:val="00782D01"/>
    <w:rsid w:val="00782ED8"/>
    <w:rsid w:val="00783066"/>
    <w:rsid w:val="00783157"/>
    <w:rsid w:val="0078329D"/>
    <w:rsid w:val="00783606"/>
    <w:rsid w:val="007836E0"/>
    <w:rsid w:val="00783B75"/>
    <w:rsid w:val="00783D3E"/>
    <w:rsid w:val="007841E5"/>
    <w:rsid w:val="0078420B"/>
    <w:rsid w:val="007842DE"/>
    <w:rsid w:val="00784AEC"/>
    <w:rsid w:val="00784EE6"/>
    <w:rsid w:val="00784F3C"/>
    <w:rsid w:val="00784F51"/>
    <w:rsid w:val="0078520B"/>
    <w:rsid w:val="007854F1"/>
    <w:rsid w:val="007854F9"/>
    <w:rsid w:val="00785ABC"/>
    <w:rsid w:val="00785B92"/>
    <w:rsid w:val="00785C53"/>
    <w:rsid w:val="00785FC3"/>
    <w:rsid w:val="00786177"/>
    <w:rsid w:val="00786517"/>
    <w:rsid w:val="0078675D"/>
    <w:rsid w:val="007867C6"/>
    <w:rsid w:val="00786A03"/>
    <w:rsid w:val="00786E8B"/>
    <w:rsid w:val="00786F78"/>
    <w:rsid w:val="00787711"/>
    <w:rsid w:val="00790661"/>
    <w:rsid w:val="00790B3F"/>
    <w:rsid w:val="00790B7F"/>
    <w:rsid w:val="00790C77"/>
    <w:rsid w:val="00790DB8"/>
    <w:rsid w:val="00790F75"/>
    <w:rsid w:val="0079106C"/>
    <w:rsid w:val="00791096"/>
    <w:rsid w:val="00791201"/>
    <w:rsid w:val="007913FC"/>
    <w:rsid w:val="0079146A"/>
    <w:rsid w:val="0079159B"/>
    <w:rsid w:val="00791663"/>
    <w:rsid w:val="00791B36"/>
    <w:rsid w:val="00791B7B"/>
    <w:rsid w:val="00791D83"/>
    <w:rsid w:val="007920F9"/>
    <w:rsid w:val="00792176"/>
    <w:rsid w:val="0079255E"/>
    <w:rsid w:val="00792604"/>
    <w:rsid w:val="00792673"/>
    <w:rsid w:val="00792794"/>
    <w:rsid w:val="007927B2"/>
    <w:rsid w:val="0079281E"/>
    <w:rsid w:val="00792B1A"/>
    <w:rsid w:val="00792C42"/>
    <w:rsid w:val="00792F71"/>
    <w:rsid w:val="0079305A"/>
    <w:rsid w:val="00793344"/>
    <w:rsid w:val="00793364"/>
    <w:rsid w:val="00793617"/>
    <w:rsid w:val="00793B1C"/>
    <w:rsid w:val="00793E6F"/>
    <w:rsid w:val="0079415E"/>
    <w:rsid w:val="007942C1"/>
    <w:rsid w:val="00794541"/>
    <w:rsid w:val="00794820"/>
    <w:rsid w:val="0079487E"/>
    <w:rsid w:val="0079491D"/>
    <w:rsid w:val="00794CAF"/>
    <w:rsid w:val="007950EB"/>
    <w:rsid w:val="0079510D"/>
    <w:rsid w:val="0079516A"/>
    <w:rsid w:val="00795309"/>
    <w:rsid w:val="00795390"/>
    <w:rsid w:val="00795457"/>
    <w:rsid w:val="00795609"/>
    <w:rsid w:val="00795667"/>
    <w:rsid w:val="0079576A"/>
    <w:rsid w:val="00795809"/>
    <w:rsid w:val="00795893"/>
    <w:rsid w:val="007958EA"/>
    <w:rsid w:val="00795A1E"/>
    <w:rsid w:val="00795A5C"/>
    <w:rsid w:val="00795C86"/>
    <w:rsid w:val="00795E8D"/>
    <w:rsid w:val="0079619B"/>
    <w:rsid w:val="007961DA"/>
    <w:rsid w:val="0079681E"/>
    <w:rsid w:val="00796A11"/>
    <w:rsid w:val="00796B0F"/>
    <w:rsid w:val="00796ECC"/>
    <w:rsid w:val="00797550"/>
    <w:rsid w:val="007975F9"/>
    <w:rsid w:val="00797892"/>
    <w:rsid w:val="00797CD5"/>
    <w:rsid w:val="00797D62"/>
    <w:rsid w:val="00797DD1"/>
    <w:rsid w:val="00797E09"/>
    <w:rsid w:val="00797E79"/>
    <w:rsid w:val="007A01F5"/>
    <w:rsid w:val="007A03E2"/>
    <w:rsid w:val="007A063F"/>
    <w:rsid w:val="007A0B84"/>
    <w:rsid w:val="007A0C45"/>
    <w:rsid w:val="007A0EE2"/>
    <w:rsid w:val="007A0F05"/>
    <w:rsid w:val="007A11F6"/>
    <w:rsid w:val="007A1213"/>
    <w:rsid w:val="007A13C8"/>
    <w:rsid w:val="007A1421"/>
    <w:rsid w:val="007A15D4"/>
    <w:rsid w:val="007A1B30"/>
    <w:rsid w:val="007A1B9B"/>
    <w:rsid w:val="007A1D09"/>
    <w:rsid w:val="007A1D2B"/>
    <w:rsid w:val="007A29A3"/>
    <w:rsid w:val="007A29CA"/>
    <w:rsid w:val="007A2BE7"/>
    <w:rsid w:val="007A2E93"/>
    <w:rsid w:val="007A2EC5"/>
    <w:rsid w:val="007A3145"/>
    <w:rsid w:val="007A319A"/>
    <w:rsid w:val="007A3240"/>
    <w:rsid w:val="007A3284"/>
    <w:rsid w:val="007A3351"/>
    <w:rsid w:val="007A36C9"/>
    <w:rsid w:val="007A37DC"/>
    <w:rsid w:val="007A3865"/>
    <w:rsid w:val="007A39D0"/>
    <w:rsid w:val="007A3B53"/>
    <w:rsid w:val="007A3C93"/>
    <w:rsid w:val="007A3EB7"/>
    <w:rsid w:val="007A4311"/>
    <w:rsid w:val="007A4962"/>
    <w:rsid w:val="007A4D81"/>
    <w:rsid w:val="007A4F3D"/>
    <w:rsid w:val="007A5991"/>
    <w:rsid w:val="007A642B"/>
    <w:rsid w:val="007A66D5"/>
    <w:rsid w:val="007A68A7"/>
    <w:rsid w:val="007A6954"/>
    <w:rsid w:val="007A6E3F"/>
    <w:rsid w:val="007A6F68"/>
    <w:rsid w:val="007A7086"/>
    <w:rsid w:val="007A71D4"/>
    <w:rsid w:val="007A729D"/>
    <w:rsid w:val="007A73B6"/>
    <w:rsid w:val="007A76B5"/>
    <w:rsid w:val="007A771A"/>
    <w:rsid w:val="007A78CA"/>
    <w:rsid w:val="007A795F"/>
    <w:rsid w:val="007A799B"/>
    <w:rsid w:val="007B00BA"/>
    <w:rsid w:val="007B053A"/>
    <w:rsid w:val="007B06B2"/>
    <w:rsid w:val="007B06C6"/>
    <w:rsid w:val="007B09FA"/>
    <w:rsid w:val="007B0B06"/>
    <w:rsid w:val="007B0BD8"/>
    <w:rsid w:val="007B170B"/>
    <w:rsid w:val="007B17A8"/>
    <w:rsid w:val="007B18A6"/>
    <w:rsid w:val="007B19AA"/>
    <w:rsid w:val="007B19BB"/>
    <w:rsid w:val="007B1A53"/>
    <w:rsid w:val="007B1C1F"/>
    <w:rsid w:val="007B1F23"/>
    <w:rsid w:val="007B237C"/>
    <w:rsid w:val="007B26D7"/>
    <w:rsid w:val="007B2957"/>
    <w:rsid w:val="007B29C4"/>
    <w:rsid w:val="007B2FB1"/>
    <w:rsid w:val="007B30D8"/>
    <w:rsid w:val="007B3484"/>
    <w:rsid w:val="007B3A8C"/>
    <w:rsid w:val="007B3C23"/>
    <w:rsid w:val="007B3E13"/>
    <w:rsid w:val="007B41D4"/>
    <w:rsid w:val="007B4261"/>
    <w:rsid w:val="007B438A"/>
    <w:rsid w:val="007B4414"/>
    <w:rsid w:val="007B45B5"/>
    <w:rsid w:val="007B47E7"/>
    <w:rsid w:val="007B4889"/>
    <w:rsid w:val="007B4A4C"/>
    <w:rsid w:val="007B4B04"/>
    <w:rsid w:val="007B4FA7"/>
    <w:rsid w:val="007B522E"/>
    <w:rsid w:val="007B542B"/>
    <w:rsid w:val="007B58ED"/>
    <w:rsid w:val="007B5B8C"/>
    <w:rsid w:val="007B5F1D"/>
    <w:rsid w:val="007B6206"/>
    <w:rsid w:val="007B65B3"/>
    <w:rsid w:val="007B67C4"/>
    <w:rsid w:val="007B6CE8"/>
    <w:rsid w:val="007B7765"/>
    <w:rsid w:val="007B79E8"/>
    <w:rsid w:val="007B7A5C"/>
    <w:rsid w:val="007B7E59"/>
    <w:rsid w:val="007B7EED"/>
    <w:rsid w:val="007C008A"/>
    <w:rsid w:val="007C0221"/>
    <w:rsid w:val="007C02B2"/>
    <w:rsid w:val="007C0420"/>
    <w:rsid w:val="007C0448"/>
    <w:rsid w:val="007C0C20"/>
    <w:rsid w:val="007C0DB9"/>
    <w:rsid w:val="007C0EE3"/>
    <w:rsid w:val="007C0EE9"/>
    <w:rsid w:val="007C0F2C"/>
    <w:rsid w:val="007C0F51"/>
    <w:rsid w:val="007C0FD7"/>
    <w:rsid w:val="007C1020"/>
    <w:rsid w:val="007C126A"/>
    <w:rsid w:val="007C1760"/>
    <w:rsid w:val="007C1B1B"/>
    <w:rsid w:val="007C1B5C"/>
    <w:rsid w:val="007C1EC3"/>
    <w:rsid w:val="007C23B8"/>
    <w:rsid w:val="007C2766"/>
    <w:rsid w:val="007C2B82"/>
    <w:rsid w:val="007C2EA5"/>
    <w:rsid w:val="007C3070"/>
    <w:rsid w:val="007C3075"/>
    <w:rsid w:val="007C3164"/>
    <w:rsid w:val="007C3266"/>
    <w:rsid w:val="007C360F"/>
    <w:rsid w:val="007C37E4"/>
    <w:rsid w:val="007C3A29"/>
    <w:rsid w:val="007C3BEA"/>
    <w:rsid w:val="007C40BD"/>
    <w:rsid w:val="007C4146"/>
    <w:rsid w:val="007C41E8"/>
    <w:rsid w:val="007C4A4E"/>
    <w:rsid w:val="007C4EC0"/>
    <w:rsid w:val="007C5048"/>
    <w:rsid w:val="007C5145"/>
    <w:rsid w:val="007C51AF"/>
    <w:rsid w:val="007C53DF"/>
    <w:rsid w:val="007C5BF8"/>
    <w:rsid w:val="007C5CE8"/>
    <w:rsid w:val="007C6162"/>
    <w:rsid w:val="007C6911"/>
    <w:rsid w:val="007C698E"/>
    <w:rsid w:val="007C6B15"/>
    <w:rsid w:val="007C6C39"/>
    <w:rsid w:val="007C6DCC"/>
    <w:rsid w:val="007C6E0E"/>
    <w:rsid w:val="007C6F21"/>
    <w:rsid w:val="007C6F58"/>
    <w:rsid w:val="007C7944"/>
    <w:rsid w:val="007C7A2A"/>
    <w:rsid w:val="007C7C55"/>
    <w:rsid w:val="007C7D9A"/>
    <w:rsid w:val="007C7DB3"/>
    <w:rsid w:val="007C7EC0"/>
    <w:rsid w:val="007D00E6"/>
    <w:rsid w:val="007D03C5"/>
    <w:rsid w:val="007D06EB"/>
    <w:rsid w:val="007D0AD8"/>
    <w:rsid w:val="007D1702"/>
    <w:rsid w:val="007D177F"/>
    <w:rsid w:val="007D1915"/>
    <w:rsid w:val="007D1D19"/>
    <w:rsid w:val="007D22BC"/>
    <w:rsid w:val="007D22D9"/>
    <w:rsid w:val="007D2437"/>
    <w:rsid w:val="007D2466"/>
    <w:rsid w:val="007D289D"/>
    <w:rsid w:val="007D2E56"/>
    <w:rsid w:val="007D32E5"/>
    <w:rsid w:val="007D33CB"/>
    <w:rsid w:val="007D355F"/>
    <w:rsid w:val="007D3B2E"/>
    <w:rsid w:val="007D3B85"/>
    <w:rsid w:val="007D3E05"/>
    <w:rsid w:val="007D40F8"/>
    <w:rsid w:val="007D42C0"/>
    <w:rsid w:val="007D446C"/>
    <w:rsid w:val="007D45BB"/>
    <w:rsid w:val="007D47E5"/>
    <w:rsid w:val="007D4900"/>
    <w:rsid w:val="007D4FE4"/>
    <w:rsid w:val="007D50E3"/>
    <w:rsid w:val="007D50F6"/>
    <w:rsid w:val="007D54B4"/>
    <w:rsid w:val="007D5566"/>
    <w:rsid w:val="007D5780"/>
    <w:rsid w:val="007D5A85"/>
    <w:rsid w:val="007D5D0C"/>
    <w:rsid w:val="007D5D1B"/>
    <w:rsid w:val="007D604E"/>
    <w:rsid w:val="007D6220"/>
    <w:rsid w:val="007D628A"/>
    <w:rsid w:val="007D637E"/>
    <w:rsid w:val="007D6546"/>
    <w:rsid w:val="007D667C"/>
    <w:rsid w:val="007D675E"/>
    <w:rsid w:val="007D688E"/>
    <w:rsid w:val="007D6CEC"/>
    <w:rsid w:val="007D6FE2"/>
    <w:rsid w:val="007D7518"/>
    <w:rsid w:val="007D76BA"/>
    <w:rsid w:val="007D7767"/>
    <w:rsid w:val="007D7B99"/>
    <w:rsid w:val="007D7CA7"/>
    <w:rsid w:val="007D7E5B"/>
    <w:rsid w:val="007E03C0"/>
    <w:rsid w:val="007E045C"/>
    <w:rsid w:val="007E09DF"/>
    <w:rsid w:val="007E0A3A"/>
    <w:rsid w:val="007E0A98"/>
    <w:rsid w:val="007E0CA5"/>
    <w:rsid w:val="007E11C7"/>
    <w:rsid w:val="007E1814"/>
    <w:rsid w:val="007E1A48"/>
    <w:rsid w:val="007E1B00"/>
    <w:rsid w:val="007E2034"/>
    <w:rsid w:val="007E2069"/>
    <w:rsid w:val="007E233B"/>
    <w:rsid w:val="007E2736"/>
    <w:rsid w:val="007E2836"/>
    <w:rsid w:val="007E28AE"/>
    <w:rsid w:val="007E2D2C"/>
    <w:rsid w:val="007E2DE9"/>
    <w:rsid w:val="007E3490"/>
    <w:rsid w:val="007E36D6"/>
    <w:rsid w:val="007E370D"/>
    <w:rsid w:val="007E381B"/>
    <w:rsid w:val="007E3B9C"/>
    <w:rsid w:val="007E3D9B"/>
    <w:rsid w:val="007E3F18"/>
    <w:rsid w:val="007E437D"/>
    <w:rsid w:val="007E4389"/>
    <w:rsid w:val="007E4485"/>
    <w:rsid w:val="007E451D"/>
    <w:rsid w:val="007E4980"/>
    <w:rsid w:val="007E4D45"/>
    <w:rsid w:val="007E4D84"/>
    <w:rsid w:val="007E536F"/>
    <w:rsid w:val="007E5596"/>
    <w:rsid w:val="007E562B"/>
    <w:rsid w:val="007E568A"/>
    <w:rsid w:val="007E5ADB"/>
    <w:rsid w:val="007E5C25"/>
    <w:rsid w:val="007E5C95"/>
    <w:rsid w:val="007E5F7A"/>
    <w:rsid w:val="007E6048"/>
    <w:rsid w:val="007E608D"/>
    <w:rsid w:val="007E62FB"/>
    <w:rsid w:val="007E658F"/>
    <w:rsid w:val="007E67DF"/>
    <w:rsid w:val="007E6808"/>
    <w:rsid w:val="007E6880"/>
    <w:rsid w:val="007E6C34"/>
    <w:rsid w:val="007E6FE0"/>
    <w:rsid w:val="007E7037"/>
    <w:rsid w:val="007E70C5"/>
    <w:rsid w:val="007E7180"/>
    <w:rsid w:val="007E7189"/>
    <w:rsid w:val="007E75A4"/>
    <w:rsid w:val="007E7CE6"/>
    <w:rsid w:val="007E7D93"/>
    <w:rsid w:val="007E7F41"/>
    <w:rsid w:val="007E7F53"/>
    <w:rsid w:val="007F015A"/>
    <w:rsid w:val="007F031A"/>
    <w:rsid w:val="007F0412"/>
    <w:rsid w:val="007F05F1"/>
    <w:rsid w:val="007F072F"/>
    <w:rsid w:val="007F08BF"/>
    <w:rsid w:val="007F093F"/>
    <w:rsid w:val="007F09A4"/>
    <w:rsid w:val="007F0D03"/>
    <w:rsid w:val="007F0E1B"/>
    <w:rsid w:val="007F0EC9"/>
    <w:rsid w:val="007F0FBF"/>
    <w:rsid w:val="007F1195"/>
    <w:rsid w:val="007F16EE"/>
    <w:rsid w:val="007F182D"/>
    <w:rsid w:val="007F19C7"/>
    <w:rsid w:val="007F201D"/>
    <w:rsid w:val="007F23FE"/>
    <w:rsid w:val="007F2637"/>
    <w:rsid w:val="007F27FD"/>
    <w:rsid w:val="007F2A6F"/>
    <w:rsid w:val="007F2F70"/>
    <w:rsid w:val="007F35AF"/>
    <w:rsid w:val="007F3A32"/>
    <w:rsid w:val="007F3C32"/>
    <w:rsid w:val="007F3F04"/>
    <w:rsid w:val="007F3F59"/>
    <w:rsid w:val="007F4262"/>
    <w:rsid w:val="007F42A9"/>
    <w:rsid w:val="007F46B7"/>
    <w:rsid w:val="007F4828"/>
    <w:rsid w:val="007F490C"/>
    <w:rsid w:val="007F523C"/>
    <w:rsid w:val="007F53D4"/>
    <w:rsid w:val="007F5490"/>
    <w:rsid w:val="007F573C"/>
    <w:rsid w:val="007F57B5"/>
    <w:rsid w:val="007F5CF0"/>
    <w:rsid w:val="007F6AF7"/>
    <w:rsid w:val="007F6B00"/>
    <w:rsid w:val="007F6BE9"/>
    <w:rsid w:val="007F6E4D"/>
    <w:rsid w:val="007F7021"/>
    <w:rsid w:val="007F7A8C"/>
    <w:rsid w:val="007F7BD0"/>
    <w:rsid w:val="007F7EF5"/>
    <w:rsid w:val="0080001F"/>
    <w:rsid w:val="008005C8"/>
    <w:rsid w:val="008006BE"/>
    <w:rsid w:val="008006DB"/>
    <w:rsid w:val="008010D0"/>
    <w:rsid w:val="00801300"/>
    <w:rsid w:val="00801A15"/>
    <w:rsid w:val="0080222C"/>
    <w:rsid w:val="008022D7"/>
    <w:rsid w:val="00802600"/>
    <w:rsid w:val="00802690"/>
    <w:rsid w:val="0080298F"/>
    <w:rsid w:val="00802A0E"/>
    <w:rsid w:val="00802CA6"/>
    <w:rsid w:val="00802E32"/>
    <w:rsid w:val="008030C0"/>
    <w:rsid w:val="00803119"/>
    <w:rsid w:val="008036E9"/>
    <w:rsid w:val="0080384C"/>
    <w:rsid w:val="0080397A"/>
    <w:rsid w:val="008039D9"/>
    <w:rsid w:val="00803C39"/>
    <w:rsid w:val="00803E67"/>
    <w:rsid w:val="00803EA7"/>
    <w:rsid w:val="00804039"/>
    <w:rsid w:val="0080403A"/>
    <w:rsid w:val="008040A2"/>
    <w:rsid w:val="008041D9"/>
    <w:rsid w:val="008041FF"/>
    <w:rsid w:val="00804332"/>
    <w:rsid w:val="00804467"/>
    <w:rsid w:val="00804821"/>
    <w:rsid w:val="008048A0"/>
    <w:rsid w:val="008048E4"/>
    <w:rsid w:val="008049D6"/>
    <w:rsid w:val="00804CFA"/>
    <w:rsid w:val="00804DEA"/>
    <w:rsid w:val="008052B8"/>
    <w:rsid w:val="008053FA"/>
    <w:rsid w:val="00805471"/>
    <w:rsid w:val="00805729"/>
    <w:rsid w:val="00805BBD"/>
    <w:rsid w:val="00805C3F"/>
    <w:rsid w:val="00805C4E"/>
    <w:rsid w:val="00805DF8"/>
    <w:rsid w:val="00805EB3"/>
    <w:rsid w:val="00805FDB"/>
    <w:rsid w:val="008061D4"/>
    <w:rsid w:val="008062AF"/>
    <w:rsid w:val="008065D0"/>
    <w:rsid w:val="00806743"/>
    <w:rsid w:val="008069D2"/>
    <w:rsid w:val="00806B80"/>
    <w:rsid w:val="00806D9D"/>
    <w:rsid w:val="00807054"/>
    <w:rsid w:val="0080710D"/>
    <w:rsid w:val="00807259"/>
    <w:rsid w:val="0080728A"/>
    <w:rsid w:val="0080734B"/>
    <w:rsid w:val="00807575"/>
    <w:rsid w:val="008079AA"/>
    <w:rsid w:val="00807C6C"/>
    <w:rsid w:val="008104AA"/>
    <w:rsid w:val="008104E0"/>
    <w:rsid w:val="008107B4"/>
    <w:rsid w:val="008108AA"/>
    <w:rsid w:val="008109AA"/>
    <w:rsid w:val="00810BBE"/>
    <w:rsid w:val="00810CFA"/>
    <w:rsid w:val="00810E0F"/>
    <w:rsid w:val="00810F42"/>
    <w:rsid w:val="00811768"/>
    <w:rsid w:val="00811833"/>
    <w:rsid w:val="00811F84"/>
    <w:rsid w:val="00812123"/>
    <w:rsid w:val="00812957"/>
    <w:rsid w:val="00812CE3"/>
    <w:rsid w:val="00813567"/>
    <w:rsid w:val="00813850"/>
    <w:rsid w:val="00813B98"/>
    <w:rsid w:val="00813DBC"/>
    <w:rsid w:val="00813F25"/>
    <w:rsid w:val="00813F7A"/>
    <w:rsid w:val="0081408A"/>
    <w:rsid w:val="00814322"/>
    <w:rsid w:val="00814360"/>
    <w:rsid w:val="008143DF"/>
    <w:rsid w:val="0081480A"/>
    <w:rsid w:val="00814E8B"/>
    <w:rsid w:val="00814FC4"/>
    <w:rsid w:val="008150C8"/>
    <w:rsid w:val="0081512A"/>
    <w:rsid w:val="0081527A"/>
    <w:rsid w:val="0081584A"/>
    <w:rsid w:val="00815988"/>
    <w:rsid w:val="00815CDC"/>
    <w:rsid w:val="00815DF2"/>
    <w:rsid w:val="00816583"/>
    <w:rsid w:val="00816775"/>
    <w:rsid w:val="008167DD"/>
    <w:rsid w:val="008167E7"/>
    <w:rsid w:val="00816856"/>
    <w:rsid w:val="00817545"/>
    <w:rsid w:val="00817A85"/>
    <w:rsid w:val="00817A89"/>
    <w:rsid w:val="00817B95"/>
    <w:rsid w:val="0082011E"/>
    <w:rsid w:val="008208B5"/>
    <w:rsid w:val="008208C3"/>
    <w:rsid w:val="00820DD7"/>
    <w:rsid w:val="00821060"/>
    <w:rsid w:val="00821296"/>
    <w:rsid w:val="00821501"/>
    <w:rsid w:val="00821600"/>
    <w:rsid w:val="008216C8"/>
    <w:rsid w:val="0082175B"/>
    <w:rsid w:val="00821F18"/>
    <w:rsid w:val="00822064"/>
    <w:rsid w:val="00822196"/>
    <w:rsid w:val="00822236"/>
    <w:rsid w:val="00822389"/>
    <w:rsid w:val="00822995"/>
    <w:rsid w:val="00822D9B"/>
    <w:rsid w:val="00822E46"/>
    <w:rsid w:val="00822E4F"/>
    <w:rsid w:val="00822FC7"/>
    <w:rsid w:val="0082332C"/>
    <w:rsid w:val="00823406"/>
    <w:rsid w:val="00823558"/>
    <w:rsid w:val="0082366B"/>
    <w:rsid w:val="00824127"/>
    <w:rsid w:val="0082422C"/>
    <w:rsid w:val="0082426F"/>
    <w:rsid w:val="008242AE"/>
    <w:rsid w:val="008245D3"/>
    <w:rsid w:val="008245FC"/>
    <w:rsid w:val="008251D1"/>
    <w:rsid w:val="0082569D"/>
    <w:rsid w:val="0082573C"/>
    <w:rsid w:val="008258F5"/>
    <w:rsid w:val="00825999"/>
    <w:rsid w:val="00825A98"/>
    <w:rsid w:val="00825BF4"/>
    <w:rsid w:val="00825BF7"/>
    <w:rsid w:val="00825CB7"/>
    <w:rsid w:val="00825EDB"/>
    <w:rsid w:val="00825EE6"/>
    <w:rsid w:val="008260F4"/>
    <w:rsid w:val="00826249"/>
    <w:rsid w:val="00826273"/>
    <w:rsid w:val="0082630C"/>
    <w:rsid w:val="008265E6"/>
    <w:rsid w:val="00826726"/>
    <w:rsid w:val="00826C61"/>
    <w:rsid w:val="008270DD"/>
    <w:rsid w:val="008274A7"/>
    <w:rsid w:val="0082750A"/>
    <w:rsid w:val="008275F5"/>
    <w:rsid w:val="00827714"/>
    <w:rsid w:val="00827FEB"/>
    <w:rsid w:val="008300C8"/>
    <w:rsid w:val="0083016D"/>
    <w:rsid w:val="0083020B"/>
    <w:rsid w:val="00830551"/>
    <w:rsid w:val="0083082E"/>
    <w:rsid w:val="00830878"/>
    <w:rsid w:val="00830BD9"/>
    <w:rsid w:val="00830DC9"/>
    <w:rsid w:val="00830E37"/>
    <w:rsid w:val="00830ED8"/>
    <w:rsid w:val="008315F9"/>
    <w:rsid w:val="0083166A"/>
    <w:rsid w:val="0083179B"/>
    <w:rsid w:val="008319A1"/>
    <w:rsid w:val="00831B48"/>
    <w:rsid w:val="00831BB9"/>
    <w:rsid w:val="00831F9F"/>
    <w:rsid w:val="008322EB"/>
    <w:rsid w:val="0083239A"/>
    <w:rsid w:val="008324EE"/>
    <w:rsid w:val="00832543"/>
    <w:rsid w:val="00832657"/>
    <w:rsid w:val="008327FE"/>
    <w:rsid w:val="00832943"/>
    <w:rsid w:val="008329AD"/>
    <w:rsid w:val="00832D37"/>
    <w:rsid w:val="00832D5C"/>
    <w:rsid w:val="00832E73"/>
    <w:rsid w:val="00832FCC"/>
    <w:rsid w:val="0083300A"/>
    <w:rsid w:val="0083349F"/>
    <w:rsid w:val="00833A2C"/>
    <w:rsid w:val="00833BA1"/>
    <w:rsid w:val="00833F9E"/>
    <w:rsid w:val="0083449A"/>
    <w:rsid w:val="0083450E"/>
    <w:rsid w:val="0083456F"/>
    <w:rsid w:val="00834665"/>
    <w:rsid w:val="0083483F"/>
    <w:rsid w:val="00834A92"/>
    <w:rsid w:val="00834C85"/>
    <w:rsid w:val="00834CBA"/>
    <w:rsid w:val="0083527C"/>
    <w:rsid w:val="0083529C"/>
    <w:rsid w:val="00835364"/>
    <w:rsid w:val="0083540B"/>
    <w:rsid w:val="00835575"/>
    <w:rsid w:val="008356D1"/>
    <w:rsid w:val="0083578E"/>
    <w:rsid w:val="00835A69"/>
    <w:rsid w:val="00835F53"/>
    <w:rsid w:val="00835F60"/>
    <w:rsid w:val="00835F85"/>
    <w:rsid w:val="0083612D"/>
    <w:rsid w:val="0083631B"/>
    <w:rsid w:val="008363EB"/>
    <w:rsid w:val="008363FA"/>
    <w:rsid w:val="008366A1"/>
    <w:rsid w:val="00836C5F"/>
    <w:rsid w:val="00836DAC"/>
    <w:rsid w:val="00836E17"/>
    <w:rsid w:val="00837068"/>
    <w:rsid w:val="008370FF"/>
    <w:rsid w:val="00837270"/>
    <w:rsid w:val="00837560"/>
    <w:rsid w:val="00837807"/>
    <w:rsid w:val="0083780C"/>
    <w:rsid w:val="00837B3D"/>
    <w:rsid w:val="00837E9E"/>
    <w:rsid w:val="00837F24"/>
    <w:rsid w:val="00837F3C"/>
    <w:rsid w:val="00837F47"/>
    <w:rsid w:val="00837F57"/>
    <w:rsid w:val="00837F71"/>
    <w:rsid w:val="008401E5"/>
    <w:rsid w:val="00840222"/>
    <w:rsid w:val="00840491"/>
    <w:rsid w:val="008406C9"/>
    <w:rsid w:val="00840CD6"/>
    <w:rsid w:val="00840E6A"/>
    <w:rsid w:val="008411D4"/>
    <w:rsid w:val="00841354"/>
    <w:rsid w:val="0084179A"/>
    <w:rsid w:val="00841984"/>
    <w:rsid w:val="00841A4C"/>
    <w:rsid w:val="00841C83"/>
    <w:rsid w:val="00841DF4"/>
    <w:rsid w:val="0084223D"/>
    <w:rsid w:val="00842512"/>
    <w:rsid w:val="0084285B"/>
    <w:rsid w:val="00842B54"/>
    <w:rsid w:val="00842C52"/>
    <w:rsid w:val="0084323D"/>
    <w:rsid w:val="00843448"/>
    <w:rsid w:val="0084359B"/>
    <w:rsid w:val="0084389C"/>
    <w:rsid w:val="008438FC"/>
    <w:rsid w:val="00843905"/>
    <w:rsid w:val="00843A25"/>
    <w:rsid w:val="00843A49"/>
    <w:rsid w:val="00843A6E"/>
    <w:rsid w:val="00843B8D"/>
    <w:rsid w:val="00843D1D"/>
    <w:rsid w:val="00843D9E"/>
    <w:rsid w:val="00843E0C"/>
    <w:rsid w:val="008440C8"/>
    <w:rsid w:val="008441AF"/>
    <w:rsid w:val="00844999"/>
    <w:rsid w:val="00844BB1"/>
    <w:rsid w:val="00844D12"/>
    <w:rsid w:val="00844E34"/>
    <w:rsid w:val="00845048"/>
    <w:rsid w:val="0084549D"/>
    <w:rsid w:val="008454F7"/>
    <w:rsid w:val="008455BB"/>
    <w:rsid w:val="00845F2A"/>
    <w:rsid w:val="00845F74"/>
    <w:rsid w:val="008461AA"/>
    <w:rsid w:val="00846265"/>
    <w:rsid w:val="008464C4"/>
    <w:rsid w:val="008466EE"/>
    <w:rsid w:val="008466FA"/>
    <w:rsid w:val="00846749"/>
    <w:rsid w:val="00846830"/>
    <w:rsid w:val="008468E3"/>
    <w:rsid w:val="00846931"/>
    <w:rsid w:val="00846B63"/>
    <w:rsid w:val="00846B65"/>
    <w:rsid w:val="00846D36"/>
    <w:rsid w:val="00846DFA"/>
    <w:rsid w:val="00846E72"/>
    <w:rsid w:val="008477AB"/>
    <w:rsid w:val="00847B8F"/>
    <w:rsid w:val="0085005B"/>
    <w:rsid w:val="00850286"/>
    <w:rsid w:val="008502FD"/>
    <w:rsid w:val="0085053E"/>
    <w:rsid w:val="0085068C"/>
    <w:rsid w:val="00850C15"/>
    <w:rsid w:val="00850CD4"/>
    <w:rsid w:val="00850FA9"/>
    <w:rsid w:val="0085191B"/>
    <w:rsid w:val="00851982"/>
    <w:rsid w:val="00851C22"/>
    <w:rsid w:val="0085202E"/>
    <w:rsid w:val="0085235C"/>
    <w:rsid w:val="008523D0"/>
    <w:rsid w:val="008525CB"/>
    <w:rsid w:val="00852F22"/>
    <w:rsid w:val="00852F9B"/>
    <w:rsid w:val="00853265"/>
    <w:rsid w:val="008534C0"/>
    <w:rsid w:val="00853568"/>
    <w:rsid w:val="0085371F"/>
    <w:rsid w:val="00853AF0"/>
    <w:rsid w:val="00853CB3"/>
    <w:rsid w:val="00853D6D"/>
    <w:rsid w:val="00854055"/>
    <w:rsid w:val="008542C7"/>
    <w:rsid w:val="008542CA"/>
    <w:rsid w:val="008544F7"/>
    <w:rsid w:val="00854BCB"/>
    <w:rsid w:val="00854C86"/>
    <w:rsid w:val="00854DD0"/>
    <w:rsid w:val="00854EA3"/>
    <w:rsid w:val="0085520B"/>
    <w:rsid w:val="00855291"/>
    <w:rsid w:val="00855643"/>
    <w:rsid w:val="0085567D"/>
    <w:rsid w:val="0085590D"/>
    <w:rsid w:val="00855A9A"/>
    <w:rsid w:val="00855B7E"/>
    <w:rsid w:val="00855CDA"/>
    <w:rsid w:val="008560B5"/>
    <w:rsid w:val="0085615C"/>
    <w:rsid w:val="0085658D"/>
    <w:rsid w:val="0085673E"/>
    <w:rsid w:val="008567B7"/>
    <w:rsid w:val="00856A0E"/>
    <w:rsid w:val="00856A32"/>
    <w:rsid w:val="00856EEB"/>
    <w:rsid w:val="00856FE2"/>
    <w:rsid w:val="008575F4"/>
    <w:rsid w:val="00857646"/>
    <w:rsid w:val="0085770B"/>
    <w:rsid w:val="00857E58"/>
    <w:rsid w:val="008601EB"/>
    <w:rsid w:val="00860245"/>
    <w:rsid w:val="008603E9"/>
    <w:rsid w:val="0086060D"/>
    <w:rsid w:val="00860688"/>
    <w:rsid w:val="00860919"/>
    <w:rsid w:val="00860B35"/>
    <w:rsid w:val="00860B66"/>
    <w:rsid w:val="00860F39"/>
    <w:rsid w:val="00860FD2"/>
    <w:rsid w:val="00860FDE"/>
    <w:rsid w:val="0086123E"/>
    <w:rsid w:val="008612DE"/>
    <w:rsid w:val="00861861"/>
    <w:rsid w:val="00861C94"/>
    <w:rsid w:val="00861DBC"/>
    <w:rsid w:val="008621BA"/>
    <w:rsid w:val="008624C7"/>
    <w:rsid w:val="008625AB"/>
    <w:rsid w:val="00862CBA"/>
    <w:rsid w:val="008631CE"/>
    <w:rsid w:val="008634BD"/>
    <w:rsid w:val="00863682"/>
    <w:rsid w:val="00863891"/>
    <w:rsid w:val="00863983"/>
    <w:rsid w:val="008639D7"/>
    <w:rsid w:val="00863BD9"/>
    <w:rsid w:val="00863EAA"/>
    <w:rsid w:val="00864403"/>
    <w:rsid w:val="0086443E"/>
    <w:rsid w:val="00864679"/>
    <w:rsid w:val="0086468E"/>
    <w:rsid w:val="0086487C"/>
    <w:rsid w:val="00864A0A"/>
    <w:rsid w:val="00864DE4"/>
    <w:rsid w:val="00864DF0"/>
    <w:rsid w:val="008654FB"/>
    <w:rsid w:val="008658CF"/>
    <w:rsid w:val="0086599A"/>
    <w:rsid w:val="00865CFC"/>
    <w:rsid w:val="00865FBF"/>
    <w:rsid w:val="008660C2"/>
    <w:rsid w:val="0086636D"/>
    <w:rsid w:val="00866407"/>
    <w:rsid w:val="0086662D"/>
    <w:rsid w:val="008667C4"/>
    <w:rsid w:val="008667DE"/>
    <w:rsid w:val="00866DA2"/>
    <w:rsid w:val="0086789B"/>
    <w:rsid w:val="00867992"/>
    <w:rsid w:val="008679BA"/>
    <w:rsid w:val="00867ACF"/>
    <w:rsid w:val="00867F85"/>
    <w:rsid w:val="00870000"/>
    <w:rsid w:val="0087001C"/>
    <w:rsid w:val="0087034A"/>
    <w:rsid w:val="00870355"/>
    <w:rsid w:val="00870491"/>
    <w:rsid w:val="00870581"/>
    <w:rsid w:val="00870885"/>
    <w:rsid w:val="008708B6"/>
    <w:rsid w:val="00870C65"/>
    <w:rsid w:val="00870CC0"/>
    <w:rsid w:val="00870CD3"/>
    <w:rsid w:val="008710AE"/>
    <w:rsid w:val="00871231"/>
    <w:rsid w:val="008713CE"/>
    <w:rsid w:val="008715E8"/>
    <w:rsid w:val="00871D63"/>
    <w:rsid w:val="00871F32"/>
    <w:rsid w:val="008724CE"/>
    <w:rsid w:val="008729E1"/>
    <w:rsid w:val="00872A1D"/>
    <w:rsid w:val="00872C92"/>
    <w:rsid w:val="00872FD2"/>
    <w:rsid w:val="0087363A"/>
    <w:rsid w:val="0087367D"/>
    <w:rsid w:val="00873803"/>
    <w:rsid w:val="00873984"/>
    <w:rsid w:val="00873D35"/>
    <w:rsid w:val="00873E37"/>
    <w:rsid w:val="00874039"/>
    <w:rsid w:val="008743CE"/>
    <w:rsid w:val="0087484C"/>
    <w:rsid w:val="0087492C"/>
    <w:rsid w:val="00874A7C"/>
    <w:rsid w:val="00874D3B"/>
    <w:rsid w:val="0087537B"/>
    <w:rsid w:val="00875579"/>
    <w:rsid w:val="00875B07"/>
    <w:rsid w:val="00875EAA"/>
    <w:rsid w:val="00876027"/>
    <w:rsid w:val="0087603B"/>
    <w:rsid w:val="00876076"/>
    <w:rsid w:val="00876341"/>
    <w:rsid w:val="0087637E"/>
    <w:rsid w:val="008764B4"/>
    <w:rsid w:val="008764F2"/>
    <w:rsid w:val="0087674B"/>
    <w:rsid w:val="00876869"/>
    <w:rsid w:val="0087689B"/>
    <w:rsid w:val="00876A9F"/>
    <w:rsid w:val="00876B98"/>
    <w:rsid w:val="00876F66"/>
    <w:rsid w:val="00877138"/>
    <w:rsid w:val="008771B7"/>
    <w:rsid w:val="008772BA"/>
    <w:rsid w:val="00877D1E"/>
    <w:rsid w:val="00877F47"/>
    <w:rsid w:val="00877F58"/>
    <w:rsid w:val="0088028C"/>
    <w:rsid w:val="008808A7"/>
    <w:rsid w:val="00880B3E"/>
    <w:rsid w:val="00880DDC"/>
    <w:rsid w:val="00881018"/>
    <w:rsid w:val="0088102B"/>
    <w:rsid w:val="00881602"/>
    <w:rsid w:val="00881BB1"/>
    <w:rsid w:val="00881D04"/>
    <w:rsid w:val="00881E24"/>
    <w:rsid w:val="00881E5D"/>
    <w:rsid w:val="00881F6B"/>
    <w:rsid w:val="0088215F"/>
    <w:rsid w:val="00882293"/>
    <w:rsid w:val="008824DD"/>
    <w:rsid w:val="00882580"/>
    <w:rsid w:val="00882956"/>
    <w:rsid w:val="0088298A"/>
    <w:rsid w:val="00882CC8"/>
    <w:rsid w:val="00882E42"/>
    <w:rsid w:val="00883291"/>
    <w:rsid w:val="00883495"/>
    <w:rsid w:val="008836EF"/>
    <w:rsid w:val="00883A4A"/>
    <w:rsid w:val="00883AC4"/>
    <w:rsid w:val="00883E37"/>
    <w:rsid w:val="00884195"/>
    <w:rsid w:val="008843BF"/>
    <w:rsid w:val="0088440D"/>
    <w:rsid w:val="00884AE0"/>
    <w:rsid w:val="00884DB0"/>
    <w:rsid w:val="00884F69"/>
    <w:rsid w:val="00885896"/>
    <w:rsid w:val="00885913"/>
    <w:rsid w:val="00885993"/>
    <w:rsid w:val="00885DEA"/>
    <w:rsid w:val="00885E3C"/>
    <w:rsid w:val="0088608D"/>
    <w:rsid w:val="008862B2"/>
    <w:rsid w:val="00886398"/>
    <w:rsid w:val="0088670F"/>
    <w:rsid w:val="0088683A"/>
    <w:rsid w:val="0088688C"/>
    <w:rsid w:val="008869C6"/>
    <w:rsid w:val="00886E80"/>
    <w:rsid w:val="00886E92"/>
    <w:rsid w:val="00887414"/>
    <w:rsid w:val="00887607"/>
    <w:rsid w:val="00887D37"/>
    <w:rsid w:val="008900B8"/>
    <w:rsid w:val="00890194"/>
    <w:rsid w:val="00890208"/>
    <w:rsid w:val="008902F6"/>
    <w:rsid w:val="00890541"/>
    <w:rsid w:val="00890607"/>
    <w:rsid w:val="0089084F"/>
    <w:rsid w:val="00890B0D"/>
    <w:rsid w:val="00890BD8"/>
    <w:rsid w:val="00890C15"/>
    <w:rsid w:val="00890C16"/>
    <w:rsid w:val="00890EA7"/>
    <w:rsid w:val="00890FF5"/>
    <w:rsid w:val="00891453"/>
    <w:rsid w:val="008919CF"/>
    <w:rsid w:val="00891AAE"/>
    <w:rsid w:val="00891AB0"/>
    <w:rsid w:val="00891BE5"/>
    <w:rsid w:val="00891CFA"/>
    <w:rsid w:val="00891F45"/>
    <w:rsid w:val="0089240B"/>
    <w:rsid w:val="008926AF"/>
    <w:rsid w:val="008927F2"/>
    <w:rsid w:val="00892806"/>
    <w:rsid w:val="00892B7E"/>
    <w:rsid w:val="00892B82"/>
    <w:rsid w:val="00892DF3"/>
    <w:rsid w:val="00892E65"/>
    <w:rsid w:val="00892F1D"/>
    <w:rsid w:val="008930D8"/>
    <w:rsid w:val="008932A7"/>
    <w:rsid w:val="0089360F"/>
    <w:rsid w:val="00893A4F"/>
    <w:rsid w:val="00893B24"/>
    <w:rsid w:val="00893EBA"/>
    <w:rsid w:val="00893F09"/>
    <w:rsid w:val="0089414E"/>
    <w:rsid w:val="00894370"/>
    <w:rsid w:val="0089452E"/>
    <w:rsid w:val="00894650"/>
    <w:rsid w:val="00894966"/>
    <w:rsid w:val="00894E89"/>
    <w:rsid w:val="00894F9A"/>
    <w:rsid w:val="00894FB6"/>
    <w:rsid w:val="00895079"/>
    <w:rsid w:val="008950F3"/>
    <w:rsid w:val="0089511D"/>
    <w:rsid w:val="008951EC"/>
    <w:rsid w:val="00895204"/>
    <w:rsid w:val="00895292"/>
    <w:rsid w:val="008953E6"/>
    <w:rsid w:val="00895463"/>
    <w:rsid w:val="00895724"/>
    <w:rsid w:val="008959BA"/>
    <w:rsid w:val="00895A09"/>
    <w:rsid w:val="00895A55"/>
    <w:rsid w:val="00895CA2"/>
    <w:rsid w:val="00895CDA"/>
    <w:rsid w:val="00895E63"/>
    <w:rsid w:val="00895FFC"/>
    <w:rsid w:val="0089685D"/>
    <w:rsid w:val="008969E1"/>
    <w:rsid w:val="00896A00"/>
    <w:rsid w:val="00896BD0"/>
    <w:rsid w:val="00896C87"/>
    <w:rsid w:val="00896D99"/>
    <w:rsid w:val="008970F4"/>
    <w:rsid w:val="0089734D"/>
    <w:rsid w:val="008973FE"/>
    <w:rsid w:val="00897455"/>
    <w:rsid w:val="00897AEE"/>
    <w:rsid w:val="00897D56"/>
    <w:rsid w:val="00897FA3"/>
    <w:rsid w:val="00897FE6"/>
    <w:rsid w:val="008A002B"/>
    <w:rsid w:val="008A00C3"/>
    <w:rsid w:val="008A013A"/>
    <w:rsid w:val="008A0240"/>
    <w:rsid w:val="008A07B7"/>
    <w:rsid w:val="008A1292"/>
    <w:rsid w:val="008A1308"/>
    <w:rsid w:val="008A13D3"/>
    <w:rsid w:val="008A15E2"/>
    <w:rsid w:val="008A15F3"/>
    <w:rsid w:val="008A16A8"/>
    <w:rsid w:val="008A1BA8"/>
    <w:rsid w:val="008A1D39"/>
    <w:rsid w:val="008A1F23"/>
    <w:rsid w:val="008A2797"/>
    <w:rsid w:val="008A2800"/>
    <w:rsid w:val="008A2950"/>
    <w:rsid w:val="008A2ACD"/>
    <w:rsid w:val="008A322A"/>
    <w:rsid w:val="008A367F"/>
    <w:rsid w:val="008A3C42"/>
    <w:rsid w:val="008A3C91"/>
    <w:rsid w:val="008A3D70"/>
    <w:rsid w:val="008A3EE7"/>
    <w:rsid w:val="008A412F"/>
    <w:rsid w:val="008A4989"/>
    <w:rsid w:val="008A49B5"/>
    <w:rsid w:val="008A4D75"/>
    <w:rsid w:val="008A4F53"/>
    <w:rsid w:val="008A524F"/>
    <w:rsid w:val="008A5A48"/>
    <w:rsid w:val="008A5B6C"/>
    <w:rsid w:val="008A5E94"/>
    <w:rsid w:val="008A5F92"/>
    <w:rsid w:val="008A6065"/>
    <w:rsid w:val="008A60D0"/>
    <w:rsid w:val="008A6167"/>
    <w:rsid w:val="008A6288"/>
    <w:rsid w:val="008A63C4"/>
    <w:rsid w:val="008A6511"/>
    <w:rsid w:val="008A6708"/>
    <w:rsid w:val="008A6833"/>
    <w:rsid w:val="008A6A9F"/>
    <w:rsid w:val="008A6DA6"/>
    <w:rsid w:val="008A6ED2"/>
    <w:rsid w:val="008A7317"/>
    <w:rsid w:val="008A761C"/>
    <w:rsid w:val="008A77B3"/>
    <w:rsid w:val="008A7874"/>
    <w:rsid w:val="008A78E3"/>
    <w:rsid w:val="008A7B31"/>
    <w:rsid w:val="008A7E26"/>
    <w:rsid w:val="008A7F42"/>
    <w:rsid w:val="008B01D3"/>
    <w:rsid w:val="008B0517"/>
    <w:rsid w:val="008B06E1"/>
    <w:rsid w:val="008B081C"/>
    <w:rsid w:val="008B082D"/>
    <w:rsid w:val="008B0944"/>
    <w:rsid w:val="008B0B7E"/>
    <w:rsid w:val="008B0E8A"/>
    <w:rsid w:val="008B1013"/>
    <w:rsid w:val="008B1248"/>
    <w:rsid w:val="008B14BC"/>
    <w:rsid w:val="008B1886"/>
    <w:rsid w:val="008B19DD"/>
    <w:rsid w:val="008B1B3E"/>
    <w:rsid w:val="008B1CF6"/>
    <w:rsid w:val="008B1D1B"/>
    <w:rsid w:val="008B1E01"/>
    <w:rsid w:val="008B2011"/>
    <w:rsid w:val="008B20E8"/>
    <w:rsid w:val="008B25B1"/>
    <w:rsid w:val="008B26D4"/>
    <w:rsid w:val="008B26FD"/>
    <w:rsid w:val="008B2949"/>
    <w:rsid w:val="008B2BDD"/>
    <w:rsid w:val="008B2CC6"/>
    <w:rsid w:val="008B2E38"/>
    <w:rsid w:val="008B2E86"/>
    <w:rsid w:val="008B2F7F"/>
    <w:rsid w:val="008B3217"/>
    <w:rsid w:val="008B3427"/>
    <w:rsid w:val="008B3598"/>
    <w:rsid w:val="008B372C"/>
    <w:rsid w:val="008B390F"/>
    <w:rsid w:val="008B3C25"/>
    <w:rsid w:val="008B3CCB"/>
    <w:rsid w:val="008B40CA"/>
    <w:rsid w:val="008B41A2"/>
    <w:rsid w:val="008B42BC"/>
    <w:rsid w:val="008B42FD"/>
    <w:rsid w:val="008B4315"/>
    <w:rsid w:val="008B46D3"/>
    <w:rsid w:val="008B4900"/>
    <w:rsid w:val="008B49CD"/>
    <w:rsid w:val="008B4A16"/>
    <w:rsid w:val="008B4B56"/>
    <w:rsid w:val="008B4D7D"/>
    <w:rsid w:val="008B4E2E"/>
    <w:rsid w:val="008B4FF9"/>
    <w:rsid w:val="008B55BC"/>
    <w:rsid w:val="008B5749"/>
    <w:rsid w:val="008B5756"/>
    <w:rsid w:val="008B5B90"/>
    <w:rsid w:val="008B5D5A"/>
    <w:rsid w:val="008B5F19"/>
    <w:rsid w:val="008B5F88"/>
    <w:rsid w:val="008B6199"/>
    <w:rsid w:val="008B621A"/>
    <w:rsid w:val="008B69B4"/>
    <w:rsid w:val="008B6C94"/>
    <w:rsid w:val="008B7306"/>
    <w:rsid w:val="008B74C5"/>
    <w:rsid w:val="008B7862"/>
    <w:rsid w:val="008B7A98"/>
    <w:rsid w:val="008C003D"/>
    <w:rsid w:val="008C00A7"/>
    <w:rsid w:val="008C02ED"/>
    <w:rsid w:val="008C03EA"/>
    <w:rsid w:val="008C0766"/>
    <w:rsid w:val="008C0814"/>
    <w:rsid w:val="008C0B2B"/>
    <w:rsid w:val="008C0D49"/>
    <w:rsid w:val="008C0EAA"/>
    <w:rsid w:val="008C12AC"/>
    <w:rsid w:val="008C16DC"/>
    <w:rsid w:val="008C1D31"/>
    <w:rsid w:val="008C2280"/>
    <w:rsid w:val="008C23E1"/>
    <w:rsid w:val="008C23E2"/>
    <w:rsid w:val="008C2434"/>
    <w:rsid w:val="008C24B1"/>
    <w:rsid w:val="008C25B2"/>
    <w:rsid w:val="008C26C2"/>
    <w:rsid w:val="008C286B"/>
    <w:rsid w:val="008C2B16"/>
    <w:rsid w:val="008C2C7A"/>
    <w:rsid w:val="008C306E"/>
    <w:rsid w:val="008C31B3"/>
    <w:rsid w:val="008C3255"/>
    <w:rsid w:val="008C36D1"/>
    <w:rsid w:val="008C3A54"/>
    <w:rsid w:val="008C3CC3"/>
    <w:rsid w:val="008C4342"/>
    <w:rsid w:val="008C440F"/>
    <w:rsid w:val="008C4600"/>
    <w:rsid w:val="008C4A45"/>
    <w:rsid w:val="008C4B8C"/>
    <w:rsid w:val="008C4EFC"/>
    <w:rsid w:val="008C50FB"/>
    <w:rsid w:val="008C53FA"/>
    <w:rsid w:val="008C56AB"/>
    <w:rsid w:val="008C57A5"/>
    <w:rsid w:val="008C5A91"/>
    <w:rsid w:val="008C5AB0"/>
    <w:rsid w:val="008C5B21"/>
    <w:rsid w:val="008C5C1A"/>
    <w:rsid w:val="008C5D10"/>
    <w:rsid w:val="008C5F01"/>
    <w:rsid w:val="008C65DE"/>
    <w:rsid w:val="008C66FC"/>
    <w:rsid w:val="008C6748"/>
    <w:rsid w:val="008C68C7"/>
    <w:rsid w:val="008C6A7E"/>
    <w:rsid w:val="008C6C58"/>
    <w:rsid w:val="008C6E8C"/>
    <w:rsid w:val="008C71EA"/>
    <w:rsid w:val="008C7465"/>
    <w:rsid w:val="008C74D6"/>
    <w:rsid w:val="008C79CB"/>
    <w:rsid w:val="008C7B5B"/>
    <w:rsid w:val="008C7F6E"/>
    <w:rsid w:val="008C7FCF"/>
    <w:rsid w:val="008D031D"/>
    <w:rsid w:val="008D05F1"/>
    <w:rsid w:val="008D06B0"/>
    <w:rsid w:val="008D0A8C"/>
    <w:rsid w:val="008D0C79"/>
    <w:rsid w:val="008D0C91"/>
    <w:rsid w:val="008D0F30"/>
    <w:rsid w:val="008D0FEF"/>
    <w:rsid w:val="008D135B"/>
    <w:rsid w:val="008D1397"/>
    <w:rsid w:val="008D1734"/>
    <w:rsid w:val="008D176E"/>
    <w:rsid w:val="008D1BBC"/>
    <w:rsid w:val="008D20E8"/>
    <w:rsid w:val="008D20E9"/>
    <w:rsid w:val="008D2152"/>
    <w:rsid w:val="008D24F2"/>
    <w:rsid w:val="008D30CC"/>
    <w:rsid w:val="008D3128"/>
    <w:rsid w:val="008D325C"/>
    <w:rsid w:val="008D32B3"/>
    <w:rsid w:val="008D32DF"/>
    <w:rsid w:val="008D3588"/>
    <w:rsid w:val="008D360B"/>
    <w:rsid w:val="008D368F"/>
    <w:rsid w:val="008D39B4"/>
    <w:rsid w:val="008D3BA1"/>
    <w:rsid w:val="008D3F59"/>
    <w:rsid w:val="008D3F85"/>
    <w:rsid w:val="008D426D"/>
    <w:rsid w:val="008D430B"/>
    <w:rsid w:val="008D46A0"/>
    <w:rsid w:val="008D4A2A"/>
    <w:rsid w:val="008D4C02"/>
    <w:rsid w:val="008D4E10"/>
    <w:rsid w:val="008D4EC8"/>
    <w:rsid w:val="008D505B"/>
    <w:rsid w:val="008D51F5"/>
    <w:rsid w:val="008D53D2"/>
    <w:rsid w:val="008D571A"/>
    <w:rsid w:val="008D5A4D"/>
    <w:rsid w:val="008D5D65"/>
    <w:rsid w:val="008D5D7A"/>
    <w:rsid w:val="008D61A3"/>
    <w:rsid w:val="008D63C6"/>
    <w:rsid w:val="008D654E"/>
    <w:rsid w:val="008D66C0"/>
    <w:rsid w:val="008D67F1"/>
    <w:rsid w:val="008D6B91"/>
    <w:rsid w:val="008D6E95"/>
    <w:rsid w:val="008D6FE8"/>
    <w:rsid w:val="008D72BB"/>
    <w:rsid w:val="008D7BED"/>
    <w:rsid w:val="008D7C99"/>
    <w:rsid w:val="008E0183"/>
    <w:rsid w:val="008E0275"/>
    <w:rsid w:val="008E0849"/>
    <w:rsid w:val="008E0A1D"/>
    <w:rsid w:val="008E0B45"/>
    <w:rsid w:val="008E1227"/>
    <w:rsid w:val="008E1451"/>
    <w:rsid w:val="008E1614"/>
    <w:rsid w:val="008E163D"/>
    <w:rsid w:val="008E18A9"/>
    <w:rsid w:val="008E18FD"/>
    <w:rsid w:val="008E1D0D"/>
    <w:rsid w:val="008E22B2"/>
    <w:rsid w:val="008E22FF"/>
    <w:rsid w:val="008E251F"/>
    <w:rsid w:val="008E27F0"/>
    <w:rsid w:val="008E2818"/>
    <w:rsid w:val="008E2F45"/>
    <w:rsid w:val="008E3A35"/>
    <w:rsid w:val="008E3B7F"/>
    <w:rsid w:val="008E3E0A"/>
    <w:rsid w:val="008E3F54"/>
    <w:rsid w:val="008E3F65"/>
    <w:rsid w:val="008E3FD5"/>
    <w:rsid w:val="008E445B"/>
    <w:rsid w:val="008E4570"/>
    <w:rsid w:val="008E4783"/>
    <w:rsid w:val="008E489A"/>
    <w:rsid w:val="008E4A5B"/>
    <w:rsid w:val="008E4B5D"/>
    <w:rsid w:val="008E4CE3"/>
    <w:rsid w:val="008E4D77"/>
    <w:rsid w:val="008E4D89"/>
    <w:rsid w:val="008E4F40"/>
    <w:rsid w:val="008E50C2"/>
    <w:rsid w:val="008E518E"/>
    <w:rsid w:val="008E51BE"/>
    <w:rsid w:val="008E54B7"/>
    <w:rsid w:val="008E56AD"/>
    <w:rsid w:val="008E5747"/>
    <w:rsid w:val="008E58F4"/>
    <w:rsid w:val="008E596A"/>
    <w:rsid w:val="008E59EB"/>
    <w:rsid w:val="008E5E98"/>
    <w:rsid w:val="008E5FC0"/>
    <w:rsid w:val="008E6078"/>
    <w:rsid w:val="008E6259"/>
    <w:rsid w:val="008E65C1"/>
    <w:rsid w:val="008E65F0"/>
    <w:rsid w:val="008E68BF"/>
    <w:rsid w:val="008E68F3"/>
    <w:rsid w:val="008E6A72"/>
    <w:rsid w:val="008E6C96"/>
    <w:rsid w:val="008E6DAE"/>
    <w:rsid w:val="008E6E32"/>
    <w:rsid w:val="008E6F3D"/>
    <w:rsid w:val="008E71D8"/>
    <w:rsid w:val="008E7233"/>
    <w:rsid w:val="008E73A9"/>
    <w:rsid w:val="008E7792"/>
    <w:rsid w:val="008E784F"/>
    <w:rsid w:val="008E789B"/>
    <w:rsid w:val="008E7952"/>
    <w:rsid w:val="008E7AE8"/>
    <w:rsid w:val="008E7B5B"/>
    <w:rsid w:val="008E7B8E"/>
    <w:rsid w:val="008E7BD7"/>
    <w:rsid w:val="008E7C18"/>
    <w:rsid w:val="008E7DEE"/>
    <w:rsid w:val="008E7E88"/>
    <w:rsid w:val="008E7EAE"/>
    <w:rsid w:val="008E7ED3"/>
    <w:rsid w:val="008E7FE2"/>
    <w:rsid w:val="008F00DA"/>
    <w:rsid w:val="008F0634"/>
    <w:rsid w:val="008F068B"/>
    <w:rsid w:val="008F07EE"/>
    <w:rsid w:val="008F0C50"/>
    <w:rsid w:val="008F0D32"/>
    <w:rsid w:val="008F0F1F"/>
    <w:rsid w:val="008F11D8"/>
    <w:rsid w:val="008F129C"/>
    <w:rsid w:val="008F16BE"/>
    <w:rsid w:val="008F1BF0"/>
    <w:rsid w:val="008F1C52"/>
    <w:rsid w:val="008F1EBE"/>
    <w:rsid w:val="008F2300"/>
    <w:rsid w:val="008F2820"/>
    <w:rsid w:val="008F292B"/>
    <w:rsid w:val="008F2A34"/>
    <w:rsid w:val="008F31BA"/>
    <w:rsid w:val="008F32CB"/>
    <w:rsid w:val="008F330A"/>
    <w:rsid w:val="008F3348"/>
    <w:rsid w:val="008F33A7"/>
    <w:rsid w:val="008F39D5"/>
    <w:rsid w:val="008F3A7C"/>
    <w:rsid w:val="008F3B08"/>
    <w:rsid w:val="008F3D35"/>
    <w:rsid w:val="008F3E11"/>
    <w:rsid w:val="008F3E51"/>
    <w:rsid w:val="008F3F0D"/>
    <w:rsid w:val="008F4348"/>
    <w:rsid w:val="008F44C6"/>
    <w:rsid w:val="008F469D"/>
    <w:rsid w:val="008F4850"/>
    <w:rsid w:val="008F4978"/>
    <w:rsid w:val="008F4CE2"/>
    <w:rsid w:val="008F4D9D"/>
    <w:rsid w:val="008F576D"/>
    <w:rsid w:val="008F5809"/>
    <w:rsid w:val="008F587F"/>
    <w:rsid w:val="008F5890"/>
    <w:rsid w:val="008F5D52"/>
    <w:rsid w:val="008F63CF"/>
    <w:rsid w:val="008F6522"/>
    <w:rsid w:val="008F65DF"/>
    <w:rsid w:val="008F671A"/>
    <w:rsid w:val="008F6725"/>
    <w:rsid w:val="008F6784"/>
    <w:rsid w:val="008F68AB"/>
    <w:rsid w:val="008F693F"/>
    <w:rsid w:val="008F69C4"/>
    <w:rsid w:val="008F6A19"/>
    <w:rsid w:val="008F716D"/>
    <w:rsid w:val="008F73C4"/>
    <w:rsid w:val="008F74B3"/>
    <w:rsid w:val="008F7646"/>
    <w:rsid w:val="008F77B1"/>
    <w:rsid w:val="008F792B"/>
    <w:rsid w:val="008F7E66"/>
    <w:rsid w:val="008F7E7E"/>
    <w:rsid w:val="00900039"/>
    <w:rsid w:val="00900052"/>
    <w:rsid w:val="0090010A"/>
    <w:rsid w:val="0090026E"/>
    <w:rsid w:val="009004B6"/>
    <w:rsid w:val="009006E2"/>
    <w:rsid w:val="0090077B"/>
    <w:rsid w:val="00900A5D"/>
    <w:rsid w:val="00900C5A"/>
    <w:rsid w:val="00900D9E"/>
    <w:rsid w:val="00901650"/>
    <w:rsid w:val="00901772"/>
    <w:rsid w:val="009019A9"/>
    <w:rsid w:val="00901AC2"/>
    <w:rsid w:val="009020A4"/>
    <w:rsid w:val="00902112"/>
    <w:rsid w:val="00902394"/>
    <w:rsid w:val="0090250C"/>
    <w:rsid w:val="00902541"/>
    <w:rsid w:val="0090263B"/>
    <w:rsid w:val="0090273E"/>
    <w:rsid w:val="0090291A"/>
    <w:rsid w:val="0090297F"/>
    <w:rsid w:val="00902A52"/>
    <w:rsid w:val="00903613"/>
    <w:rsid w:val="00903882"/>
    <w:rsid w:val="0090388A"/>
    <w:rsid w:val="009038E5"/>
    <w:rsid w:val="009039B2"/>
    <w:rsid w:val="00903A1D"/>
    <w:rsid w:val="00903C50"/>
    <w:rsid w:val="00903E09"/>
    <w:rsid w:val="00904097"/>
    <w:rsid w:val="0090430A"/>
    <w:rsid w:val="0090437E"/>
    <w:rsid w:val="00904780"/>
    <w:rsid w:val="0090487C"/>
    <w:rsid w:val="00904DCE"/>
    <w:rsid w:val="009050DF"/>
    <w:rsid w:val="00905308"/>
    <w:rsid w:val="0090537B"/>
    <w:rsid w:val="00905383"/>
    <w:rsid w:val="009053F7"/>
    <w:rsid w:val="00905422"/>
    <w:rsid w:val="00905699"/>
    <w:rsid w:val="009056ED"/>
    <w:rsid w:val="009057C5"/>
    <w:rsid w:val="009059D7"/>
    <w:rsid w:val="00905B24"/>
    <w:rsid w:val="00905CEB"/>
    <w:rsid w:val="009060E0"/>
    <w:rsid w:val="009062E0"/>
    <w:rsid w:val="0090648E"/>
    <w:rsid w:val="00906509"/>
    <w:rsid w:val="0090679A"/>
    <w:rsid w:val="00906D6F"/>
    <w:rsid w:val="0090781F"/>
    <w:rsid w:val="00907893"/>
    <w:rsid w:val="00907E72"/>
    <w:rsid w:val="00910013"/>
    <w:rsid w:val="0091041B"/>
    <w:rsid w:val="0091057F"/>
    <w:rsid w:val="00910746"/>
    <w:rsid w:val="00910D53"/>
    <w:rsid w:val="00910E06"/>
    <w:rsid w:val="00910F48"/>
    <w:rsid w:val="0091108B"/>
    <w:rsid w:val="0091110D"/>
    <w:rsid w:val="009113B9"/>
    <w:rsid w:val="0091148D"/>
    <w:rsid w:val="009115F8"/>
    <w:rsid w:val="009116D4"/>
    <w:rsid w:val="00911797"/>
    <w:rsid w:val="009117B0"/>
    <w:rsid w:val="00911DBA"/>
    <w:rsid w:val="00911EDA"/>
    <w:rsid w:val="00911F07"/>
    <w:rsid w:val="00911F45"/>
    <w:rsid w:val="009125B7"/>
    <w:rsid w:val="009126D4"/>
    <w:rsid w:val="00912B57"/>
    <w:rsid w:val="00912D8E"/>
    <w:rsid w:val="00912E95"/>
    <w:rsid w:val="00913062"/>
    <w:rsid w:val="00913255"/>
    <w:rsid w:val="00913408"/>
    <w:rsid w:val="009135EF"/>
    <w:rsid w:val="009138DA"/>
    <w:rsid w:val="009139FC"/>
    <w:rsid w:val="00914031"/>
    <w:rsid w:val="00914057"/>
    <w:rsid w:val="00914133"/>
    <w:rsid w:val="00914220"/>
    <w:rsid w:val="0091440E"/>
    <w:rsid w:val="009148B1"/>
    <w:rsid w:val="00914A1E"/>
    <w:rsid w:val="00914B1E"/>
    <w:rsid w:val="00915861"/>
    <w:rsid w:val="00915873"/>
    <w:rsid w:val="00915918"/>
    <w:rsid w:val="009159A8"/>
    <w:rsid w:val="009159B8"/>
    <w:rsid w:val="00915A76"/>
    <w:rsid w:val="00915AAB"/>
    <w:rsid w:val="00915D08"/>
    <w:rsid w:val="00915D64"/>
    <w:rsid w:val="00915F60"/>
    <w:rsid w:val="00916029"/>
    <w:rsid w:val="00916167"/>
    <w:rsid w:val="0091655D"/>
    <w:rsid w:val="0091676E"/>
    <w:rsid w:val="00916876"/>
    <w:rsid w:val="009168A8"/>
    <w:rsid w:val="00916C63"/>
    <w:rsid w:val="00916F7C"/>
    <w:rsid w:val="00917420"/>
    <w:rsid w:val="00917454"/>
    <w:rsid w:val="009174A0"/>
    <w:rsid w:val="009174D1"/>
    <w:rsid w:val="00917BBB"/>
    <w:rsid w:val="00917FB8"/>
    <w:rsid w:val="009200FA"/>
    <w:rsid w:val="0092024E"/>
    <w:rsid w:val="00920839"/>
    <w:rsid w:val="00920862"/>
    <w:rsid w:val="009208D4"/>
    <w:rsid w:val="009208EF"/>
    <w:rsid w:val="00920A1E"/>
    <w:rsid w:val="00920BE3"/>
    <w:rsid w:val="00920C4D"/>
    <w:rsid w:val="00920C95"/>
    <w:rsid w:val="009212EA"/>
    <w:rsid w:val="00921455"/>
    <w:rsid w:val="0092151E"/>
    <w:rsid w:val="0092153D"/>
    <w:rsid w:val="00921597"/>
    <w:rsid w:val="009217A0"/>
    <w:rsid w:val="009219AD"/>
    <w:rsid w:val="00921A2F"/>
    <w:rsid w:val="00921EB5"/>
    <w:rsid w:val="00922328"/>
    <w:rsid w:val="009223F6"/>
    <w:rsid w:val="009225F9"/>
    <w:rsid w:val="009229BE"/>
    <w:rsid w:val="00922D69"/>
    <w:rsid w:val="00922DAB"/>
    <w:rsid w:val="00922E15"/>
    <w:rsid w:val="009232D8"/>
    <w:rsid w:val="009232DC"/>
    <w:rsid w:val="009235AC"/>
    <w:rsid w:val="00923606"/>
    <w:rsid w:val="0092360D"/>
    <w:rsid w:val="009238B7"/>
    <w:rsid w:val="009238B8"/>
    <w:rsid w:val="0092392F"/>
    <w:rsid w:val="0092395F"/>
    <w:rsid w:val="00923FEC"/>
    <w:rsid w:val="009240E2"/>
    <w:rsid w:val="0092417B"/>
    <w:rsid w:val="009241DF"/>
    <w:rsid w:val="00924532"/>
    <w:rsid w:val="009245EC"/>
    <w:rsid w:val="00924827"/>
    <w:rsid w:val="00924AF4"/>
    <w:rsid w:val="00924B1A"/>
    <w:rsid w:val="00924BDF"/>
    <w:rsid w:val="00924CA7"/>
    <w:rsid w:val="00924FC5"/>
    <w:rsid w:val="009250EC"/>
    <w:rsid w:val="00925509"/>
    <w:rsid w:val="00925516"/>
    <w:rsid w:val="00925798"/>
    <w:rsid w:val="009257EA"/>
    <w:rsid w:val="00925896"/>
    <w:rsid w:val="0092597A"/>
    <w:rsid w:val="00925B06"/>
    <w:rsid w:val="00925B6F"/>
    <w:rsid w:val="00925DCF"/>
    <w:rsid w:val="00926007"/>
    <w:rsid w:val="009263D3"/>
    <w:rsid w:val="00926645"/>
    <w:rsid w:val="00926DE7"/>
    <w:rsid w:val="009270C5"/>
    <w:rsid w:val="00927126"/>
    <w:rsid w:val="00927339"/>
    <w:rsid w:val="009273C8"/>
    <w:rsid w:val="00927449"/>
    <w:rsid w:val="009275AA"/>
    <w:rsid w:val="00927CB9"/>
    <w:rsid w:val="00927EF6"/>
    <w:rsid w:val="00927FC0"/>
    <w:rsid w:val="00930051"/>
    <w:rsid w:val="0093016C"/>
    <w:rsid w:val="00930258"/>
    <w:rsid w:val="00930365"/>
    <w:rsid w:val="009303A5"/>
    <w:rsid w:val="009306DA"/>
    <w:rsid w:val="00930750"/>
    <w:rsid w:val="0093079F"/>
    <w:rsid w:val="00930912"/>
    <w:rsid w:val="00930A39"/>
    <w:rsid w:val="00930AAE"/>
    <w:rsid w:val="00930B07"/>
    <w:rsid w:val="00930D40"/>
    <w:rsid w:val="00931761"/>
    <w:rsid w:val="0093188A"/>
    <w:rsid w:val="00931981"/>
    <w:rsid w:val="00931CAB"/>
    <w:rsid w:val="00931DCA"/>
    <w:rsid w:val="00931E6B"/>
    <w:rsid w:val="00931FBD"/>
    <w:rsid w:val="00932152"/>
    <w:rsid w:val="00932337"/>
    <w:rsid w:val="00932381"/>
    <w:rsid w:val="00932543"/>
    <w:rsid w:val="00932C8C"/>
    <w:rsid w:val="0093360D"/>
    <w:rsid w:val="009336A5"/>
    <w:rsid w:val="00933705"/>
    <w:rsid w:val="009338FA"/>
    <w:rsid w:val="00933A79"/>
    <w:rsid w:val="00933AE5"/>
    <w:rsid w:val="00933CC1"/>
    <w:rsid w:val="00933D52"/>
    <w:rsid w:val="00933E38"/>
    <w:rsid w:val="00934243"/>
    <w:rsid w:val="00934299"/>
    <w:rsid w:val="009345D4"/>
    <w:rsid w:val="00934759"/>
    <w:rsid w:val="009347A2"/>
    <w:rsid w:val="00934804"/>
    <w:rsid w:val="00934C16"/>
    <w:rsid w:val="00935048"/>
    <w:rsid w:val="0093509F"/>
    <w:rsid w:val="009350F0"/>
    <w:rsid w:val="0093521A"/>
    <w:rsid w:val="009356D0"/>
    <w:rsid w:val="0093571E"/>
    <w:rsid w:val="00935D44"/>
    <w:rsid w:val="009363BE"/>
    <w:rsid w:val="009366BF"/>
    <w:rsid w:val="00936764"/>
    <w:rsid w:val="00937121"/>
    <w:rsid w:val="0093723C"/>
    <w:rsid w:val="009372DB"/>
    <w:rsid w:val="00937322"/>
    <w:rsid w:val="009373C5"/>
    <w:rsid w:val="009373F8"/>
    <w:rsid w:val="009377B2"/>
    <w:rsid w:val="00937BD5"/>
    <w:rsid w:val="00937EE1"/>
    <w:rsid w:val="00937F94"/>
    <w:rsid w:val="0094017F"/>
    <w:rsid w:val="009401ED"/>
    <w:rsid w:val="00940226"/>
    <w:rsid w:val="0094039B"/>
    <w:rsid w:val="0094046A"/>
    <w:rsid w:val="00940648"/>
    <w:rsid w:val="009407A5"/>
    <w:rsid w:val="00940957"/>
    <w:rsid w:val="00940A53"/>
    <w:rsid w:val="00940C0D"/>
    <w:rsid w:val="00940F8E"/>
    <w:rsid w:val="009414BB"/>
    <w:rsid w:val="00941686"/>
    <w:rsid w:val="009416C1"/>
    <w:rsid w:val="0094174F"/>
    <w:rsid w:val="00941853"/>
    <w:rsid w:val="009419A4"/>
    <w:rsid w:val="00941F00"/>
    <w:rsid w:val="0094212A"/>
    <w:rsid w:val="0094234F"/>
    <w:rsid w:val="0094250C"/>
    <w:rsid w:val="009426A6"/>
    <w:rsid w:val="009427C1"/>
    <w:rsid w:val="00942A58"/>
    <w:rsid w:val="00942B42"/>
    <w:rsid w:val="00942B56"/>
    <w:rsid w:val="00942EC7"/>
    <w:rsid w:val="00942F51"/>
    <w:rsid w:val="00943054"/>
    <w:rsid w:val="009430FB"/>
    <w:rsid w:val="00943183"/>
    <w:rsid w:val="009433DD"/>
    <w:rsid w:val="00943554"/>
    <w:rsid w:val="0094387C"/>
    <w:rsid w:val="00943B4E"/>
    <w:rsid w:val="00943DDB"/>
    <w:rsid w:val="00943FC6"/>
    <w:rsid w:val="009441CF"/>
    <w:rsid w:val="00944573"/>
    <w:rsid w:val="009445F3"/>
    <w:rsid w:val="00944916"/>
    <w:rsid w:val="00944ACE"/>
    <w:rsid w:val="00944EF2"/>
    <w:rsid w:val="00944FEE"/>
    <w:rsid w:val="009451D9"/>
    <w:rsid w:val="00945BDE"/>
    <w:rsid w:val="00945CBF"/>
    <w:rsid w:val="009461AC"/>
    <w:rsid w:val="00946336"/>
    <w:rsid w:val="00946389"/>
    <w:rsid w:val="00946818"/>
    <w:rsid w:val="00946C34"/>
    <w:rsid w:val="00946D1B"/>
    <w:rsid w:val="00946E76"/>
    <w:rsid w:val="00946F3A"/>
    <w:rsid w:val="009470A5"/>
    <w:rsid w:val="0094713F"/>
    <w:rsid w:val="0094753E"/>
    <w:rsid w:val="0094757F"/>
    <w:rsid w:val="00947586"/>
    <w:rsid w:val="009475E4"/>
    <w:rsid w:val="00947625"/>
    <w:rsid w:val="009476F0"/>
    <w:rsid w:val="009476F5"/>
    <w:rsid w:val="009477FC"/>
    <w:rsid w:val="0094796A"/>
    <w:rsid w:val="00947D08"/>
    <w:rsid w:val="00947F12"/>
    <w:rsid w:val="009501F4"/>
    <w:rsid w:val="00950CA4"/>
    <w:rsid w:val="00950D06"/>
    <w:rsid w:val="00950EE0"/>
    <w:rsid w:val="009511C7"/>
    <w:rsid w:val="009512A2"/>
    <w:rsid w:val="009512D8"/>
    <w:rsid w:val="00951548"/>
    <w:rsid w:val="009517CF"/>
    <w:rsid w:val="00951F06"/>
    <w:rsid w:val="00951F31"/>
    <w:rsid w:val="00952129"/>
    <w:rsid w:val="009522FE"/>
    <w:rsid w:val="00952446"/>
    <w:rsid w:val="00952574"/>
    <w:rsid w:val="009525EB"/>
    <w:rsid w:val="009527B5"/>
    <w:rsid w:val="0095297D"/>
    <w:rsid w:val="00952C00"/>
    <w:rsid w:val="00952E27"/>
    <w:rsid w:val="00952EBF"/>
    <w:rsid w:val="009532DE"/>
    <w:rsid w:val="00953328"/>
    <w:rsid w:val="009534DE"/>
    <w:rsid w:val="00953567"/>
    <w:rsid w:val="009537A0"/>
    <w:rsid w:val="009538F4"/>
    <w:rsid w:val="00953BA7"/>
    <w:rsid w:val="00953CA9"/>
    <w:rsid w:val="00953DEA"/>
    <w:rsid w:val="00953EC7"/>
    <w:rsid w:val="009540E1"/>
    <w:rsid w:val="009543E2"/>
    <w:rsid w:val="009546E5"/>
    <w:rsid w:val="00954945"/>
    <w:rsid w:val="00954C8F"/>
    <w:rsid w:val="00955267"/>
    <w:rsid w:val="00955379"/>
    <w:rsid w:val="00955719"/>
    <w:rsid w:val="00955737"/>
    <w:rsid w:val="00955781"/>
    <w:rsid w:val="0095579B"/>
    <w:rsid w:val="009557AA"/>
    <w:rsid w:val="0095587D"/>
    <w:rsid w:val="00955976"/>
    <w:rsid w:val="00955A30"/>
    <w:rsid w:val="00955C47"/>
    <w:rsid w:val="00955DC8"/>
    <w:rsid w:val="00956254"/>
    <w:rsid w:val="0095653C"/>
    <w:rsid w:val="0095663C"/>
    <w:rsid w:val="00956826"/>
    <w:rsid w:val="00956B05"/>
    <w:rsid w:val="00956E8D"/>
    <w:rsid w:val="0095704C"/>
    <w:rsid w:val="00957275"/>
    <w:rsid w:val="00957354"/>
    <w:rsid w:val="009573F1"/>
    <w:rsid w:val="00957634"/>
    <w:rsid w:val="00957BA0"/>
    <w:rsid w:val="00957C9D"/>
    <w:rsid w:val="00957FE7"/>
    <w:rsid w:val="0096018C"/>
    <w:rsid w:val="00960479"/>
    <w:rsid w:val="00960947"/>
    <w:rsid w:val="00960976"/>
    <w:rsid w:val="009609B7"/>
    <w:rsid w:val="00960B1A"/>
    <w:rsid w:val="00960D8A"/>
    <w:rsid w:val="00960F27"/>
    <w:rsid w:val="00960F28"/>
    <w:rsid w:val="0096126B"/>
    <w:rsid w:val="00961761"/>
    <w:rsid w:val="00961781"/>
    <w:rsid w:val="0096189F"/>
    <w:rsid w:val="009618DB"/>
    <w:rsid w:val="00961ADF"/>
    <w:rsid w:val="00961CB1"/>
    <w:rsid w:val="00961D1B"/>
    <w:rsid w:val="00961E34"/>
    <w:rsid w:val="00962582"/>
    <w:rsid w:val="0096260F"/>
    <w:rsid w:val="00962625"/>
    <w:rsid w:val="00962B9D"/>
    <w:rsid w:val="00962E1A"/>
    <w:rsid w:val="00962EA3"/>
    <w:rsid w:val="00963543"/>
    <w:rsid w:val="00963545"/>
    <w:rsid w:val="009637F1"/>
    <w:rsid w:val="00963963"/>
    <w:rsid w:val="00963AFB"/>
    <w:rsid w:val="00964181"/>
    <w:rsid w:val="009642A1"/>
    <w:rsid w:val="0096444C"/>
    <w:rsid w:val="00964505"/>
    <w:rsid w:val="00964809"/>
    <w:rsid w:val="0096483D"/>
    <w:rsid w:val="00964ABD"/>
    <w:rsid w:val="00964BDA"/>
    <w:rsid w:val="009650FD"/>
    <w:rsid w:val="00965246"/>
    <w:rsid w:val="00965254"/>
    <w:rsid w:val="00965329"/>
    <w:rsid w:val="00965350"/>
    <w:rsid w:val="00965454"/>
    <w:rsid w:val="009660C6"/>
    <w:rsid w:val="00966301"/>
    <w:rsid w:val="00966318"/>
    <w:rsid w:val="00966322"/>
    <w:rsid w:val="00966738"/>
    <w:rsid w:val="009668DC"/>
    <w:rsid w:val="00966AE1"/>
    <w:rsid w:val="00966DEC"/>
    <w:rsid w:val="009673C8"/>
    <w:rsid w:val="00967582"/>
    <w:rsid w:val="009679E7"/>
    <w:rsid w:val="00967F6F"/>
    <w:rsid w:val="00970496"/>
    <w:rsid w:val="00970764"/>
    <w:rsid w:val="0097077B"/>
    <w:rsid w:val="009709E3"/>
    <w:rsid w:val="00970DA3"/>
    <w:rsid w:val="00970DD6"/>
    <w:rsid w:val="0097114E"/>
    <w:rsid w:val="009711AC"/>
    <w:rsid w:val="0097127C"/>
    <w:rsid w:val="00971650"/>
    <w:rsid w:val="0097188D"/>
    <w:rsid w:val="00971962"/>
    <w:rsid w:val="009720B1"/>
    <w:rsid w:val="00972452"/>
    <w:rsid w:val="0097263F"/>
    <w:rsid w:val="009727BB"/>
    <w:rsid w:val="009728FA"/>
    <w:rsid w:val="00972BA2"/>
    <w:rsid w:val="00972D37"/>
    <w:rsid w:val="00972E72"/>
    <w:rsid w:val="00973159"/>
    <w:rsid w:val="009731B9"/>
    <w:rsid w:val="009732CD"/>
    <w:rsid w:val="009732F7"/>
    <w:rsid w:val="00973764"/>
    <w:rsid w:val="009737AF"/>
    <w:rsid w:val="00973A26"/>
    <w:rsid w:val="0097413B"/>
    <w:rsid w:val="0097443E"/>
    <w:rsid w:val="00974636"/>
    <w:rsid w:val="00974711"/>
    <w:rsid w:val="00974DD8"/>
    <w:rsid w:val="0097504D"/>
    <w:rsid w:val="009750D4"/>
    <w:rsid w:val="00975289"/>
    <w:rsid w:val="00975376"/>
    <w:rsid w:val="009756C4"/>
    <w:rsid w:val="0097594E"/>
    <w:rsid w:val="009759A5"/>
    <w:rsid w:val="00975BC3"/>
    <w:rsid w:val="00975C02"/>
    <w:rsid w:val="00975C7D"/>
    <w:rsid w:val="009761E9"/>
    <w:rsid w:val="009762A8"/>
    <w:rsid w:val="009764E9"/>
    <w:rsid w:val="00976645"/>
    <w:rsid w:val="00976A59"/>
    <w:rsid w:val="00976A61"/>
    <w:rsid w:val="00976AE5"/>
    <w:rsid w:val="00976B19"/>
    <w:rsid w:val="00976C52"/>
    <w:rsid w:val="00977251"/>
    <w:rsid w:val="0097731E"/>
    <w:rsid w:val="00977538"/>
    <w:rsid w:val="00977567"/>
    <w:rsid w:val="00977889"/>
    <w:rsid w:val="00977909"/>
    <w:rsid w:val="00977A41"/>
    <w:rsid w:val="00977BEA"/>
    <w:rsid w:val="009800A1"/>
    <w:rsid w:val="009802A5"/>
    <w:rsid w:val="00980420"/>
    <w:rsid w:val="0098046E"/>
    <w:rsid w:val="0098071C"/>
    <w:rsid w:val="009807B6"/>
    <w:rsid w:val="009808E6"/>
    <w:rsid w:val="00980997"/>
    <w:rsid w:val="00980F60"/>
    <w:rsid w:val="00980F8C"/>
    <w:rsid w:val="00981018"/>
    <w:rsid w:val="00981109"/>
    <w:rsid w:val="00981265"/>
    <w:rsid w:val="009813AA"/>
    <w:rsid w:val="009814AF"/>
    <w:rsid w:val="0098177B"/>
    <w:rsid w:val="00981A1A"/>
    <w:rsid w:val="00981D9A"/>
    <w:rsid w:val="0098231F"/>
    <w:rsid w:val="00982698"/>
    <w:rsid w:val="009829B8"/>
    <w:rsid w:val="00982BC7"/>
    <w:rsid w:val="00982DCC"/>
    <w:rsid w:val="0098326E"/>
    <w:rsid w:val="0098344D"/>
    <w:rsid w:val="009837EC"/>
    <w:rsid w:val="00983814"/>
    <w:rsid w:val="0098382A"/>
    <w:rsid w:val="00983929"/>
    <w:rsid w:val="00983A25"/>
    <w:rsid w:val="00983AAC"/>
    <w:rsid w:val="00983B10"/>
    <w:rsid w:val="00983C5F"/>
    <w:rsid w:val="00983D21"/>
    <w:rsid w:val="009842ED"/>
    <w:rsid w:val="00984465"/>
    <w:rsid w:val="009844D1"/>
    <w:rsid w:val="0098479B"/>
    <w:rsid w:val="00984870"/>
    <w:rsid w:val="00984926"/>
    <w:rsid w:val="00984B49"/>
    <w:rsid w:val="00984FA2"/>
    <w:rsid w:val="009850C0"/>
    <w:rsid w:val="00985113"/>
    <w:rsid w:val="00985157"/>
    <w:rsid w:val="009852DD"/>
    <w:rsid w:val="00985526"/>
    <w:rsid w:val="00985995"/>
    <w:rsid w:val="00985AB3"/>
    <w:rsid w:val="00985C66"/>
    <w:rsid w:val="00985E0E"/>
    <w:rsid w:val="00985E93"/>
    <w:rsid w:val="00985F97"/>
    <w:rsid w:val="009862CD"/>
    <w:rsid w:val="00986C24"/>
    <w:rsid w:val="00986DC3"/>
    <w:rsid w:val="00986DEA"/>
    <w:rsid w:val="0098705A"/>
    <w:rsid w:val="009873FD"/>
    <w:rsid w:val="0098741F"/>
    <w:rsid w:val="0098766C"/>
    <w:rsid w:val="00987703"/>
    <w:rsid w:val="00987B76"/>
    <w:rsid w:val="00987D3E"/>
    <w:rsid w:val="0099030A"/>
    <w:rsid w:val="00990381"/>
    <w:rsid w:val="009903E4"/>
    <w:rsid w:val="00990878"/>
    <w:rsid w:val="009911FC"/>
    <w:rsid w:val="0099121B"/>
    <w:rsid w:val="0099124E"/>
    <w:rsid w:val="00991353"/>
    <w:rsid w:val="00991538"/>
    <w:rsid w:val="009919FD"/>
    <w:rsid w:val="00991CFA"/>
    <w:rsid w:val="00992206"/>
    <w:rsid w:val="00992347"/>
    <w:rsid w:val="009929F4"/>
    <w:rsid w:val="00992A00"/>
    <w:rsid w:val="00992A6B"/>
    <w:rsid w:val="00992ADC"/>
    <w:rsid w:val="00992DE4"/>
    <w:rsid w:val="00992E8E"/>
    <w:rsid w:val="00992EA5"/>
    <w:rsid w:val="009931B9"/>
    <w:rsid w:val="00993385"/>
    <w:rsid w:val="009933DE"/>
    <w:rsid w:val="00993545"/>
    <w:rsid w:val="009935A7"/>
    <w:rsid w:val="00993674"/>
    <w:rsid w:val="0099372E"/>
    <w:rsid w:val="00993E77"/>
    <w:rsid w:val="00993FF4"/>
    <w:rsid w:val="009942F9"/>
    <w:rsid w:val="0099447E"/>
    <w:rsid w:val="009946C0"/>
    <w:rsid w:val="00994C53"/>
    <w:rsid w:val="00994C96"/>
    <w:rsid w:val="00994DB3"/>
    <w:rsid w:val="00994E9C"/>
    <w:rsid w:val="00995083"/>
    <w:rsid w:val="009950EB"/>
    <w:rsid w:val="00995104"/>
    <w:rsid w:val="00995162"/>
    <w:rsid w:val="00995167"/>
    <w:rsid w:val="00995387"/>
    <w:rsid w:val="0099544D"/>
    <w:rsid w:val="00995801"/>
    <w:rsid w:val="00995A46"/>
    <w:rsid w:val="00995BBE"/>
    <w:rsid w:val="00995E92"/>
    <w:rsid w:val="00995F4F"/>
    <w:rsid w:val="009965A2"/>
    <w:rsid w:val="0099668F"/>
    <w:rsid w:val="00996837"/>
    <w:rsid w:val="009968CB"/>
    <w:rsid w:val="00996C46"/>
    <w:rsid w:val="00996CAF"/>
    <w:rsid w:val="00996D4E"/>
    <w:rsid w:val="00996DB2"/>
    <w:rsid w:val="00996E1C"/>
    <w:rsid w:val="00997019"/>
    <w:rsid w:val="00997240"/>
    <w:rsid w:val="00997553"/>
    <w:rsid w:val="00997620"/>
    <w:rsid w:val="00997636"/>
    <w:rsid w:val="0099778C"/>
    <w:rsid w:val="00997CAC"/>
    <w:rsid w:val="00997CE2"/>
    <w:rsid w:val="009A039B"/>
    <w:rsid w:val="009A0464"/>
    <w:rsid w:val="009A0644"/>
    <w:rsid w:val="009A0EC1"/>
    <w:rsid w:val="009A11BA"/>
    <w:rsid w:val="009A1291"/>
    <w:rsid w:val="009A16A8"/>
    <w:rsid w:val="009A173A"/>
    <w:rsid w:val="009A18C9"/>
    <w:rsid w:val="009A18F5"/>
    <w:rsid w:val="009A191C"/>
    <w:rsid w:val="009A19A1"/>
    <w:rsid w:val="009A1B41"/>
    <w:rsid w:val="009A1CB7"/>
    <w:rsid w:val="009A21B8"/>
    <w:rsid w:val="009A26E5"/>
    <w:rsid w:val="009A2C76"/>
    <w:rsid w:val="009A2DE1"/>
    <w:rsid w:val="009A30B4"/>
    <w:rsid w:val="009A35F7"/>
    <w:rsid w:val="009A364E"/>
    <w:rsid w:val="009A36CC"/>
    <w:rsid w:val="009A3BB4"/>
    <w:rsid w:val="009A3BB9"/>
    <w:rsid w:val="009A3F6B"/>
    <w:rsid w:val="009A4245"/>
    <w:rsid w:val="009A4318"/>
    <w:rsid w:val="009A432D"/>
    <w:rsid w:val="009A44A5"/>
    <w:rsid w:val="009A485D"/>
    <w:rsid w:val="009A48CD"/>
    <w:rsid w:val="009A4A3A"/>
    <w:rsid w:val="009A4BA5"/>
    <w:rsid w:val="009A4BB2"/>
    <w:rsid w:val="009A4DA9"/>
    <w:rsid w:val="009A4FD8"/>
    <w:rsid w:val="009A509E"/>
    <w:rsid w:val="009A522C"/>
    <w:rsid w:val="009A53CD"/>
    <w:rsid w:val="009A56B9"/>
    <w:rsid w:val="009A56DD"/>
    <w:rsid w:val="009A57EF"/>
    <w:rsid w:val="009A5DBD"/>
    <w:rsid w:val="009A5F58"/>
    <w:rsid w:val="009A6481"/>
    <w:rsid w:val="009A64B4"/>
    <w:rsid w:val="009A64B5"/>
    <w:rsid w:val="009A661B"/>
    <w:rsid w:val="009A6931"/>
    <w:rsid w:val="009A6936"/>
    <w:rsid w:val="009A6DB8"/>
    <w:rsid w:val="009A6DCF"/>
    <w:rsid w:val="009A6E08"/>
    <w:rsid w:val="009A70D4"/>
    <w:rsid w:val="009A7329"/>
    <w:rsid w:val="009A7425"/>
    <w:rsid w:val="009A75B3"/>
    <w:rsid w:val="009A7660"/>
    <w:rsid w:val="009A7774"/>
    <w:rsid w:val="009A79DB"/>
    <w:rsid w:val="009A7A11"/>
    <w:rsid w:val="009A7C1E"/>
    <w:rsid w:val="009A7D55"/>
    <w:rsid w:val="009B0037"/>
    <w:rsid w:val="009B011A"/>
    <w:rsid w:val="009B057F"/>
    <w:rsid w:val="009B058D"/>
    <w:rsid w:val="009B062B"/>
    <w:rsid w:val="009B0631"/>
    <w:rsid w:val="009B0979"/>
    <w:rsid w:val="009B0A47"/>
    <w:rsid w:val="009B0B47"/>
    <w:rsid w:val="009B0DC7"/>
    <w:rsid w:val="009B10F3"/>
    <w:rsid w:val="009B116F"/>
    <w:rsid w:val="009B131C"/>
    <w:rsid w:val="009B139F"/>
    <w:rsid w:val="009B15AC"/>
    <w:rsid w:val="009B1645"/>
    <w:rsid w:val="009B1915"/>
    <w:rsid w:val="009B1AF6"/>
    <w:rsid w:val="009B1B31"/>
    <w:rsid w:val="009B1C82"/>
    <w:rsid w:val="009B2064"/>
    <w:rsid w:val="009B20B2"/>
    <w:rsid w:val="009B2121"/>
    <w:rsid w:val="009B226D"/>
    <w:rsid w:val="009B2435"/>
    <w:rsid w:val="009B276E"/>
    <w:rsid w:val="009B27EE"/>
    <w:rsid w:val="009B28B4"/>
    <w:rsid w:val="009B2B23"/>
    <w:rsid w:val="009B2BDA"/>
    <w:rsid w:val="009B2D95"/>
    <w:rsid w:val="009B2FD2"/>
    <w:rsid w:val="009B3225"/>
    <w:rsid w:val="009B3338"/>
    <w:rsid w:val="009B33C8"/>
    <w:rsid w:val="009B3892"/>
    <w:rsid w:val="009B3E3F"/>
    <w:rsid w:val="009B4048"/>
    <w:rsid w:val="009B4131"/>
    <w:rsid w:val="009B4767"/>
    <w:rsid w:val="009B4AC7"/>
    <w:rsid w:val="009B4B99"/>
    <w:rsid w:val="009B5442"/>
    <w:rsid w:val="009B5451"/>
    <w:rsid w:val="009B5512"/>
    <w:rsid w:val="009B55CC"/>
    <w:rsid w:val="009B577E"/>
    <w:rsid w:val="009B59C2"/>
    <w:rsid w:val="009B59EE"/>
    <w:rsid w:val="009B5D75"/>
    <w:rsid w:val="009B5EEB"/>
    <w:rsid w:val="009B5EF0"/>
    <w:rsid w:val="009B60B8"/>
    <w:rsid w:val="009B6140"/>
    <w:rsid w:val="009B63DE"/>
    <w:rsid w:val="009B63EF"/>
    <w:rsid w:val="009B64F2"/>
    <w:rsid w:val="009B6617"/>
    <w:rsid w:val="009B67E5"/>
    <w:rsid w:val="009B6895"/>
    <w:rsid w:val="009B6899"/>
    <w:rsid w:val="009B6E54"/>
    <w:rsid w:val="009B6E9F"/>
    <w:rsid w:val="009B748E"/>
    <w:rsid w:val="009B7711"/>
    <w:rsid w:val="009B7757"/>
    <w:rsid w:val="009B7767"/>
    <w:rsid w:val="009B788A"/>
    <w:rsid w:val="009B79DD"/>
    <w:rsid w:val="009B7A4B"/>
    <w:rsid w:val="009B7C40"/>
    <w:rsid w:val="009B7E21"/>
    <w:rsid w:val="009B7F94"/>
    <w:rsid w:val="009B7FE5"/>
    <w:rsid w:val="009C0105"/>
    <w:rsid w:val="009C0464"/>
    <w:rsid w:val="009C08D8"/>
    <w:rsid w:val="009C0C6E"/>
    <w:rsid w:val="009C1120"/>
    <w:rsid w:val="009C139E"/>
    <w:rsid w:val="009C13A7"/>
    <w:rsid w:val="009C13CB"/>
    <w:rsid w:val="009C142B"/>
    <w:rsid w:val="009C1631"/>
    <w:rsid w:val="009C2009"/>
    <w:rsid w:val="009C2900"/>
    <w:rsid w:val="009C29FD"/>
    <w:rsid w:val="009C2B03"/>
    <w:rsid w:val="009C2E17"/>
    <w:rsid w:val="009C3100"/>
    <w:rsid w:val="009C3D32"/>
    <w:rsid w:val="009C3F4A"/>
    <w:rsid w:val="009C3FEE"/>
    <w:rsid w:val="009C403B"/>
    <w:rsid w:val="009C4048"/>
    <w:rsid w:val="009C4185"/>
    <w:rsid w:val="009C41C7"/>
    <w:rsid w:val="009C4877"/>
    <w:rsid w:val="009C4C1B"/>
    <w:rsid w:val="009C4FDC"/>
    <w:rsid w:val="009C5031"/>
    <w:rsid w:val="009C508D"/>
    <w:rsid w:val="009C56A2"/>
    <w:rsid w:val="009C5839"/>
    <w:rsid w:val="009C5929"/>
    <w:rsid w:val="009C5A67"/>
    <w:rsid w:val="009C5BF0"/>
    <w:rsid w:val="009C5D7E"/>
    <w:rsid w:val="009C5DD5"/>
    <w:rsid w:val="009C5E48"/>
    <w:rsid w:val="009C5E93"/>
    <w:rsid w:val="009C609C"/>
    <w:rsid w:val="009C629B"/>
    <w:rsid w:val="009C62BC"/>
    <w:rsid w:val="009C6445"/>
    <w:rsid w:val="009C644B"/>
    <w:rsid w:val="009C6C13"/>
    <w:rsid w:val="009C6D8D"/>
    <w:rsid w:val="009C7047"/>
    <w:rsid w:val="009C73DF"/>
    <w:rsid w:val="009C74B4"/>
    <w:rsid w:val="009C74F2"/>
    <w:rsid w:val="009C76AE"/>
    <w:rsid w:val="009C770D"/>
    <w:rsid w:val="009C77D1"/>
    <w:rsid w:val="009C7B7A"/>
    <w:rsid w:val="009C7C70"/>
    <w:rsid w:val="009C7CDB"/>
    <w:rsid w:val="009C7D46"/>
    <w:rsid w:val="009C7E7D"/>
    <w:rsid w:val="009D003A"/>
    <w:rsid w:val="009D012E"/>
    <w:rsid w:val="009D07DA"/>
    <w:rsid w:val="009D07F3"/>
    <w:rsid w:val="009D08F1"/>
    <w:rsid w:val="009D0A50"/>
    <w:rsid w:val="009D0AB3"/>
    <w:rsid w:val="009D0AF3"/>
    <w:rsid w:val="009D0C91"/>
    <w:rsid w:val="009D0F8C"/>
    <w:rsid w:val="009D1043"/>
    <w:rsid w:val="009D10AE"/>
    <w:rsid w:val="009D130E"/>
    <w:rsid w:val="009D1CAA"/>
    <w:rsid w:val="009D1F8B"/>
    <w:rsid w:val="009D1FFA"/>
    <w:rsid w:val="009D2562"/>
    <w:rsid w:val="009D2702"/>
    <w:rsid w:val="009D2BD8"/>
    <w:rsid w:val="009D2CBC"/>
    <w:rsid w:val="009D2F45"/>
    <w:rsid w:val="009D3564"/>
    <w:rsid w:val="009D3663"/>
    <w:rsid w:val="009D378A"/>
    <w:rsid w:val="009D3815"/>
    <w:rsid w:val="009D3D0E"/>
    <w:rsid w:val="009D3DE7"/>
    <w:rsid w:val="009D3FB8"/>
    <w:rsid w:val="009D4083"/>
    <w:rsid w:val="009D41E4"/>
    <w:rsid w:val="009D43BC"/>
    <w:rsid w:val="009D43F8"/>
    <w:rsid w:val="009D4423"/>
    <w:rsid w:val="009D4584"/>
    <w:rsid w:val="009D46BE"/>
    <w:rsid w:val="009D496C"/>
    <w:rsid w:val="009D4CC1"/>
    <w:rsid w:val="009D4D83"/>
    <w:rsid w:val="009D4E2A"/>
    <w:rsid w:val="009D4F86"/>
    <w:rsid w:val="009D4FE3"/>
    <w:rsid w:val="009D5174"/>
    <w:rsid w:val="009D557F"/>
    <w:rsid w:val="009D57E3"/>
    <w:rsid w:val="009D580A"/>
    <w:rsid w:val="009D5935"/>
    <w:rsid w:val="009D59EC"/>
    <w:rsid w:val="009D5AD5"/>
    <w:rsid w:val="009D5C79"/>
    <w:rsid w:val="009D5F97"/>
    <w:rsid w:val="009D6295"/>
    <w:rsid w:val="009D6875"/>
    <w:rsid w:val="009D6E3F"/>
    <w:rsid w:val="009D7321"/>
    <w:rsid w:val="009D7714"/>
    <w:rsid w:val="009D788F"/>
    <w:rsid w:val="009D7905"/>
    <w:rsid w:val="009D7F58"/>
    <w:rsid w:val="009E006D"/>
    <w:rsid w:val="009E00AC"/>
    <w:rsid w:val="009E08D2"/>
    <w:rsid w:val="009E09C4"/>
    <w:rsid w:val="009E0A65"/>
    <w:rsid w:val="009E0CBC"/>
    <w:rsid w:val="009E0CD1"/>
    <w:rsid w:val="009E0D89"/>
    <w:rsid w:val="009E0DF5"/>
    <w:rsid w:val="009E0DFE"/>
    <w:rsid w:val="009E0FE4"/>
    <w:rsid w:val="009E1389"/>
    <w:rsid w:val="009E1433"/>
    <w:rsid w:val="009E14C5"/>
    <w:rsid w:val="009E1769"/>
    <w:rsid w:val="009E19B7"/>
    <w:rsid w:val="009E1B5D"/>
    <w:rsid w:val="009E1EFA"/>
    <w:rsid w:val="009E1FAD"/>
    <w:rsid w:val="009E1FF6"/>
    <w:rsid w:val="009E20CE"/>
    <w:rsid w:val="009E22D4"/>
    <w:rsid w:val="009E24F0"/>
    <w:rsid w:val="009E2681"/>
    <w:rsid w:val="009E27E8"/>
    <w:rsid w:val="009E29D1"/>
    <w:rsid w:val="009E2A2E"/>
    <w:rsid w:val="009E2B23"/>
    <w:rsid w:val="009E2EC9"/>
    <w:rsid w:val="009E2F33"/>
    <w:rsid w:val="009E34BE"/>
    <w:rsid w:val="009E351C"/>
    <w:rsid w:val="009E3637"/>
    <w:rsid w:val="009E3677"/>
    <w:rsid w:val="009E37DB"/>
    <w:rsid w:val="009E37E1"/>
    <w:rsid w:val="009E3879"/>
    <w:rsid w:val="009E3A5A"/>
    <w:rsid w:val="009E3AA4"/>
    <w:rsid w:val="009E3C6A"/>
    <w:rsid w:val="009E3CF9"/>
    <w:rsid w:val="009E3D14"/>
    <w:rsid w:val="009E3FCA"/>
    <w:rsid w:val="009E41AB"/>
    <w:rsid w:val="009E4737"/>
    <w:rsid w:val="009E4759"/>
    <w:rsid w:val="009E4783"/>
    <w:rsid w:val="009E4870"/>
    <w:rsid w:val="009E4A0C"/>
    <w:rsid w:val="009E4A37"/>
    <w:rsid w:val="009E4D94"/>
    <w:rsid w:val="009E4DCA"/>
    <w:rsid w:val="009E4E38"/>
    <w:rsid w:val="009E4F5D"/>
    <w:rsid w:val="009E4FAC"/>
    <w:rsid w:val="009E5122"/>
    <w:rsid w:val="009E51E0"/>
    <w:rsid w:val="009E51FD"/>
    <w:rsid w:val="009E5266"/>
    <w:rsid w:val="009E578B"/>
    <w:rsid w:val="009E5AD9"/>
    <w:rsid w:val="009E5B2E"/>
    <w:rsid w:val="009E5C08"/>
    <w:rsid w:val="009E63C7"/>
    <w:rsid w:val="009E64F4"/>
    <w:rsid w:val="009E654F"/>
    <w:rsid w:val="009E6B58"/>
    <w:rsid w:val="009E6C22"/>
    <w:rsid w:val="009E72F9"/>
    <w:rsid w:val="009E784D"/>
    <w:rsid w:val="009E78F3"/>
    <w:rsid w:val="009E799A"/>
    <w:rsid w:val="009E7C95"/>
    <w:rsid w:val="009F0140"/>
    <w:rsid w:val="009F0BBB"/>
    <w:rsid w:val="009F0EF2"/>
    <w:rsid w:val="009F0F16"/>
    <w:rsid w:val="009F1B01"/>
    <w:rsid w:val="009F1CE4"/>
    <w:rsid w:val="009F2017"/>
    <w:rsid w:val="009F285C"/>
    <w:rsid w:val="009F2958"/>
    <w:rsid w:val="009F29EE"/>
    <w:rsid w:val="009F2B3D"/>
    <w:rsid w:val="009F2E1C"/>
    <w:rsid w:val="009F3478"/>
    <w:rsid w:val="009F34DA"/>
    <w:rsid w:val="009F35AA"/>
    <w:rsid w:val="009F3AA9"/>
    <w:rsid w:val="009F3FFE"/>
    <w:rsid w:val="009F422A"/>
    <w:rsid w:val="009F471A"/>
    <w:rsid w:val="009F4884"/>
    <w:rsid w:val="009F4BF0"/>
    <w:rsid w:val="009F502D"/>
    <w:rsid w:val="009F5040"/>
    <w:rsid w:val="009F535B"/>
    <w:rsid w:val="009F56A7"/>
    <w:rsid w:val="009F586A"/>
    <w:rsid w:val="009F5980"/>
    <w:rsid w:val="009F5B46"/>
    <w:rsid w:val="009F5BF5"/>
    <w:rsid w:val="009F5C78"/>
    <w:rsid w:val="009F5DAF"/>
    <w:rsid w:val="009F5FA4"/>
    <w:rsid w:val="009F5FD6"/>
    <w:rsid w:val="009F6321"/>
    <w:rsid w:val="009F6405"/>
    <w:rsid w:val="009F6676"/>
    <w:rsid w:val="009F6B00"/>
    <w:rsid w:val="009F6C2C"/>
    <w:rsid w:val="009F6D09"/>
    <w:rsid w:val="009F6DEE"/>
    <w:rsid w:val="009F70E6"/>
    <w:rsid w:val="009F71E5"/>
    <w:rsid w:val="009F7250"/>
    <w:rsid w:val="009F7393"/>
    <w:rsid w:val="009F7560"/>
    <w:rsid w:val="009F765E"/>
    <w:rsid w:val="009F7BCE"/>
    <w:rsid w:val="009F7ED5"/>
    <w:rsid w:val="009F7ED9"/>
    <w:rsid w:val="00A0002C"/>
    <w:rsid w:val="00A0012C"/>
    <w:rsid w:val="00A005A2"/>
    <w:rsid w:val="00A007ED"/>
    <w:rsid w:val="00A00B0A"/>
    <w:rsid w:val="00A00E22"/>
    <w:rsid w:val="00A0122B"/>
    <w:rsid w:val="00A01386"/>
    <w:rsid w:val="00A01917"/>
    <w:rsid w:val="00A01B40"/>
    <w:rsid w:val="00A01D3A"/>
    <w:rsid w:val="00A01DA8"/>
    <w:rsid w:val="00A024D8"/>
    <w:rsid w:val="00A025F0"/>
    <w:rsid w:val="00A026DC"/>
    <w:rsid w:val="00A02A1E"/>
    <w:rsid w:val="00A02F1C"/>
    <w:rsid w:val="00A02FD6"/>
    <w:rsid w:val="00A03070"/>
    <w:rsid w:val="00A03129"/>
    <w:rsid w:val="00A03797"/>
    <w:rsid w:val="00A038A2"/>
    <w:rsid w:val="00A039F4"/>
    <w:rsid w:val="00A03CA1"/>
    <w:rsid w:val="00A03DDB"/>
    <w:rsid w:val="00A03E3A"/>
    <w:rsid w:val="00A03E4E"/>
    <w:rsid w:val="00A03ED5"/>
    <w:rsid w:val="00A0416C"/>
    <w:rsid w:val="00A042AE"/>
    <w:rsid w:val="00A04970"/>
    <w:rsid w:val="00A04C75"/>
    <w:rsid w:val="00A04D0E"/>
    <w:rsid w:val="00A04D30"/>
    <w:rsid w:val="00A04D9F"/>
    <w:rsid w:val="00A04F7A"/>
    <w:rsid w:val="00A052A3"/>
    <w:rsid w:val="00A05548"/>
    <w:rsid w:val="00A05AF3"/>
    <w:rsid w:val="00A06280"/>
    <w:rsid w:val="00A0629F"/>
    <w:rsid w:val="00A063EE"/>
    <w:rsid w:val="00A06434"/>
    <w:rsid w:val="00A0664D"/>
    <w:rsid w:val="00A06D27"/>
    <w:rsid w:val="00A07208"/>
    <w:rsid w:val="00A0727D"/>
    <w:rsid w:val="00A07324"/>
    <w:rsid w:val="00A073FA"/>
    <w:rsid w:val="00A074A9"/>
    <w:rsid w:val="00A074D0"/>
    <w:rsid w:val="00A0787C"/>
    <w:rsid w:val="00A078AD"/>
    <w:rsid w:val="00A07953"/>
    <w:rsid w:val="00A07B0C"/>
    <w:rsid w:val="00A07C76"/>
    <w:rsid w:val="00A07D4E"/>
    <w:rsid w:val="00A10073"/>
    <w:rsid w:val="00A105AB"/>
    <w:rsid w:val="00A1073E"/>
    <w:rsid w:val="00A10785"/>
    <w:rsid w:val="00A10DB2"/>
    <w:rsid w:val="00A10F24"/>
    <w:rsid w:val="00A11254"/>
    <w:rsid w:val="00A11314"/>
    <w:rsid w:val="00A1146B"/>
    <w:rsid w:val="00A117C8"/>
    <w:rsid w:val="00A11A1A"/>
    <w:rsid w:val="00A11A38"/>
    <w:rsid w:val="00A11B83"/>
    <w:rsid w:val="00A11D15"/>
    <w:rsid w:val="00A11F50"/>
    <w:rsid w:val="00A12018"/>
    <w:rsid w:val="00A12218"/>
    <w:rsid w:val="00A12D71"/>
    <w:rsid w:val="00A12EE7"/>
    <w:rsid w:val="00A1314F"/>
    <w:rsid w:val="00A13830"/>
    <w:rsid w:val="00A13A01"/>
    <w:rsid w:val="00A13F92"/>
    <w:rsid w:val="00A145F3"/>
    <w:rsid w:val="00A14795"/>
    <w:rsid w:val="00A14B1C"/>
    <w:rsid w:val="00A14DAB"/>
    <w:rsid w:val="00A14DC8"/>
    <w:rsid w:val="00A14E09"/>
    <w:rsid w:val="00A155C9"/>
    <w:rsid w:val="00A157BD"/>
    <w:rsid w:val="00A15994"/>
    <w:rsid w:val="00A15B07"/>
    <w:rsid w:val="00A15D07"/>
    <w:rsid w:val="00A15D09"/>
    <w:rsid w:val="00A15E3A"/>
    <w:rsid w:val="00A161A4"/>
    <w:rsid w:val="00A16381"/>
    <w:rsid w:val="00A1643F"/>
    <w:rsid w:val="00A16440"/>
    <w:rsid w:val="00A1674C"/>
    <w:rsid w:val="00A16839"/>
    <w:rsid w:val="00A169A9"/>
    <w:rsid w:val="00A16C8B"/>
    <w:rsid w:val="00A171B9"/>
    <w:rsid w:val="00A173E7"/>
    <w:rsid w:val="00A174BB"/>
    <w:rsid w:val="00A176E8"/>
    <w:rsid w:val="00A17723"/>
    <w:rsid w:val="00A17957"/>
    <w:rsid w:val="00A17B6F"/>
    <w:rsid w:val="00A17E73"/>
    <w:rsid w:val="00A2035D"/>
    <w:rsid w:val="00A2041B"/>
    <w:rsid w:val="00A205FA"/>
    <w:rsid w:val="00A2070D"/>
    <w:rsid w:val="00A20723"/>
    <w:rsid w:val="00A207B0"/>
    <w:rsid w:val="00A209BF"/>
    <w:rsid w:val="00A20BB8"/>
    <w:rsid w:val="00A20C35"/>
    <w:rsid w:val="00A20FC6"/>
    <w:rsid w:val="00A2187C"/>
    <w:rsid w:val="00A219AB"/>
    <w:rsid w:val="00A21A41"/>
    <w:rsid w:val="00A21CC6"/>
    <w:rsid w:val="00A21FD3"/>
    <w:rsid w:val="00A21FD8"/>
    <w:rsid w:val="00A22358"/>
    <w:rsid w:val="00A22454"/>
    <w:rsid w:val="00A22556"/>
    <w:rsid w:val="00A2284C"/>
    <w:rsid w:val="00A22915"/>
    <w:rsid w:val="00A229F1"/>
    <w:rsid w:val="00A22C63"/>
    <w:rsid w:val="00A23012"/>
    <w:rsid w:val="00A230FE"/>
    <w:rsid w:val="00A2354E"/>
    <w:rsid w:val="00A235F1"/>
    <w:rsid w:val="00A236E7"/>
    <w:rsid w:val="00A23778"/>
    <w:rsid w:val="00A2398D"/>
    <w:rsid w:val="00A23C38"/>
    <w:rsid w:val="00A23CFC"/>
    <w:rsid w:val="00A23E6B"/>
    <w:rsid w:val="00A242DE"/>
    <w:rsid w:val="00A24333"/>
    <w:rsid w:val="00A24771"/>
    <w:rsid w:val="00A249FC"/>
    <w:rsid w:val="00A24F06"/>
    <w:rsid w:val="00A24F38"/>
    <w:rsid w:val="00A24F45"/>
    <w:rsid w:val="00A25071"/>
    <w:rsid w:val="00A250C0"/>
    <w:rsid w:val="00A25480"/>
    <w:rsid w:val="00A25725"/>
    <w:rsid w:val="00A259F5"/>
    <w:rsid w:val="00A25B06"/>
    <w:rsid w:val="00A26040"/>
    <w:rsid w:val="00A260B5"/>
    <w:rsid w:val="00A26546"/>
    <w:rsid w:val="00A265B2"/>
    <w:rsid w:val="00A2675E"/>
    <w:rsid w:val="00A26BA7"/>
    <w:rsid w:val="00A26C53"/>
    <w:rsid w:val="00A26CA7"/>
    <w:rsid w:val="00A26E71"/>
    <w:rsid w:val="00A26EAB"/>
    <w:rsid w:val="00A27457"/>
    <w:rsid w:val="00A27883"/>
    <w:rsid w:val="00A27B6F"/>
    <w:rsid w:val="00A27BD5"/>
    <w:rsid w:val="00A27D28"/>
    <w:rsid w:val="00A30524"/>
    <w:rsid w:val="00A3088E"/>
    <w:rsid w:val="00A30ACE"/>
    <w:rsid w:val="00A30B22"/>
    <w:rsid w:val="00A30F5A"/>
    <w:rsid w:val="00A311B8"/>
    <w:rsid w:val="00A31319"/>
    <w:rsid w:val="00A315BB"/>
    <w:rsid w:val="00A31694"/>
    <w:rsid w:val="00A3182F"/>
    <w:rsid w:val="00A318AD"/>
    <w:rsid w:val="00A31950"/>
    <w:rsid w:val="00A31EF9"/>
    <w:rsid w:val="00A31FB7"/>
    <w:rsid w:val="00A3213F"/>
    <w:rsid w:val="00A32258"/>
    <w:rsid w:val="00A324A9"/>
    <w:rsid w:val="00A324B8"/>
    <w:rsid w:val="00A3267C"/>
    <w:rsid w:val="00A32885"/>
    <w:rsid w:val="00A32A59"/>
    <w:rsid w:val="00A32C10"/>
    <w:rsid w:val="00A32CD0"/>
    <w:rsid w:val="00A32E28"/>
    <w:rsid w:val="00A32FFF"/>
    <w:rsid w:val="00A33055"/>
    <w:rsid w:val="00A332D0"/>
    <w:rsid w:val="00A33333"/>
    <w:rsid w:val="00A33336"/>
    <w:rsid w:val="00A3341B"/>
    <w:rsid w:val="00A33449"/>
    <w:rsid w:val="00A337B1"/>
    <w:rsid w:val="00A33878"/>
    <w:rsid w:val="00A3391D"/>
    <w:rsid w:val="00A33E8A"/>
    <w:rsid w:val="00A340B0"/>
    <w:rsid w:val="00A34381"/>
    <w:rsid w:val="00A34472"/>
    <w:rsid w:val="00A34523"/>
    <w:rsid w:val="00A34AA5"/>
    <w:rsid w:val="00A350AC"/>
    <w:rsid w:val="00A3520A"/>
    <w:rsid w:val="00A352F5"/>
    <w:rsid w:val="00A35320"/>
    <w:rsid w:val="00A35631"/>
    <w:rsid w:val="00A35716"/>
    <w:rsid w:val="00A35A23"/>
    <w:rsid w:val="00A35AD9"/>
    <w:rsid w:val="00A35C37"/>
    <w:rsid w:val="00A35D65"/>
    <w:rsid w:val="00A35DED"/>
    <w:rsid w:val="00A3666A"/>
    <w:rsid w:val="00A366B9"/>
    <w:rsid w:val="00A36B11"/>
    <w:rsid w:val="00A36E1D"/>
    <w:rsid w:val="00A36EFB"/>
    <w:rsid w:val="00A371BC"/>
    <w:rsid w:val="00A374D9"/>
    <w:rsid w:val="00A37554"/>
    <w:rsid w:val="00A37867"/>
    <w:rsid w:val="00A37A96"/>
    <w:rsid w:val="00A37D46"/>
    <w:rsid w:val="00A37E21"/>
    <w:rsid w:val="00A37EEC"/>
    <w:rsid w:val="00A40320"/>
    <w:rsid w:val="00A4037D"/>
    <w:rsid w:val="00A4040A"/>
    <w:rsid w:val="00A407EE"/>
    <w:rsid w:val="00A40851"/>
    <w:rsid w:val="00A40A5A"/>
    <w:rsid w:val="00A40A84"/>
    <w:rsid w:val="00A4102D"/>
    <w:rsid w:val="00A4138F"/>
    <w:rsid w:val="00A414A6"/>
    <w:rsid w:val="00A416F1"/>
    <w:rsid w:val="00A4170A"/>
    <w:rsid w:val="00A41888"/>
    <w:rsid w:val="00A41988"/>
    <w:rsid w:val="00A41BED"/>
    <w:rsid w:val="00A41C0F"/>
    <w:rsid w:val="00A41D79"/>
    <w:rsid w:val="00A420A3"/>
    <w:rsid w:val="00A4210E"/>
    <w:rsid w:val="00A42666"/>
    <w:rsid w:val="00A42900"/>
    <w:rsid w:val="00A42F9B"/>
    <w:rsid w:val="00A43177"/>
    <w:rsid w:val="00A43273"/>
    <w:rsid w:val="00A434DC"/>
    <w:rsid w:val="00A434F8"/>
    <w:rsid w:val="00A43820"/>
    <w:rsid w:val="00A43B3E"/>
    <w:rsid w:val="00A43BB0"/>
    <w:rsid w:val="00A43CC7"/>
    <w:rsid w:val="00A44095"/>
    <w:rsid w:val="00A44280"/>
    <w:rsid w:val="00A44427"/>
    <w:rsid w:val="00A44537"/>
    <w:rsid w:val="00A4465D"/>
    <w:rsid w:val="00A4489A"/>
    <w:rsid w:val="00A44A89"/>
    <w:rsid w:val="00A44CE1"/>
    <w:rsid w:val="00A45593"/>
    <w:rsid w:val="00A455DA"/>
    <w:rsid w:val="00A457A4"/>
    <w:rsid w:val="00A4593F"/>
    <w:rsid w:val="00A45A29"/>
    <w:rsid w:val="00A45A6E"/>
    <w:rsid w:val="00A45BB6"/>
    <w:rsid w:val="00A461B7"/>
    <w:rsid w:val="00A4621A"/>
    <w:rsid w:val="00A46837"/>
    <w:rsid w:val="00A46878"/>
    <w:rsid w:val="00A46B3D"/>
    <w:rsid w:val="00A46D7D"/>
    <w:rsid w:val="00A46EC1"/>
    <w:rsid w:val="00A473AF"/>
    <w:rsid w:val="00A47523"/>
    <w:rsid w:val="00A476DB"/>
    <w:rsid w:val="00A476FC"/>
    <w:rsid w:val="00A477BD"/>
    <w:rsid w:val="00A477CD"/>
    <w:rsid w:val="00A47846"/>
    <w:rsid w:val="00A47862"/>
    <w:rsid w:val="00A47962"/>
    <w:rsid w:val="00A47F26"/>
    <w:rsid w:val="00A47F42"/>
    <w:rsid w:val="00A50745"/>
    <w:rsid w:val="00A509AD"/>
    <w:rsid w:val="00A50A1F"/>
    <w:rsid w:val="00A50C94"/>
    <w:rsid w:val="00A50CC8"/>
    <w:rsid w:val="00A50D4C"/>
    <w:rsid w:val="00A50DB4"/>
    <w:rsid w:val="00A50F0D"/>
    <w:rsid w:val="00A50F23"/>
    <w:rsid w:val="00A50FCE"/>
    <w:rsid w:val="00A51187"/>
    <w:rsid w:val="00A51541"/>
    <w:rsid w:val="00A51672"/>
    <w:rsid w:val="00A51A01"/>
    <w:rsid w:val="00A51B0A"/>
    <w:rsid w:val="00A5211A"/>
    <w:rsid w:val="00A521C5"/>
    <w:rsid w:val="00A52257"/>
    <w:rsid w:val="00A522C6"/>
    <w:rsid w:val="00A52477"/>
    <w:rsid w:val="00A52482"/>
    <w:rsid w:val="00A52607"/>
    <w:rsid w:val="00A52C39"/>
    <w:rsid w:val="00A52D2C"/>
    <w:rsid w:val="00A52E1C"/>
    <w:rsid w:val="00A52FC6"/>
    <w:rsid w:val="00A5326A"/>
    <w:rsid w:val="00A53277"/>
    <w:rsid w:val="00A5337C"/>
    <w:rsid w:val="00A534DB"/>
    <w:rsid w:val="00A5379A"/>
    <w:rsid w:val="00A53C19"/>
    <w:rsid w:val="00A53C54"/>
    <w:rsid w:val="00A53ED7"/>
    <w:rsid w:val="00A542AC"/>
    <w:rsid w:val="00A546AE"/>
    <w:rsid w:val="00A549A8"/>
    <w:rsid w:val="00A54B8A"/>
    <w:rsid w:val="00A54DB8"/>
    <w:rsid w:val="00A54DEF"/>
    <w:rsid w:val="00A551D7"/>
    <w:rsid w:val="00A55358"/>
    <w:rsid w:val="00A5547B"/>
    <w:rsid w:val="00A5555F"/>
    <w:rsid w:val="00A555F7"/>
    <w:rsid w:val="00A5565E"/>
    <w:rsid w:val="00A55993"/>
    <w:rsid w:val="00A55FE1"/>
    <w:rsid w:val="00A5639A"/>
    <w:rsid w:val="00A56723"/>
    <w:rsid w:val="00A56D1D"/>
    <w:rsid w:val="00A57239"/>
    <w:rsid w:val="00A57241"/>
    <w:rsid w:val="00A57623"/>
    <w:rsid w:val="00A579BB"/>
    <w:rsid w:val="00A57AD8"/>
    <w:rsid w:val="00A57ADD"/>
    <w:rsid w:val="00A57AEF"/>
    <w:rsid w:val="00A57E4E"/>
    <w:rsid w:val="00A57F19"/>
    <w:rsid w:val="00A57FE8"/>
    <w:rsid w:val="00A60151"/>
    <w:rsid w:val="00A60167"/>
    <w:rsid w:val="00A601D5"/>
    <w:rsid w:val="00A602EC"/>
    <w:rsid w:val="00A6044B"/>
    <w:rsid w:val="00A60988"/>
    <w:rsid w:val="00A60998"/>
    <w:rsid w:val="00A609D2"/>
    <w:rsid w:val="00A60D35"/>
    <w:rsid w:val="00A60D7D"/>
    <w:rsid w:val="00A60EA5"/>
    <w:rsid w:val="00A612E0"/>
    <w:rsid w:val="00A6148F"/>
    <w:rsid w:val="00A61579"/>
    <w:rsid w:val="00A61617"/>
    <w:rsid w:val="00A61E12"/>
    <w:rsid w:val="00A61E60"/>
    <w:rsid w:val="00A61FBE"/>
    <w:rsid w:val="00A6204A"/>
    <w:rsid w:val="00A62070"/>
    <w:rsid w:val="00A620AE"/>
    <w:rsid w:val="00A6221D"/>
    <w:rsid w:val="00A623E3"/>
    <w:rsid w:val="00A6245F"/>
    <w:rsid w:val="00A624DD"/>
    <w:rsid w:val="00A62517"/>
    <w:rsid w:val="00A627AC"/>
    <w:rsid w:val="00A62953"/>
    <w:rsid w:val="00A629DE"/>
    <w:rsid w:val="00A62D88"/>
    <w:rsid w:val="00A62EED"/>
    <w:rsid w:val="00A6311E"/>
    <w:rsid w:val="00A6321A"/>
    <w:rsid w:val="00A633EA"/>
    <w:rsid w:val="00A63BBD"/>
    <w:rsid w:val="00A63C69"/>
    <w:rsid w:val="00A63C82"/>
    <w:rsid w:val="00A63CCF"/>
    <w:rsid w:val="00A63F02"/>
    <w:rsid w:val="00A6403D"/>
    <w:rsid w:val="00A6426A"/>
    <w:rsid w:val="00A64456"/>
    <w:rsid w:val="00A647CE"/>
    <w:rsid w:val="00A64DDA"/>
    <w:rsid w:val="00A655FF"/>
    <w:rsid w:val="00A6563E"/>
    <w:rsid w:val="00A656CF"/>
    <w:rsid w:val="00A659E1"/>
    <w:rsid w:val="00A65C28"/>
    <w:rsid w:val="00A6604E"/>
    <w:rsid w:val="00A6626C"/>
    <w:rsid w:val="00A66434"/>
    <w:rsid w:val="00A666BA"/>
    <w:rsid w:val="00A66BE6"/>
    <w:rsid w:val="00A66C4B"/>
    <w:rsid w:val="00A66D2C"/>
    <w:rsid w:val="00A66DE2"/>
    <w:rsid w:val="00A66E78"/>
    <w:rsid w:val="00A66F83"/>
    <w:rsid w:val="00A67101"/>
    <w:rsid w:val="00A67D01"/>
    <w:rsid w:val="00A702A9"/>
    <w:rsid w:val="00A703E7"/>
    <w:rsid w:val="00A7041D"/>
    <w:rsid w:val="00A705BE"/>
    <w:rsid w:val="00A70C0F"/>
    <w:rsid w:val="00A70C72"/>
    <w:rsid w:val="00A70C87"/>
    <w:rsid w:val="00A70CB5"/>
    <w:rsid w:val="00A70CBF"/>
    <w:rsid w:val="00A70ECA"/>
    <w:rsid w:val="00A70FC3"/>
    <w:rsid w:val="00A71271"/>
    <w:rsid w:val="00A71455"/>
    <w:rsid w:val="00A714FB"/>
    <w:rsid w:val="00A71519"/>
    <w:rsid w:val="00A7195A"/>
    <w:rsid w:val="00A71C4A"/>
    <w:rsid w:val="00A71DD2"/>
    <w:rsid w:val="00A721D2"/>
    <w:rsid w:val="00A72349"/>
    <w:rsid w:val="00A7234E"/>
    <w:rsid w:val="00A72403"/>
    <w:rsid w:val="00A724C8"/>
    <w:rsid w:val="00A72683"/>
    <w:rsid w:val="00A72772"/>
    <w:rsid w:val="00A7281A"/>
    <w:rsid w:val="00A72843"/>
    <w:rsid w:val="00A728A5"/>
    <w:rsid w:val="00A72901"/>
    <w:rsid w:val="00A729D9"/>
    <w:rsid w:val="00A72B92"/>
    <w:rsid w:val="00A72BE4"/>
    <w:rsid w:val="00A72D18"/>
    <w:rsid w:val="00A72D5F"/>
    <w:rsid w:val="00A730A6"/>
    <w:rsid w:val="00A730CE"/>
    <w:rsid w:val="00A730FF"/>
    <w:rsid w:val="00A733BC"/>
    <w:rsid w:val="00A7351D"/>
    <w:rsid w:val="00A738CA"/>
    <w:rsid w:val="00A73A35"/>
    <w:rsid w:val="00A73D93"/>
    <w:rsid w:val="00A7440B"/>
    <w:rsid w:val="00A74D25"/>
    <w:rsid w:val="00A74FE2"/>
    <w:rsid w:val="00A7507F"/>
    <w:rsid w:val="00A75095"/>
    <w:rsid w:val="00A7527B"/>
    <w:rsid w:val="00A753C9"/>
    <w:rsid w:val="00A75488"/>
    <w:rsid w:val="00A760DB"/>
    <w:rsid w:val="00A76181"/>
    <w:rsid w:val="00A761DC"/>
    <w:rsid w:val="00A767B6"/>
    <w:rsid w:val="00A7700C"/>
    <w:rsid w:val="00A77302"/>
    <w:rsid w:val="00A7734C"/>
    <w:rsid w:val="00A776D0"/>
    <w:rsid w:val="00A7774E"/>
    <w:rsid w:val="00A8039C"/>
    <w:rsid w:val="00A80572"/>
    <w:rsid w:val="00A805E0"/>
    <w:rsid w:val="00A8070B"/>
    <w:rsid w:val="00A80867"/>
    <w:rsid w:val="00A8091D"/>
    <w:rsid w:val="00A80E26"/>
    <w:rsid w:val="00A81164"/>
    <w:rsid w:val="00A81659"/>
    <w:rsid w:val="00A81A99"/>
    <w:rsid w:val="00A81B60"/>
    <w:rsid w:val="00A81DF0"/>
    <w:rsid w:val="00A81E87"/>
    <w:rsid w:val="00A8214B"/>
    <w:rsid w:val="00A8222A"/>
    <w:rsid w:val="00A8251A"/>
    <w:rsid w:val="00A82ABE"/>
    <w:rsid w:val="00A82D46"/>
    <w:rsid w:val="00A82E5F"/>
    <w:rsid w:val="00A83492"/>
    <w:rsid w:val="00A83576"/>
    <w:rsid w:val="00A836A4"/>
    <w:rsid w:val="00A83A27"/>
    <w:rsid w:val="00A83BFA"/>
    <w:rsid w:val="00A83D79"/>
    <w:rsid w:val="00A84022"/>
    <w:rsid w:val="00A8423F"/>
    <w:rsid w:val="00A842C3"/>
    <w:rsid w:val="00A84314"/>
    <w:rsid w:val="00A846F4"/>
    <w:rsid w:val="00A848FD"/>
    <w:rsid w:val="00A849C9"/>
    <w:rsid w:val="00A84AC7"/>
    <w:rsid w:val="00A84BF7"/>
    <w:rsid w:val="00A84E99"/>
    <w:rsid w:val="00A84FCD"/>
    <w:rsid w:val="00A85244"/>
    <w:rsid w:val="00A85445"/>
    <w:rsid w:val="00A8556B"/>
    <w:rsid w:val="00A8568C"/>
    <w:rsid w:val="00A8590A"/>
    <w:rsid w:val="00A859FC"/>
    <w:rsid w:val="00A85CCF"/>
    <w:rsid w:val="00A85DA7"/>
    <w:rsid w:val="00A85DBC"/>
    <w:rsid w:val="00A85DCD"/>
    <w:rsid w:val="00A8604F"/>
    <w:rsid w:val="00A8645B"/>
    <w:rsid w:val="00A864F6"/>
    <w:rsid w:val="00A869E4"/>
    <w:rsid w:val="00A86B6C"/>
    <w:rsid w:val="00A86E28"/>
    <w:rsid w:val="00A87664"/>
    <w:rsid w:val="00A87C43"/>
    <w:rsid w:val="00A87C4E"/>
    <w:rsid w:val="00A87E30"/>
    <w:rsid w:val="00A90040"/>
    <w:rsid w:val="00A900CC"/>
    <w:rsid w:val="00A90118"/>
    <w:rsid w:val="00A90125"/>
    <w:rsid w:val="00A9025F"/>
    <w:rsid w:val="00A90277"/>
    <w:rsid w:val="00A90304"/>
    <w:rsid w:val="00A90332"/>
    <w:rsid w:val="00A90628"/>
    <w:rsid w:val="00A907A0"/>
    <w:rsid w:val="00A9095F"/>
    <w:rsid w:val="00A90983"/>
    <w:rsid w:val="00A909EF"/>
    <w:rsid w:val="00A90C10"/>
    <w:rsid w:val="00A90DA9"/>
    <w:rsid w:val="00A90E0A"/>
    <w:rsid w:val="00A90E20"/>
    <w:rsid w:val="00A90F0A"/>
    <w:rsid w:val="00A913C9"/>
    <w:rsid w:val="00A9159F"/>
    <w:rsid w:val="00A91947"/>
    <w:rsid w:val="00A91AA5"/>
    <w:rsid w:val="00A91BEC"/>
    <w:rsid w:val="00A92125"/>
    <w:rsid w:val="00A921C6"/>
    <w:rsid w:val="00A9229D"/>
    <w:rsid w:val="00A926B5"/>
    <w:rsid w:val="00A926FC"/>
    <w:rsid w:val="00A928D4"/>
    <w:rsid w:val="00A92CA2"/>
    <w:rsid w:val="00A92D4F"/>
    <w:rsid w:val="00A92E2E"/>
    <w:rsid w:val="00A92F83"/>
    <w:rsid w:val="00A93297"/>
    <w:rsid w:val="00A93323"/>
    <w:rsid w:val="00A9358C"/>
    <w:rsid w:val="00A939B2"/>
    <w:rsid w:val="00A93BD3"/>
    <w:rsid w:val="00A9447D"/>
    <w:rsid w:val="00A94612"/>
    <w:rsid w:val="00A946A2"/>
    <w:rsid w:val="00A94835"/>
    <w:rsid w:val="00A94A9B"/>
    <w:rsid w:val="00A95550"/>
    <w:rsid w:val="00A95553"/>
    <w:rsid w:val="00A9575A"/>
    <w:rsid w:val="00A95BA8"/>
    <w:rsid w:val="00A95D34"/>
    <w:rsid w:val="00A95FBC"/>
    <w:rsid w:val="00A9610C"/>
    <w:rsid w:val="00A96758"/>
    <w:rsid w:val="00A96D64"/>
    <w:rsid w:val="00A979DB"/>
    <w:rsid w:val="00A97CBE"/>
    <w:rsid w:val="00A97EDE"/>
    <w:rsid w:val="00AA002C"/>
    <w:rsid w:val="00AA0039"/>
    <w:rsid w:val="00AA0288"/>
    <w:rsid w:val="00AA14F1"/>
    <w:rsid w:val="00AA1623"/>
    <w:rsid w:val="00AA177F"/>
    <w:rsid w:val="00AA1D91"/>
    <w:rsid w:val="00AA1E3E"/>
    <w:rsid w:val="00AA21DE"/>
    <w:rsid w:val="00AA2244"/>
    <w:rsid w:val="00AA233D"/>
    <w:rsid w:val="00AA2872"/>
    <w:rsid w:val="00AA28B1"/>
    <w:rsid w:val="00AA2A88"/>
    <w:rsid w:val="00AA2EC5"/>
    <w:rsid w:val="00AA2EC8"/>
    <w:rsid w:val="00AA3095"/>
    <w:rsid w:val="00AA34E3"/>
    <w:rsid w:val="00AA3644"/>
    <w:rsid w:val="00AA37D0"/>
    <w:rsid w:val="00AA381D"/>
    <w:rsid w:val="00AA38FA"/>
    <w:rsid w:val="00AA3DC1"/>
    <w:rsid w:val="00AA3E0D"/>
    <w:rsid w:val="00AA4322"/>
    <w:rsid w:val="00AA440C"/>
    <w:rsid w:val="00AA442E"/>
    <w:rsid w:val="00AA4905"/>
    <w:rsid w:val="00AA4C09"/>
    <w:rsid w:val="00AA4C81"/>
    <w:rsid w:val="00AA4CE0"/>
    <w:rsid w:val="00AA4FC8"/>
    <w:rsid w:val="00AA51F0"/>
    <w:rsid w:val="00AA5326"/>
    <w:rsid w:val="00AA5542"/>
    <w:rsid w:val="00AA56B5"/>
    <w:rsid w:val="00AA5C28"/>
    <w:rsid w:val="00AA5D83"/>
    <w:rsid w:val="00AA5DDC"/>
    <w:rsid w:val="00AA63FD"/>
    <w:rsid w:val="00AA667B"/>
    <w:rsid w:val="00AA68D1"/>
    <w:rsid w:val="00AA68EE"/>
    <w:rsid w:val="00AA6B56"/>
    <w:rsid w:val="00AA6BF9"/>
    <w:rsid w:val="00AA6D07"/>
    <w:rsid w:val="00AA715B"/>
    <w:rsid w:val="00AA7618"/>
    <w:rsid w:val="00AA7622"/>
    <w:rsid w:val="00AA7700"/>
    <w:rsid w:val="00AA78AC"/>
    <w:rsid w:val="00AA7A15"/>
    <w:rsid w:val="00AA7F67"/>
    <w:rsid w:val="00AB05B8"/>
    <w:rsid w:val="00AB068E"/>
    <w:rsid w:val="00AB0D09"/>
    <w:rsid w:val="00AB113E"/>
    <w:rsid w:val="00AB1185"/>
    <w:rsid w:val="00AB11C9"/>
    <w:rsid w:val="00AB143F"/>
    <w:rsid w:val="00AB1605"/>
    <w:rsid w:val="00AB1670"/>
    <w:rsid w:val="00AB1680"/>
    <w:rsid w:val="00AB1A6B"/>
    <w:rsid w:val="00AB1AFB"/>
    <w:rsid w:val="00AB1EC8"/>
    <w:rsid w:val="00AB246A"/>
    <w:rsid w:val="00AB28CF"/>
    <w:rsid w:val="00AB298A"/>
    <w:rsid w:val="00AB2CA3"/>
    <w:rsid w:val="00AB2D2B"/>
    <w:rsid w:val="00AB2ED8"/>
    <w:rsid w:val="00AB301E"/>
    <w:rsid w:val="00AB31A4"/>
    <w:rsid w:val="00AB32A9"/>
    <w:rsid w:val="00AB34FD"/>
    <w:rsid w:val="00AB3C44"/>
    <w:rsid w:val="00AB3D88"/>
    <w:rsid w:val="00AB3DD5"/>
    <w:rsid w:val="00AB3E1D"/>
    <w:rsid w:val="00AB41E8"/>
    <w:rsid w:val="00AB42E5"/>
    <w:rsid w:val="00AB437F"/>
    <w:rsid w:val="00AB4874"/>
    <w:rsid w:val="00AB49D0"/>
    <w:rsid w:val="00AB4A33"/>
    <w:rsid w:val="00AB4C8D"/>
    <w:rsid w:val="00AB4FAA"/>
    <w:rsid w:val="00AB4FFB"/>
    <w:rsid w:val="00AB53E9"/>
    <w:rsid w:val="00AB56DB"/>
    <w:rsid w:val="00AB5BFD"/>
    <w:rsid w:val="00AB5C40"/>
    <w:rsid w:val="00AB5CEB"/>
    <w:rsid w:val="00AB5D8F"/>
    <w:rsid w:val="00AB5DB6"/>
    <w:rsid w:val="00AB5F40"/>
    <w:rsid w:val="00AB6048"/>
    <w:rsid w:val="00AB6347"/>
    <w:rsid w:val="00AB65F4"/>
    <w:rsid w:val="00AB6CCD"/>
    <w:rsid w:val="00AB708E"/>
    <w:rsid w:val="00AB7463"/>
    <w:rsid w:val="00AB7627"/>
    <w:rsid w:val="00AB7D83"/>
    <w:rsid w:val="00AB7DCE"/>
    <w:rsid w:val="00AC005E"/>
    <w:rsid w:val="00AC009B"/>
    <w:rsid w:val="00AC02AA"/>
    <w:rsid w:val="00AC0723"/>
    <w:rsid w:val="00AC0C83"/>
    <w:rsid w:val="00AC0EE8"/>
    <w:rsid w:val="00AC0FFB"/>
    <w:rsid w:val="00AC110F"/>
    <w:rsid w:val="00AC1225"/>
    <w:rsid w:val="00AC13F7"/>
    <w:rsid w:val="00AC1827"/>
    <w:rsid w:val="00AC193A"/>
    <w:rsid w:val="00AC1954"/>
    <w:rsid w:val="00AC1A57"/>
    <w:rsid w:val="00AC1BF9"/>
    <w:rsid w:val="00AC1D94"/>
    <w:rsid w:val="00AC1E3B"/>
    <w:rsid w:val="00AC2081"/>
    <w:rsid w:val="00AC20B4"/>
    <w:rsid w:val="00AC22CF"/>
    <w:rsid w:val="00AC22E2"/>
    <w:rsid w:val="00AC240F"/>
    <w:rsid w:val="00AC26A5"/>
    <w:rsid w:val="00AC28F7"/>
    <w:rsid w:val="00AC2A85"/>
    <w:rsid w:val="00AC2BCE"/>
    <w:rsid w:val="00AC2DB8"/>
    <w:rsid w:val="00AC32BB"/>
    <w:rsid w:val="00AC36F7"/>
    <w:rsid w:val="00AC3962"/>
    <w:rsid w:val="00AC3A5A"/>
    <w:rsid w:val="00AC3B97"/>
    <w:rsid w:val="00AC3C5E"/>
    <w:rsid w:val="00AC3CAE"/>
    <w:rsid w:val="00AC3D0D"/>
    <w:rsid w:val="00AC3DF7"/>
    <w:rsid w:val="00AC4046"/>
    <w:rsid w:val="00AC4714"/>
    <w:rsid w:val="00AC4931"/>
    <w:rsid w:val="00AC4AD1"/>
    <w:rsid w:val="00AC4BF7"/>
    <w:rsid w:val="00AC4D13"/>
    <w:rsid w:val="00AC4D16"/>
    <w:rsid w:val="00AC4F2F"/>
    <w:rsid w:val="00AC50C7"/>
    <w:rsid w:val="00AC5968"/>
    <w:rsid w:val="00AC5A9C"/>
    <w:rsid w:val="00AC5C15"/>
    <w:rsid w:val="00AC5CC3"/>
    <w:rsid w:val="00AC5CDF"/>
    <w:rsid w:val="00AC5EEE"/>
    <w:rsid w:val="00AC60B2"/>
    <w:rsid w:val="00AC6903"/>
    <w:rsid w:val="00AC6D1A"/>
    <w:rsid w:val="00AC6D72"/>
    <w:rsid w:val="00AC6F08"/>
    <w:rsid w:val="00AC6F0D"/>
    <w:rsid w:val="00AC6F61"/>
    <w:rsid w:val="00AC71C0"/>
    <w:rsid w:val="00AC7248"/>
    <w:rsid w:val="00AC758F"/>
    <w:rsid w:val="00AC769B"/>
    <w:rsid w:val="00AC7813"/>
    <w:rsid w:val="00AC7E63"/>
    <w:rsid w:val="00AC7EC3"/>
    <w:rsid w:val="00AC7F59"/>
    <w:rsid w:val="00AC7FF7"/>
    <w:rsid w:val="00AD0015"/>
    <w:rsid w:val="00AD0244"/>
    <w:rsid w:val="00AD0D81"/>
    <w:rsid w:val="00AD0DCD"/>
    <w:rsid w:val="00AD0E35"/>
    <w:rsid w:val="00AD0E46"/>
    <w:rsid w:val="00AD0E71"/>
    <w:rsid w:val="00AD0FAF"/>
    <w:rsid w:val="00AD0FCB"/>
    <w:rsid w:val="00AD104C"/>
    <w:rsid w:val="00AD107A"/>
    <w:rsid w:val="00AD1204"/>
    <w:rsid w:val="00AD1937"/>
    <w:rsid w:val="00AD1D42"/>
    <w:rsid w:val="00AD1DA0"/>
    <w:rsid w:val="00AD24C5"/>
    <w:rsid w:val="00AD2B0F"/>
    <w:rsid w:val="00AD2D1C"/>
    <w:rsid w:val="00AD2E5D"/>
    <w:rsid w:val="00AD309A"/>
    <w:rsid w:val="00AD328E"/>
    <w:rsid w:val="00AD32A7"/>
    <w:rsid w:val="00AD3399"/>
    <w:rsid w:val="00AD33D7"/>
    <w:rsid w:val="00AD37F2"/>
    <w:rsid w:val="00AD3AEE"/>
    <w:rsid w:val="00AD3B2C"/>
    <w:rsid w:val="00AD3B78"/>
    <w:rsid w:val="00AD3F83"/>
    <w:rsid w:val="00AD44D3"/>
    <w:rsid w:val="00AD4744"/>
    <w:rsid w:val="00AD4C86"/>
    <w:rsid w:val="00AD4D18"/>
    <w:rsid w:val="00AD519F"/>
    <w:rsid w:val="00AD527F"/>
    <w:rsid w:val="00AD550A"/>
    <w:rsid w:val="00AD579E"/>
    <w:rsid w:val="00AD57ED"/>
    <w:rsid w:val="00AD5CF3"/>
    <w:rsid w:val="00AD5D3A"/>
    <w:rsid w:val="00AD5D90"/>
    <w:rsid w:val="00AD5DD3"/>
    <w:rsid w:val="00AD5EBB"/>
    <w:rsid w:val="00AD600F"/>
    <w:rsid w:val="00AD6115"/>
    <w:rsid w:val="00AD6163"/>
    <w:rsid w:val="00AD679D"/>
    <w:rsid w:val="00AD6A26"/>
    <w:rsid w:val="00AD6F6D"/>
    <w:rsid w:val="00AD7346"/>
    <w:rsid w:val="00AD74B3"/>
    <w:rsid w:val="00AE0029"/>
    <w:rsid w:val="00AE00D3"/>
    <w:rsid w:val="00AE018B"/>
    <w:rsid w:val="00AE01E1"/>
    <w:rsid w:val="00AE0358"/>
    <w:rsid w:val="00AE081C"/>
    <w:rsid w:val="00AE0C59"/>
    <w:rsid w:val="00AE0FC7"/>
    <w:rsid w:val="00AE1294"/>
    <w:rsid w:val="00AE13B6"/>
    <w:rsid w:val="00AE1567"/>
    <w:rsid w:val="00AE1811"/>
    <w:rsid w:val="00AE1B32"/>
    <w:rsid w:val="00AE1BF6"/>
    <w:rsid w:val="00AE1C97"/>
    <w:rsid w:val="00AE21C8"/>
    <w:rsid w:val="00AE2276"/>
    <w:rsid w:val="00AE22C5"/>
    <w:rsid w:val="00AE27A0"/>
    <w:rsid w:val="00AE28FA"/>
    <w:rsid w:val="00AE2A7A"/>
    <w:rsid w:val="00AE2D9F"/>
    <w:rsid w:val="00AE3397"/>
    <w:rsid w:val="00AE36B3"/>
    <w:rsid w:val="00AE39BB"/>
    <w:rsid w:val="00AE3B83"/>
    <w:rsid w:val="00AE3D58"/>
    <w:rsid w:val="00AE430D"/>
    <w:rsid w:val="00AE4316"/>
    <w:rsid w:val="00AE496F"/>
    <w:rsid w:val="00AE4D3A"/>
    <w:rsid w:val="00AE5279"/>
    <w:rsid w:val="00AE572B"/>
    <w:rsid w:val="00AE5791"/>
    <w:rsid w:val="00AE59BD"/>
    <w:rsid w:val="00AE5A74"/>
    <w:rsid w:val="00AE64BC"/>
    <w:rsid w:val="00AE66F0"/>
    <w:rsid w:val="00AE6770"/>
    <w:rsid w:val="00AE67A5"/>
    <w:rsid w:val="00AE67C9"/>
    <w:rsid w:val="00AE68C4"/>
    <w:rsid w:val="00AE6C40"/>
    <w:rsid w:val="00AE7086"/>
    <w:rsid w:val="00AE710A"/>
    <w:rsid w:val="00AE71CC"/>
    <w:rsid w:val="00AE7243"/>
    <w:rsid w:val="00AE75FC"/>
    <w:rsid w:val="00AE783C"/>
    <w:rsid w:val="00AE7A89"/>
    <w:rsid w:val="00AE7C85"/>
    <w:rsid w:val="00AE7F11"/>
    <w:rsid w:val="00AE7FCB"/>
    <w:rsid w:val="00AF06B6"/>
    <w:rsid w:val="00AF08BD"/>
    <w:rsid w:val="00AF09E7"/>
    <w:rsid w:val="00AF0EBA"/>
    <w:rsid w:val="00AF0FB3"/>
    <w:rsid w:val="00AF16E6"/>
    <w:rsid w:val="00AF1C6D"/>
    <w:rsid w:val="00AF1C7F"/>
    <w:rsid w:val="00AF1E25"/>
    <w:rsid w:val="00AF1F98"/>
    <w:rsid w:val="00AF20BF"/>
    <w:rsid w:val="00AF2209"/>
    <w:rsid w:val="00AF24DA"/>
    <w:rsid w:val="00AF27C1"/>
    <w:rsid w:val="00AF2B38"/>
    <w:rsid w:val="00AF2B63"/>
    <w:rsid w:val="00AF2DCA"/>
    <w:rsid w:val="00AF2E4B"/>
    <w:rsid w:val="00AF3029"/>
    <w:rsid w:val="00AF3069"/>
    <w:rsid w:val="00AF3139"/>
    <w:rsid w:val="00AF3861"/>
    <w:rsid w:val="00AF3A73"/>
    <w:rsid w:val="00AF3DA1"/>
    <w:rsid w:val="00AF3E37"/>
    <w:rsid w:val="00AF427A"/>
    <w:rsid w:val="00AF43FA"/>
    <w:rsid w:val="00AF4544"/>
    <w:rsid w:val="00AF4697"/>
    <w:rsid w:val="00AF47DA"/>
    <w:rsid w:val="00AF4BCE"/>
    <w:rsid w:val="00AF4C3C"/>
    <w:rsid w:val="00AF4CD5"/>
    <w:rsid w:val="00AF4D0C"/>
    <w:rsid w:val="00AF4E08"/>
    <w:rsid w:val="00AF551D"/>
    <w:rsid w:val="00AF552D"/>
    <w:rsid w:val="00AF57B4"/>
    <w:rsid w:val="00AF5A23"/>
    <w:rsid w:val="00AF5B42"/>
    <w:rsid w:val="00AF5C0A"/>
    <w:rsid w:val="00AF62A5"/>
    <w:rsid w:val="00AF6380"/>
    <w:rsid w:val="00AF63D6"/>
    <w:rsid w:val="00AF6652"/>
    <w:rsid w:val="00AF673A"/>
    <w:rsid w:val="00AF6923"/>
    <w:rsid w:val="00AF6B79"/>
    <w:rsid w:val="00AF6BB2"/>
    <w:rsid w:val="00AF6E46"/>
    <w:rsid w:val="00AF6EE3"/>
    <w:rsid w:val="00AF74AB"/>
    <w:rsid w:val="00AF74C9"/>
    <w:rsid w:val="00AF76B7"/>
    <w:rsid w:val="00AF7729"/>
    <w:rsid w:val="00AF7787"/>
    <w:rsid w:val="00AF77E2"/>
    <w:rsid w:val="00AF792D"/>
    <w:rsid w:val="00AF7B06"/>
    <w:rsid w:val="00B0001E"/>
    <w:rsid w:val="00B001BD"/>
    <w:rsid w:val="00B0074F"/>
    <w:rsid w:val="00B007D6"/>
    <w:rsid w:val="00B00919"/>
    <w:rsid w:val="00B009BC"/>
    <w:rsid w:val="00B00A4E"/>
    <w:rsid w:val="00B00A62"/>
    <w:rsid w:val="00B00B45"/>
    <w:rsid w:val="00B00D7F"/>
    <w:rsid w:val="00B00EEC"/>
    <w:rsid w:val="00B01219"/>
    <w:rsid w:val="00B01756"/>
    <w:rsid w:val="00B01919"/>
    <w:rsid w:val="00B020E4"/>
    <w:rsid w:val="00B02186"/>
    <w:rsid w:val="00B0225F"/>
    <w:rsid w:val="00B02304"/>
    <w:rsid w:val="00B02BFD"/>
    <w:rsid w:val="00B033DB"/>
    <w:rsid w:val="00B0354A"/>
    <w:rsid w:val="00B0370B"/>
    <w:rsid w:val="00B0399F"/>
    <w:rsid w:val="00B039FC"/>
    <w:rsid w:val="00B03B33"/>
    <w:rsid w:val="00B03EA4"/>
    <w:rsid w:val="00B03EBF"/>
    <w:rsid w:val="00B040AE"/>
    <w:rsid w:val="00B0414D"/>
    <w:rsid w:val="00B04304"/>
    <w:rsid w:val="00B0430D"/>
    <w:rsid w:val="00B04317"/>
    <w:rsid w:val="00B04336"/>
    <w:rsid w:val="00B048DF"/>
    <w:rsid w:val="00B04AF1"/>
    <w:rsid w:val="00B04B44"/>
    <w:rsid w:val="00B04C6E"/>
    <w:rsid w:val="00B04F13"/>
    <w:rsid w:val="00B04F9D"/>
    <w:rsid w:val="00B04FAD"/>
    <w:rsid w:val="00B050A2"/>
    <w:rsid w:val="00B05215"/>
    <w:rsid w:val="00B0534F"/>
    <w:rsid w:val="00B055B1"/>
    <w:rsid w:val="00B056C9"/>
    <w:rsid w:val="00B0578D"/>
    <w:rsid w:val="00B05B47"/>
    <w:rsid w:val="00B05E18"/>
    <w:rsid w:val="00B05EA2"/>
    <w:rsid w:val="00B05FB8"/>
    <w:rsid w:val="00B06094"/>
    <w:rsid w:val="00B061D6"/>
    <w:rsid w:val="00B0660D"/>
    <w:rsid w:val="00B06614"/>
    <w:rsid w:val="00B06697"/>
    <w:rsid w:val="00B07288"/>
    <w:rsid w:val="00B07293"/>
    <w:rsid w:val="00B07336"/>
    <w:rsid w:val="00B07483"/>
    <w:rsid w:val="00B077E7"/>
    <w:rsid w:val="00B07EFF"/>
    <w:rsid w:val="00B07F12"/>
    <w:rsid w:val="00B07FAB"/>
    <w:rsid w:val="00B10303"/>
    <w:rsid w:val="00B10648"/>
    <w:rsid w:val="00B10787"/>
    <w:rsid w:val="00B10942"/>
    <w:rsid w:val="00B10DEE"/>
    <w:rsid w:val="00B10F99"/>
    <w:rsid w:val="00B110D1"/>
    <w:rsid w:val="00B11142"/>
    <w:rsid w:val="00B114E6"/>
    <w:rsid w:val="00B1159E"/>
    <w:rsid w:val="00B115C0"/>
    <w:rsid w:val="00B11725"/>
    <w:rsid w:val="00B118E6"/>
    <w:rsid w:val="00B119C2"/>
    <w:rsid w:val="00B11A44"/>
    <w:rsid w:val="00B12304"/>
    <w:rsid w:val="00B12681"/>
    <w:rsid w:val="00B12784"/>
    <w:rsid w:val="00B12869"/>
    <w:rsid w:val="00B12BDA"/>
    <w:rsid w:val="00B12C1A"/>
    <w:rsid w:val="00B13027"/>
    <w:rsid w:val="00B13044"/>
    <w:rsid w:val="00B13328"/>
    <w:rsid w:val="00B13B31"/>
    <w:rsid w:val="00B13EB8"/>
    <w:rsid w:val="00B1444D"/>
    <w:rsid w:val="00B146B3"/>
    <w:rsid w:val="00B14BE9"/>
    <w:rsid w:val="00B14BFD"/>
    <w:rsid w:val="00B152A5"/>
    <w:rsid w:val="00B15447"/>
    <w:rsid w:val="00B15545"/>
    <w:rsid w:val="00B15632"/>
    <w:rsid w:val="00B15772"/>
    <w:rsid w:val="00B15C3A"/>
    <w:rsid w:val="00B15EF0"/>
    <w:rsid w:val="00B160B9"/>
    <w:rsid w:val="00B16126"/>
    <w:rsid w:val="00B1685C"/>
    <w:rsid w:val="00B16D12"/>
    <w:rsid w:val="00B16EDF"/>
    <w:rsid w:val="00B176C3"/>
    <w:rsid w:val="00B17ACB"/>
    <w:rsid w:val="00B17BC3"/>
    <w:rsid w:val="00B17C16"/>
    <w:rsid w:val="00B17D9C"/>
    <w:rsid w:val="00B201CB"/>
    <w:rsid w:val="00B20258"/>
    <w:rsid w:val="00B20AD6"/>
    <w:rsid w:val="00B20C25"/>
    <w:rsid w:val="00B20C53"/>
    <w:rsid w:val="00B20DB9"/>
    <w:rsid w:val="00B20E03"/>
    <w:rsid w:val="00B20EA1"/>
    <w:rsid w:val="00B210AC"/>
    <w:rsid w:val="00B21637"/>
    <w:rsid w:val="00B216EB"/>
    <w:rsid w:val="00B21813"/>
    <w:rsid w:val="00B2186D"/>
    <w:rsid w:val="00B21A63"/>
    <w:rsid w:val="00B21AD2"/>
    <w:rsid w:val="00B21CA9"/>
    <w:rsid w:val="00B21CB1"/>
    <w:rsid w:val="00B21CE9"/>
    <w:rsid w:val="00B21CEF"/>
    <w:rsid w:val="00B2222F"/>
    <w:rsid w:val="00B22271"/>
    <w:rsid w:val="00B22444"/>
    <w:rsid w:val="00B22540"/>
    <w:rsid w:val="00B22555"/>
    <w:rsid w:val="00B2257A"/>
    <w:rsid w:val="00B22618"/>
    <w:rsid w:val="00B226EA"/>
    <w:rsid w:val="00B22873"/>
    <w:rsid w:val="00B22A5D"/>
    <w:rsid w:val="00B22A97"/>
    <w:rsid w:val="00B22BA4"/>
    <w:rsid w:val="00B22CC3"/>
    <w:rsid w:val="00B22EDF"/>
    <w:rsid w:val="00B23094"/>
    <w:rsid w:val="00B23468"/>
    <w:rsid w:val="00B2362F"/>
    <w:rsid w:val="00B23B6F"/>
    <w:rsid w:val="00B23C73"/>
    <w:rsid w:val="00B23ED0"/>
    <w:rsid w:val="00B2419D"/>
    <w:rsid w:val="00B24254"/>
    <w:rsid w:val="00B242EE"/>
    <w:rsid w:val="00B243F7"/>
    <w:rsid w:val="00B245B0"/>
    <w:rsid w:val="00B246FD"/>
    <w:rsid w:val="00B248C3"/>
    <w:rsid w:val="00B249BA"/>
    <w:rsid w:val="00B249BE"/>
    <w:rsid w:val="00B24C54"/>
    <w:rsid w:val="00B24C59"/>
    <w:rsid w:val="00B24E02"/>
    <w:rsid w:val="00B24EA1"/>
    <w:rsid w:val="00B24F53"/>
    <w:rsid w:val="00B25387"/>
    <w:rsid w:val="00B253A1"/>
    <w:rsid w:val="00B25A23"/>
    <w:rsid w:val="00B25D61"/>
    <w:rsid w:val="00B2608E"/>
    <w:rsid w:val="00B261E8"/>
    <w:rsid w:val="00B262AB"/>
    <w:rsid w:val="00B2638B"/>
    <w:rsid w:val="00B2654F"/>
    <w:rsid w:val="00B26790"/>
    <w:rsid w:val="00B26988"/>
    <w:rsid w:val="00B26B5C"/>
    <w:rsid w:val="00B26E50"/>
    <w:rsid w:val="00B26FAF"/>
    <w:rsid w:val="00B2721F"/>
    <w:rsid w:val="00B2741D"/>
    <w:rsid w:val="00B27967"/>
    <w:rsid w:val="00B279E6"/>
    <w:rsid w:val="00B27C2B"/>
    <w:rsid w:val="00B30110"/>
    <w:rsid w:val="00B30293"/>
    <w:rsid w:val="00B30297"/>
    <w:rsid w:val="00B3081B"/>
    <w:rsid w:val="00B309F9"/>
    <w:rsid w:val="00B30D0E"/>
    <w:rsid w:val="00B30DC0"/>
    <w:rsid w:val="00B31345"/>
    <w:rsid w:val="00B31423"/>
    <w:rsid w:val="00B3178D"/>
    <w:rsid w:val="00B3179B"/>
    <w:rsid w:val="00B317B9"/>
    <w:rsid w:val="00B3189C"/>
    <w:rsid w:val="00B318CA"/>
    <w:rsid w:val="00B31974"/>
    <w:rsid w:val="00B3210D"/>
    <w:rsid w:val="00B322D6"/>
    <w:rsid w:val="00B32340"/>
    <w:rsid w:val="00B323F9"/>
    <w:rsid w:val="00B32472"/>
    <w:rsid w:val="00B325DA"/>
    <w:rsid w:val="00B32923"/>
    <w:rsid w:val="00B32AE7"/>
    <w:rsid w:val="00B32B8E"/>
    <w:rsid w:val="00B32D3E"/>
    <w:rsid w:val="00B32E35"/>
    <w:rsid w:val="00B32E37"/>
    <w:rsid w:val="00B330B6"/>
    <w:rsid w:val="00B330F0"/>
    <w:rsid w:val="00B33463"/>
    <w:rsid w:val="00B334B9"/>
    <w:rsid w:val="00B33506"/>
    <w:rsid w:val="00B3358B"/>
    <w:rsid w:val="00B335E6"/>
    <w:rsid w:val="00B33621"/>
    <w:rsid w:val="00B337C5"/>
    <w:rsid w:val="00B33ABF"/>
    <w:rsid w:val="00B33C8A"/>
    <w:rsid w:val="00B33CB7"/>
    <w:rsid w:val="00B34468"/>
    <w:rsid w:val="00B352B0"/>
    <w:rsid w:val="00B352FA"/>
    <w:rsid w:val="00B3554D"/>
    <w:rsid w:val="00B35963"/>
    <w:rsid w:val="00B35977"/>
    <w:rsid w:val="00B359EC"/>
    <w:rsid w:val="00B364DC"/>
    <w:rsid w:val="00B36553"/>
    <w:rsid w:val="00B36840"/>
    <w:rsid w:val="00B369F0"/>
    <w:rsid w:val="00B36A8A"/>
    <w:rsid w:val="00B36ABD"/>
    <w:rsid w:val="00B36B0C"/>
    <w:rsid w:val="00B36B5C"/>
    <w:rsid w:val="00B36D31"/>
    <w:rsid w:val="00B36F51"/>
    <w:rsid w:val="00B403BB"/>
    <w:rsid w:val="00B40873"/>
    <w:rsid w:val="00B40899"/>
    <w:rsid w:val="00B40A46"/>
    <w:rsid w:val="00B40B25"/>
    <w:rsid w:val="00B40B67"/>
    <w:rsid w:val="00B4177A"/>
    <w:rsid w:val="00B417F5"/>
    <w:rsid w:val="00B418C6"/>
    <w:rsid w:val="00B41C66"/>
    <w:rsid w:val="00B41DD4"/>
    <w:rsid w:val="00B41EF7"/>
    <w:rsid w:val="00B4223C"/>
    <w:rsid w:val="00B422FE"/>
    <w:rsid w:val="00B42339"/>
    <w:rsid w:val="00B423FF"/>
    <w:rsid w:val="00B424AA"/>
    <w:rsid w:val="00B42962"/>
    <w:rsid w:val="00B42DD5"/>
    <w:rsid w:val="00B430BF"/>
    <w:rsid w:val="00B43146"/>
    <w:rsid w:val="00B4366D"/>
    <w:rsid w:val="00B4375A"/>
    <w:rsid w:val="00B439A5"/>
    <w:rsid w:val="00B43BA5"/>
    <w:rsid w:val="00B43FA0"/>
    <w:rsid w:val="00B4402D"/>
    <w:rsid w:val="00B442D4"/>
    <w:rsid w:val="00B44D20"/>
    <w:rsid w:val="00B44D83"/>
    <w:rsid w:val="00B44E42"/>
    <w:rsid w:val="00B45614"/>
    <w:rsid w:val="00B45708"/>
    <w:rsid w:val="00B4577E"/>
    <w:rsid w:val="00B45B05"/>
    <w:rsid w:val="00B45CF6"/>
    <w:rsid w:val="00B45E6A"/>
    <w:rsid w:val="00B45FDA"/>
    <w:rsid w:val="00B462C8"/>
    <w:rsid w:val="00B4636A"/>
    <w:rsid w:val="00B46484"/>
    <w:rsid w:val="00B464C3"/>
    <w:rsid w:val="00B465AD"/>
    <w:rsid w:val="00B46969"/>
    <w:rsid w:val="00B46A7D"/>
    <w:rsid w:val="00B46F64"/>
    <w:rsid w:val="00B474F4"/>
    <w:rsid w:val="00B47685"/>
    <w:rsid w:val="00B476FD"/>
    <w:rsid w:val="00B47840"/>
    <w:rsid w:val="00B479A2"/>
    <w:rsid w:val="00B47A1D"/>
    <w:rsid w:val="00B47B3E"/>
    <w:rsid w:val="00B47BDD"/>
    <w:rsid w:val="00B47C35"/>
    <w:rsid w:val="00B47CE7"/>
    <w:rsid w:val="00B47D80"/>
    <w:rsid w:val="00B47D83"/>
    <w:rsid w:val="00B47D89"/>
    <w:rsid w:val="00B47ED1"/>
    <w:rsid w:val="00B500E6"/>
    <w:rsid w:val="00B502AE"/>
    <w:rsid w:val="00B502D2"/>
    <w:rsid w:val="00B504AF"/>
    <w:rsid w:val="00B5050D"/>
    <w:rsid w:val="00B50512"/>
    <w:rsid w:val="00B50786"/>
    <w:rsid w:val="00B50DA6"/>
    <w:rsid w:val="00B50DFF"/>
    <w:rsid w:val="00B5164A"/>
    <w:rsid w:val="00B51655"/>
    <w:rsid w:val="00B5180D"/>
    <w:rsid w:val="00B51BAF"/>
    <w:rsid w:val="00B5216A"/>
    <w:rsid w:val="00B521E8"/>
    <w:rsid w:val="00B527B2"/>
    <w:rsid w:val="00B52929"/>
    <w:rsid w:val="00B52EAD"/>
    <w:rsid w:val="00B530DF"/>
    <w:rsid w:val="00B539C6"/>
    <w:rsid w:val="00B53C0C"/>
    <w:rsid w:val="00B53DD2"/>
    <w:rsid w:val="00B54133"/>
    <w:rsid w:val="00B541FD"/>
    <w:rsid w:val="00B54260"/>
    <w:rsid w:val="00B542D9"/>
    <w:rsid w:val="00B54351"/>
    <w:rsid w:val="00B5469F"/>
    <w:rsid w:val="00B54753"/>
    <w:rsid w:val="00B5479F"/>
    <w:rsid w:val="00B549BA"/>
    <w:rsid w:val="00B54C75"/>
    <w:rsid w:val="00B54E00"/>
    <w:rsid w:val="00B54E5C"/>
    <w:rsid w:val="00B5512E"/>
    <w:rsid w:val="00B551FA"/>
    <w:rsid w:val="00B55298"/>
    <w:rsid w:val="00B55307"/>
    <w:rsid w:val="00B55593"/>
    <w:rsid w:val="00B55645"/>
    <w:rsid w:val="00B55908"/>
    <w:rsid w:val="00B55DAC"/>
    <w:rsid w:val="00B55FE5"/>
    <w:rsid w:val="00B5608F"/>
    <w:rsid w:val="00B564FF"/>
    <w:rsid w:val="00B56AAC"/>
    <w:rsid w:val="00B56CCD"/>
    <w:rsid w:val="00B5707B"/>
    <w:rsid w:val="00B5708F"/>
    <w:rsid w:val="00B5784A"/>
    <w:rsid w:val="00B57A6D"/>
    <w:rsid w:val="00B57A7B"/>
    <w:rsid w:val="00B57B3F"/>
    <w:rsid w:val="00B57BA8"/>
    <w:rsid w:val="00B57DC5"/>
    <w:rsid w:val="00B57DF0"/>
    <w:rsid w:val="00B57FA2"/>
    <w:rsid w:val="00B57FA3"/>
    <w:rsid w:val="00B57FB8"/>
    <w:rsid w:val="00B60193"/>
    <w:rsid w:val="00B602FF"/>
    <w:rsid w:val="00B60757"/>
    <w:rsid w:val="00B609D5"/>
    <w:rsid w:val="00B60AC1"/>
    <w:rsid w:val="00B61607"/>
    <w:rsid w:val="00B61766"/>
    <w:rsid w:val="00B617CD"/>
    <w:rsid w:val="00B618E5"/>
    <w:rsid w:val="00B61E27"/>
    <w:rsid w:val="00B61F48"/>
    <w:rsid w:val="00B620A1"/>
    <w:rsid w:val="00B622E3"/>
    <w:rsid w:val="00B6236A"/>
    <w:rsid w:val="00B6240D"/>
    <w:rsid w:val="00B625A5"/>
    <w:rsid w:val="00B62710"/>
    <w:rsid w:val="00B6286F"/>
    <w:rsid w:val="00B62A64"/>
    <w:rsid w:val="00B63005"/>
    <w:rsid w:val="00B631F3"/>
    <w:rsid w:val="00B6374D"/>
    <w:rsid w:val="00B63D99"/>
    <w:rsid w:val="00B63E32"/>
    <w:rsid w:val="00B63F65"/>
    <w:rsid w:val="00B63F6E"/>
    <w:rsid w:val="00B64252"/>
    <w:rsid w:val="00B64528"/>
    <w:rsid w:val="00B6463E"/>
    <w:rsid w:val="00B64681"/>
    <w:rsid w:val="00B646A7"/>
    <w:rsid w:val="00B6499D"/>
    <w:rsid w:val="00B649ED"/>
    <w:rsid w:val="00B64AB7"/>
    <w:rsid w:val="00B64CAC"/>
    <w:rsid w:val="00B64E9E"/>
    <w:rsid w:val="00B64F4C"/>
    <w:rsid w:val="00B64F50"/>
    <w:rsid w:val="00B65132"/>
    <w:rsid w:val="00B661D4"/>
    <w:rsid w:val="00B66753"/>
    <w:rsid w:val="00B669DC"/>
    <w:rsid w:val="00B66A05"/>
    <w:rsid w:val="00B66BA2"/>
    <w:rsid w:val="00B66BBA"/>
    <w:rsid w:val="00B66D85"/>
    <w:rsid w:val="00B66F45"/>
    <w:rsid w:val="00B67010"/>
    <w:rsid w:val="00B670F2"/>
    <w:rsid w:val="00B671E9"/>
    <w:rsid w:val="00B67208"/>
    <w:rsid w:val="00B67213"/>
    <w:rsid w:val="00B67604"/>
    <w:rsid w:val="00B67700"/>
    <w:rsid w:val="00B678C5"/>
    <w:rsid w:val="00B6792A"/>
    <w:rsid w:val="00B67935"/>
    <w:rsid w:val="00B67966"/>
    <w:rsid w:val="00B67AA5"/>
    <w:rsid w:val="00B67B6F"/>
    <w:rsid w:val="00B67BB3"/>
    <w:rsid w:val="00B67BC5"/>
    <w:rsid w:val="00B67C70"/>
    <w:rsid w:val="00B70592"/>
    <w:rsid w:val="00B706FD"/>
    <w:rsid w:val="00B70AD7"/>
    <w:rsid w:val="00B70F92"/>
    <w:rsid w:val="00B70FBE"/>
    <w:rsid w:val="00B711A5"/>
    <w:rsid w:val="00B715B7"/>
    <w:rsid w:val="00B71686"/>
    <w:rsid w:val="00B71900"/>
    <w:rsid w:val="00B71B45"/>
    <w:rsid w:val="00B71FA4"/>
    <w:rsid w:val="00B727A8"/>
    <w:rsid w:val="00B72D7E"/>
    <w:rsid w:val="00B72EFB"/>
    <w:rsid w:val="00B73010"/>
    <w:rsid w:val="00B731D0"/>
    <w:rsid w:val="00B73B8D"/>
    <w:rsid w:val="00B73C01"/>
    <w:rsid w:val="00B73CA0"/>
    <w:rsid w:val="00B73ED9"/>
    <w:rsid w:val="00B74063"/>
    <w:rsid w:val="00B743DB"/>
    <w:rsid w:val="00B746C8"/>
    <w:rsid w:val="00B74794"/>
    <w:rsid w:val="00B74839"/>
    <w:rsid w:val="00B748E1"/>
    <w:rsid w:val="00B749D8"/>
    <w:rsid w:val="00B74FA4"/>
    <w:rsid w:val="00B750C0"/>
    <w:rsid w:val="00B751F0"/>
    <w:rsid w:val="00B754A8"/>
    <w:rsid w:val="00B7555D"/>
    <w:rsid w:val="00B75C8F"/>
    <w:rsid w:val="00B75D4C"/>
    <w:rsid w:val="00B76138"/>
    <w:rsid w:val="00B7661D"/>
    <w:rsid w:val="00B76949"/>
    <w:rsid w:val="00B76AEB"/>
    <w:rsid w:val="00B76AF5"/>
    <w:rsid w:val="00B76C29"/>
    <w:rsid w:val="00B76E4D"/>
    <w:rsid w:val="00B7733D"/>
    <w:rsid w:val="00B776A7"/>
    <w:rsid w:val="00B776D1"/>
    <w:rsid w:val="00B778A6"/>
    <w:rsid w:val="00B77D36"/>
    <w:rsid w:val="00B77EF8"/>
    <w:rsid w:val="00B802E3"/>
    <w:rsid w:val="00B802FC"/>
    <w:rsid w:val="00B8049D"/>
    <w:rsid w:val="00B8058B"/>
    <w:rsid w:val="00B805E0"/>
    <w:rsid w:val="00B8077B"/>
    <w:rsid w:val="00B80903"/>
    <w:rsid w:val="00B80A35"/>
    <w:rsid w:val="00B80AED"/>
    <w:rsid w:val="00B80B2A"/>
    <w:rsid w:val="00B80BEA"/>
    <w:rsid w:val="00B80EA2"/>
    <w:rsid w:val="00B80FD9"/>
    <w:rsid w:val="00B810B4"/>
    <w:rsid w:val="00B81130"/>
    <w:rsid w:val="00B814FB"/>
    <w:rsid w:val="00B81679"/>
    <w:rsid w:val="00B81DA8"/>
    <w:rsid w:val="00B821E5"/>
    <w:rsid w:val="00B82394"/>
    <w:rsid w:val="00B8268A"/>
    <w:rsid w:val="00B8278A"/>
    <w:rsid w:val="00B82905"/>
    <w:rsid w:val="00B829FB"/>
    <w:rsid w:val="00B82A7F"/>
    <w:rsid w:val="00B82B61"/>
    <w:rsid w:val="00B82D2D"/>
    <w:rsid w:val="00B82DE7"/>
    <w:rsid w:val="00B82E36"/>
    <w:rsid w:val="00B82E52"/>
    <w:rsid w:val="00B82EAD"/>
    <w:rsid w:val="00B82F33"/>
    <w:rsid w:val="00B83221"/>
    <w:rsid w:val="00B834D9"/>
    <w:rsid w:val="00B83796"/>
    <w:rsid w:val="00B837FD"/>
    <w:rsid w:val="00B83DA2"/>
    <w:rsid w:val="00B83EA2"/>
    <w:rsid w:val="00B84015"/>
    <w:rsid w:val="00B8417B"/>
    <w:rsid w:val="00B84257"/>
    <w:rsid w:val="00B843EA"/>
    <w:rsid w:val="00B844B6"/>
    <w:rsid w:val="00B844C1"/>
    <w:rsid w:val="00B846BC"/>
    <w:rsid w:val="00B849C9"/>
    <w:rsid w:val="00B84C97"/>
    <w:rsid w:val="00B84CFA"/>
    <w:rsid w:val="00B854A6"/>
    <w:rsid w:val="00B856FB"/>
    <w:rsid w:val="00B857BC"/>
    <w:rsid w:val="00B8588A"/>
    <w:rsid w:val="00B85BDE"/>
    <w:rsid w:val="00B85C13"/>
    <w:rsid w:val="00B85C43"/>
    <w:rsid w:val="00B85D95"/>
    <w:rsid w:val="00B85DFB"/>
    <w:rsid w:val="00B85F9F"/>
    <w:rsid w:val="00B860C9"/>
    <w:rsid w:val="00B86260"/>
    <w:rsid w:val="00B86375"/>
    <w:rsid w:val="00B86925"/>
    <w:rsid w:val="00B86A52"/>
    <w:rsid w:val="00B86B05"/>
    <w:rsid w:val="00B86C9C"/>
    <w:rsid w:val="00B86D44"/>
    <w:rsid w:val="00B86E85"/>
    <w:rsid w:val="00B86FE0"/>
    <w:rsid w:val="00B8722D"/>
    <w:rsid w:val="00B8723C"/>
    <w:rsid w:val="00B876CA"/>
    <w:rsid w:val="00B87E6C"/>
    <w:rsid w:val="00B87E8D"/>
    <w:rsid w:val="00B903F1"/>
    <w:rsid w:val="00B90792"/>
    <w:rsid w:val="00B90942"/>
    <w:rsid w:val="00B90C03"/>
    <w:rsid w:val="00B90FEE"/>
    <w:rsid w:val="00B910A1"/>
    <w:rsid w:val="00B910A2"/>
    <w:rsid w:val="00B91226"/>
    <w:rsid w:val="00B91248"/>
    <w:rsid w:val="00B912CF"/>
    <w:rsid w:val="00B9177D"/>
    <w:rsid w:val="00B919CE"/>
    <w:rsid w:val="00B91B4C"/>
    <w:rsid w:val="00B91D56"/>
    <w:rsid w:val="00B91E76"/>
    <w:rsid w:val="00B91F2D"/>
    <w:rsid w:val="00B92216"/>
    <w:rsid w:val="00B922AB"/>
    <w:rsid w:val="00B92400"/>
    <w:rsid w:val="00B92862"/>
    <w:rsid w:val="00B92B18"/>
    <w:rsid w:val="00B92C68"/>
    <w:rsid w:val="00B92DA3"/>
    <w:rsid w:val="00B92E55"/>
    <w:rsid w:val="00B9316F"/>
    <w:rsid w:val="00B931F7"/>
    <w:rsid w:val="00B93896"/>
    <w:rsid w:val="00B93B96"/>
    <w:rsid w:val="00B93CA6"/>
    <w:rsid w:val="00B93E1C"/>
    <w:rsid w:val="00B941FF"/>
    <w:rsid w:val="00B94443"/>
    <w:rsid w:val="00B94AF5"/>
    <w:rsid w:val="00B94C90"/>
    <w:rsid w:val="00B94CA0"/>
    <w:rsid w:val="00B94FAB"/>
    <w:rsid w:val="00B954E8"/>
    <w:rsid w:val="00B955FF"/>
    <w:rsid w:val="00B9589F"/>
    <w:rsid w:val="00B95D18"/>
    <w:rsid w:val="00B962CB"/>
    <w:rsid w:val="00B967E7"/>
    <w:rsid w:val="00B96805"/>
    <w:rsid w:val="00B96872"/>
    <w:rsid w:val="00B96894"/>
    <w:rsid w:val="00B96F76"/>
    <w:rsid w:val="00B971DE"/>
    <w:rsid w:val="00B975D5"/>
    <w:rsid w:val="00B97B75"/>
    <w:rsid w:val="00B97FEE"/>
    <w:rsid w:val="00BA01C5"/>
    <w:rsid w:val="00BA01D0"/>
    <w:rsid w:val="00BA052D"/>
    <w:rsid w:val="00BA09D8"/>
    <w:rsid w:val="00BA0BFE"/>
    <w:rsid w:val="00BA0CFD"/>
    <w:rsid w:val="00BA0DD6"/>
    <w:rsid w:val="00BA0EC7"/>
    <w:rsid w:val="00BA0F92"/>
    <w:rsid w:val="00BA0FD5"/>
    <w:rsid w:val="00BA11CE"/>
    <w:rsid w:val="00BA1340"/>
    <w:rsid w:val="00BA1553"/>
    <w:rsid w:val="00BA15B6"/>
    <w:rsid w:val="00BA178E"/>
    <w:rsid w:val="00BA1893"/>
    <w:rsid w:val="00BA1919"/>
    <w:rsid w:val="00BA1F63"/>
    <w:rsid w:val="00BA2017"/>
    <w:rsid w:val="00BA2071"/>
    <w:rsid w:val="00BA2088"/>
    <w:rsid w:val="00BA21FF"/>
    <w:rsid w:val="00BA2582"/>
    <w:rsid w:val="00BA2826"/>
    <w:rsid w:val="00BA29AE"/>
    <w:rsid w:val="00BA2AD7"/>
    <w:rsid w:val="00BA2D73"/>
    <w:rsid w:val="00BA31D4"/>
    <w:rsid w:val="00BA3428"/>
    <w:rsid w:val="00BA34B0"/>
    <w:rsid w:val="00BA3982"/>
    <w:rsid w:val="00BA3BD8"/>
    <w:rsid w:val="00BA3D6A"/>
    <w:rsid w:val="00BA3E34"/>
    <w:rsid w:val="00BA3E64"/>
    <w:rsid w:val="00BA4052"/>
    <w:rsid w:val="00BA4139"/>
    <w:rsid w:val="00BA43AA"/>
    <w:rsid w:val="00BA43C3"/>
    <w:rsid w:val="00BA4585"/>
    <w:rsid w:val="00BA45A1"/>
    <w:rsid w:val="00BA4A12"/>
    <w:rsid w:val="00BA4A86"/>
    <w:rsid w:val="00BA4B5B"/>
    <w:rsid w:val="00BA4CC7"/>
    <w:rsid w:val="00BA4E50"/>
    <w:rsid w:val="00BA503F"/>
    <w:rsid w:val="00BA541B"/>
    <w:rsid w:val="00BA54C7"/>
    <w:rsid w:val="00BA5518"/>
    <w:rsid w:val="00BA6254"/>
    <w:rsid w:val="00BA63E6"/>
    <w:rsid w:val="00BA680A"/>
    <w:rsid w:val="00BA69F5"/>
    <w:rsid w:val="00BA6CDF"/>
    <w:rsid w:val="00BA6D1F"/>
    <w:rsid w:val="00BA70CE"/>
    <w:rsid w:val="00BA7328"/>
    <w:rsid w:val="00BA7337"/>
    <w:rsid w:val="00BA78D9"/>
    <w:rsid w:val="00BA7A7E"/>
    <w:rsid w:val="00BA7AD2"/>
    <w:rsid w:val="00BA7CEC"/>
    <w:rsid w:val="00BB016E"/>
    <w:rsid w:val="00BB050B"/>
    <w:rsid w:val="00BB0522"/>
    <w:rsid w:val="00BB054D"/>
    <w:rsid w:val="00BB05AB"/>
    <w:rsid w:val="00BB06A5"/>
    <w:rsid w:val="00BB0828"/>
    <w:rsid w:val="00BB0A4E"/>
    <w:rsid w:val="00BB0FE9"/>
    <w:rsid w:val="00BB1016"/>
    <w:rsid w:val="00BB1819"/>
    <w:rsid w:val="00BB183E"/>
    <w:rsid w:val="00BB1B01"/>
    <w:rsid w:val="00BB1B16"/>
    <w:rsid w:val="00BB1C79"/>
    <w:rsid w:val="00BB2319"/>
    <w:rsid w:val="00BB24AA"/>
    <w:rsid w:val="00BB25EC"/>
    <w:rsid w:val="00BB2B83"/>
    <w:rsid w:val="00BB2C1B"/>
    <w:rsid w:val="00BB2D25"/>
    <w:rsid w:val="00BB2FB4"/>
    <w:rsid w:val="00BB31EF"/>
    <w:rsid w:val="00BB3816"/>
    <w:rsid w:val="00BB3CE2"/>
    <w:rsid w:val="00BB3E37"/>
    <w:rsid w:val="00BB40F1"/>
    <w:rsid w:val="00BB42A0"/>
    <w:rsid w:val="00BB42B5"/>
    <w:rsid w:val="00BB468D"/>
    <w:rsid w:val="00BB4A7A"/>
    <w:rsid w:val="00BB4C1C"/>
    <w:rsid w:val="00BB56BC"/>
    <w:rsid w:val="00BB56FE"/>
    <w:rsid w:val="00BB5724"/>
    <w:rsid w:val="00BB5CCB"/>
    <w:rsid w:val="00BB5D88"/>
    <w:rsid w:val="00BB66C8"/>
    <w:rsid w:val="00BB67F3"/>
    <w:rsid w:val="00BB6A7E"/>
    <w:rsid w:val="00BB6C4B"/>
    <w:rsid w:val="00BB6CB3"/>
    <w:rsid w:val="00BB725F"/>
    <w:rsid w:val="00BB7413"/>
    <w:rsid w:val="00BB7639"/>
    <w:rsid w:val="00BB77F7"/>
    <w:rsid w:val="00BB78F1"/>
    <w:rsid w:val="00BB7CA0"/>
    <w:rsid w:val="00BB7CD5"/>
    <w:rsid w:val="00BC0047"/>
    <w:rsid w:val="00BC00E6"/>
    <w:rsid w:val="00BC0144"/>
    <w:rsid w:val="00BC0177"/>
    <w:rsid w:val="00BC04AC"/>
    <w:rsid w:val="00BC058B"/>
    <w:rsid w:val="00BC0920"/>
    <w:rsid w:val="00BC09D3"/>
    <w:rsid w:val="00BC09ED"/>
    <w:rsid w:val="00BC0B7A"/>
    <w:rsid w:val="00BC0BC0"/>
    <w:rsid w:val="00BC0F7F"/>
    <w:rsid w:val="00BC11DD"/>
    <w:rsid w:val="00BC1294"/>
    <w:rsid w:val="00BC12F0"/>
    <w:rsid w:val="00BC130B"/>
    <w:rsid w:val="00BC1356"/>
    <w:rsid w:val="00BC136D"/>
    <w:rsid w:val="00BC171F"/>
    <w:rsid w:val="00BC18B3"/>
    <w:rsid w:val="00BC1CA0"/>
    <w:rsid w:val="00BC1EA2"/>
    <w:rsid w:val="00BC20AD"/>
    <w:rsid w:val="00BC21FC"/>
    <w:rsid w:val="00BC233B"/>
    <w:rsid w:val="00BC2604"/>
    <w:rsid w:val="00BC2619"/>
    <w:rsid w:val="00BC266F"/>
    <w:rsid w:val="00BC2764"/>
    <w:rsid w:val="00BC282D"/>
    <w:rsid w:val="00BC299B"/>
    <w:rsid w:val="00BC2C55"/>
    <w:rsid w:val="00BC2D07"/>
    <w:rsid w:val="00BC2EEB"/>
    <w:rsid w:val="00BC3000"/>
    <w:rsid w:val="00BC3108"/>
    <w:rsid w:val="00BC3523"/>
    <w:rsid w:val="00BC3678"/>
    <w:rsid w:val="00BC41AA"/>
    <w:rsid w:val="00BC450E"/>
    <w:rsid w:val="00BC457E"/>
    <w:rsid w:val="00BC4590"/>
    <w:rsid w:val="00BC45F9"/>
    <w:rsid w:val="00BC48AC"/>
    <w:rsid w:val="00BC4AD0"/>
    <w:rsid w:val="00BC4C84"/>
    <w:rsid w:val="00BC4EA7"/>
    <w:rsid w:val="00BC4F2E"/>
    <w:rsid w:val="00BC5239"/>
    <w:rsid w:val="00BC5383"/>
    <w:rsid w:val="00BC5851"/>
    <w:rsid w:val="00BC5AEC"/>
    <w:rsid w:val="00BC5DEC"/>
    <w:rsid w:val="00BC6231"/>
    <w:rsid w:val="00BC644D"/>
    <w:rsid w:val="00BC6A0E"/>
    <w:rsid w:val="00BC6A65"/>
    <w:rsid w:val="00BC6B06"/>
    <w:rsid w:val="00BC6DC7"/>
    <w:rsid w:val="00BC738B"/>
    <w:rsid w:val="00BC778B"/>
    <w:rsid w:val="00BC78C1"/>
    <w:rsid w:val="00BC7920"/>
    <w:rsid w:val="00BC79FA"/>
    <w:rsid w:val="00BC7BC9"/>
    <w:rsid w:val="00BC7C63"/>
    <w:rsid w:val="00BC7E14"/>
    <w:rsid w:val="00BC7FEE"/>
    <w:rsid w:val="00BD0699"/>
    <w:rsid w:val="00BD07AC"/>
    <w:rsid w:val="00BD081F"/>
    <w:rsid w:val="00BD0848"/>
    <w:rsid w:val="00BD0DE6"/>
    <w:rsid w:val="00BD0E74"/>
    <w:rsid w:val="00BD10DC"/>
    <w:rsid w:val="00BD138B"/>
    <w:rsid w:val="00BD146D"/>
    <w:rsid w:val="00BD18CF"/>
    <w:rsid w:val="00BD1B77"/>
    <w:rsid w:val="00BD1BA1"/>
    <w:rsid w:val="00BD1C28"/>
    <w:rsid w:val="00BD1E18"/>
    <w:rsid w:val="00BD2356"/>
    <w:rsid w:val="00BD2674"/>
    <w:rsid w:val="00BD269A"/>
    <w:rsid w:val="00BD2721"/>
    <w:rsid w:val="00BD2AE4"/>
    <w:rsid w:val="00BD3007"/>
    <w:rsid w:val="00BD3329"/>
    <w:rsid w:val="00BD33FC"/>
    <w:rsid w:val="00BD35E6"/>
    <w:rsid w:val="00BD3682"/>
    <w:rsid w:val="00BD38D5"/>
    <w:rsid w:val="00BD3B1C"/>
    <w:rsid w:val="00BD3D09"/>
    <w:rsid w:val="00BD4295"/>
    <w:rsid w:val="00BD4406"/>
    <w:rsid w:val="00BD44E0"/>
    <w:rsid w:val="00BD4512"/>
    <w:rsid w:val="00BD4946"/>
    <w:rsid w:val="00BD4C3C"/>
    <w:rsid w:val="00BD4DB2"/>
    <w:rsid w:val="00BD4F59"/>
    <w:rsid w:val="00BD503A"/>
    <w:rsid w:val="00BD51CD"/>
    <w:rsid w:val="00BD53EF"/>
    <w:rsid w:val="00BD5472"/>
    <w:rsid w:val="00BD54C3"/>
    <w:rsid w:val="00BD54D5"/>
    <w:rsid w:val="00BD57DB"/>
    <w:rsid w:val="00BD606C"/>
    <w:rsid w:val="00BD618A"/>
    <w:rsid w:val="00BD64C1"/>
    <w:rsid w:val="00BD659D"/>
    <w:rsid w:val="00BD663A"/>
    <w:rsid w:val="00BD66EE"/>
    <w:rsid w:val="00BD68B7"/>
    <w:rsid w:val="00BD6AD8"/>
    <w:rsid w:val="00BD6BA2"/>
    <w:rsid w:val="00BD6E12"/>
    <w:rsid w:val="00BD7191"/>
    <w:rsid w:val="00BD7207"/>
    <w:rsid w:val="00BD73A0"/>
    <w:rsid w:val="00BD73B3"/>
    <w:rsid w:val="00BD74B8"/>
    <w:rsid w:val="00BD7577"/>
    <w:rsid w:val="00BD75B9"/>
    <w:rsid w:val="00BD798E"/>
    <w:rsid w:val="00BD7BD7"/>
    <w:rsid w:val="00BD7EAC"/>
    <w:rsid w:val="00BD7FA9"/>
    <w:rsid w:val="00BE0343"/>
    <w:rsid w:val="00BE0E2E"/>
    <w:rsid w:val="00BE0E96"/>
    <w:rsid w:val="00BE0EEB"/>
    <w:rsid w:val="00BE1294"/>
    <w:rsid w:val="00BE1523"/>
    <w:rsid w:val="00BE16AD"/>
    <w:rsid w:val="00BE16AE"/>
    <w:rsid w:val="00BE1797"/>
    <w:rsid w:val="00BE17F9"/>
    <w:rsid w:val="00BE1D23"/>
    <w:rsid w:val="00BE21EF"/>
    <w:rsid w:val="00BE245B"/>
    <w:rsid w:val="00BE2838"/>
    <w:rsid w:val="00BE2AB4"/>
    <w:rsid w:val="00BE2E44"/>
    <w:rsid w:val="00BE30BF"/>
    <w:rsid w:val="00BE32AD"/>
    <w:rsid w:val="00BE36D2"/>
    <w:rsid w:val="00BE3FB3"/>
    <w:rsid w:val="00BE4118"/>
    <w:rsid w:val="00BE434E"/>
    <w:rsid w:val="00BE4582"/>
    <w:rsid w:val="00BE4636"/>
    <w:rsid w:val="00BE48D2"/>
    <w:rsid w:val="00BE49A7"/>
    <w:rsid w:val="00BE4DF1"/>
    <w:rsid w:val="00BE52F6"/>
    <w:rsid w:val="00BE543A"/>
    <w:rsid w:val="00BE5503"/>
    <w:rsid w:val="00BE5722"/>
    <w:rsid w:val="00BE594D"/>
    <w:rsid w:val="00BE59C4"/>
    <w:rsid w:val="00BE5A43"/>
    <w:rsid w:val="00BE5DCA"/>
    <w:rsid w:val="00BE6409"/>
    <w:rsid w:val="00BE64A2"/>
    <w:rsid w:val="00BE6975"/>
    <w:rsid w:val="00BE6B16"/>
    <w:rsid w:val="00BE72A7"/>
    <w:rsid w:val="00BE7531"/>
    <w:rsid w:val="00BE77B1"/>
    <w:rsid w:val="00BE7836"/>
    <w:rsid w:val="00BE7C06"/>
    <w:rsid w:val="00BE7C62"/>
    <w:rsid w:val="00BF0063"/>
    <w:rsid w:val="00BF019B"/>
    <w:rsid w:val="00BF0444"/>
    <w:rsid w:val="00BF0484"/>
    <w:rsid w:val="00BF075B"/>
    <w:rsid w:val="00BF09BC"/>
    <w:rsid w:val="00BF09CF"/>
    <w:rsid w:val="00BF0F6B"/>
    <w:rsid w:val="00BF10C7"/>
    <w:rsid w:val="00BF1181"/>
    <w:rsid w:val="00BF11A8"/>
    <w:rsid w:val="00BF1217"/>
    <w:rsid w:val="00BF1328"/>
    <w:rsid w:val="00BF15A4"/>
    <w:rsid w:val="00BF1660"/>
    <w:rsid w:val="00BF1961"/>
    <w:rsid w:val="00BF19EC"/>
    <w:rsid w:val="00BF1CCC"/>
    <w:rsid w:val="00BF1D38"/>
    <w:rsid w:val="00BF2108"/>
    <w:rsid w:val="00BF23B4"/>
    <w:rsid w:val="00BF24F7"/>
    <w:rsid w:val="00BF2F3D"/>
    <w:rsid w:val="00BF2FE4"/>
    <w:rsid w:val="00BF3260"/>
    <w:rsid w:val="00BF36D0"/>
    <w:rsid w:val="00BF3703"/>
    <w:rsid w:val="00BF3BFE"/>
    <w:rsid w:val="00BF3D3C"/>
    <w:rsid w:val="00BF4216"/>
    <w:rsid w:val="00BF427A"/>
    <w:rsid w:val="00BF42AC"/>
    <w:rsid w:val="00BF436B"/>
    <w:rsid w:val="00BF43BB"/>
    <w:rsid w:val="00BF45CD"/>
    <w:rsid w:val="00BF4664"/>
    <w:rsid w:val="00BF484C"/>
    <w:rsid w:val="00BF48B3"/>
    <w:rsid w:val="00BF49B1"/>
    <w:rsid w:val="00BF49ED"/>
    <w:rsid w:val="00BF4A52"/>
    <w:rsid w:val="00BF4BC8"/>
    <w:rsid w:val="00BF4BEF"/>
    <w:rsid w:val="00BF4E70"/>
    <w:rsid w:val="00BF4EF5"/>
    <w:rsid w:val="00BF506A"/>
    <w:rsid w:val="00BF54AD"/>
    <w:rsid w:val="00BF54BE"/>
    <w:rsid w:val="00BF5912"/>
    <w:rsid w:val="00BF5B3E"/>
    <w:rsid w:val="00BF5BC8"/>
    <w:rsid w:val="00BF5D5E"/>
    <w:rsid w:val="00BF5DD8"/>
    <w:rsid w:val="00BF6313"/>
    <w:rsid w:val="00BF6415"/>
    <w:rsid w:val="00BF641D"/>
    <w:rsid w:val="00BF645C"/>
    <w:rsid w:val="00BF64B7"/>
    <w:rsid w:val="00BF678F"/>
    <w:rsid w:val="00BF67EE"/>
    <w:rsid w:val="00BF6869"/>
    <w:rsid w:val="00BF69FA"/>
    <w:rsid w:val="00BF6F8B"/>
    <w:rsid w:val="00BF74B1"/>
    <w:rsid w:val="00BF761E"/>
    <w:rsid w:val="00BF7637"/>
    <w:rsid w:val="00BF7AC2"/>
    <w:rsid w:val="00BF7F84"/>
    <w:rsid w:val="00C0013F"/>
    <w:rsid w:val="00C00797"/>
    <w:rsid w:val="00C007A6"/>
    <w:rsid w:val="00C00B5A"/>
    <w:rsid w:val="00C00D88"/>
    <w:rsid w:val="00C00DDB"/>
    <w:rsid w:val="00C01377"/>
    <w:rsid w:val="00C01471"/>
    <w:rsid w:val="00C01491"/>
    <w:rsid w:val="00C014BA"/>
    <w:rsid w:val="00C01532"/>
    <w:rsid w:val="00C0154A"/>
    <w:rsid w:val="00C01761"/>
    <w:rsid w:val="00C01837"/>
    <w:rsid w:val="00C018DF"/>
    <w:rsid w:val="00C018FF"/>
    <w:rsid w:val="00C01917"/>
    <w:rsid w:val="00C01A8A"/>
    <w:rsid w:val="00C01C3C"/>
    <w:rsid w:val="00C01DB5"/>
    <w:rsid w:val="00C02054"/>
    <w:rsid w:val="00C0219D"/>
    <w:rsid w:val="00C02448"/>
    <w:rsid w:val="00C02632"/>
    <w:rsid w:val="00C02F97"/>
    <w:rsid w:val="00C03106"/>
    <w:rsid w:val="00C032F8"/>
    <w:rsid w:val="00C03463"/>
    <w:rsid w:val="00C0356A"/>
    <w:rsid w:val="00C035D2"/>
    <w:rsid w:val="00C03DDB"/>
    <w:rsid w:val="00C04277"/>
    <w:rsid w:val="00C047F6"/>
    <w:rsid w:val="00C04823"/>
    <w:rsid w:val="00C04BBF"/>
    <w:rsid w:val="00C04CFB"/>
    <w:rsid w:val="00C04D30"/>
    <w:rsid w:val="00C04DCF"/>
    <w:rsid w:val="00C050B9"/>
    <w:rsid w:val="00C05259"/>
    <w:rsid w:val="00C05424"/>
    <w:rsid w:val="00C05994"/>
    <w:rsid w:val="00C059D6"/>
    <w:rsid w:val="00C05BDC"/>
    <w:rsid w:val="00C05CDA"/>
    <w:rsid w:val="00C06177"/>
    <w:rsid w:val="00C065C1"/>
    <w:rsid w:val="00C069A2"/>
    <w:rsid w:val="00C06D5D"/>
    <w:rsid w:val="00C06DC5"/>
    <w:rsid w:val="00C07092"/>
    <w:rsid w:val="00C0709B"/>
    <w:rsid w:val="00C07439"/>
    <w:rsid w:val="00C075E9"/>
    <w:rsid w:val="00C075EA"/>
    <w:rsid w:val="00C07963"/>
    <w:rsid w:val="00C07A8A"/>
    <w:rsid w:val="00C07BAB"/>
    <w:rsid w:val="00C07C53"/>
    <w:rsid w:val="00C07EFB"/>
    <w:rsid w:val="00C10242"/>
    <w:rsid w:val="00C1034E"/>
    <w:rsid w:val="00C1055F"/>
    <w:rsid w:val="00C10590"/>
    <w:rsid w:val="00C10599"/>
    <w:rsid w:val="00C107D1"/>
    <w:rsid w:val="00C10A67"/>
    <w:rsid w:val="00C10C13"/>
    <w:rsid w:val="00C110C1"/>
    <w:rsid w:val="00C113F0"/>
    <w:rsid w:val="00C11469"/>
    <w:rsid w:val="00C1148B"/>
    <w:rsid w:val="00C11903"/>
    <w:rsid w:val="00C11A5C"/>
    <w:rsid w:val="00C11AD3"/>
    <w:rsid w:val="00C11CF8"/>
    <w:rsid w:val="00C12136"/>
    <w:rsid w:val="00C126EA"/>
    <w:rsid w:val="00C128C7"/>
    <w:rsid w:val="00C12A90"/>
    <w:rsid w:val="00C130C0"/>
    <w:rsid w:val="00C13126"/>
    <w:rsid w:val="00C131F8"/>
    <w:rsid w:val="00C13483"/>
    <w:rsid w:val="00C13809"/>
    <w:rsid w:val="00C13C00"/>
    <w:rsid w:val="00C13E3A"/>
    <w:rsid w:val="00C1411C"/>
    <w:rsid w:val="00C14222"/>
    <w:rsid w:val="00C1485A"/>
    <w:rsid w:val="00C14924"/>
    <w:rsid w:val="00C14C07"/>
    <w:rsid w:val="00C14CA8"/>
    <w:rsid w:val="00C14E18"/>
    <w:rsid w:val="00C14E63"/>
    <w:rsid w:val="00C15022"/>
    <w:rsid w:val="00C15121"/>
    <w:rsid w:val="00C151E0"/>
    <w:rsid w:val="00C15403"/>
    <w:rsid w:val="00C15600"/>
    <w:rsid w:val="00C158DA"/>
    <w:rsid w:val="00C15E34"/>
    <w:rsid w:val="00C15F06"/>
    <w:rsid w:val="00C15FF5"/>
    <w:rsid w:val="00C16490"/>
    <w:rsid w:val="00C167A5"/>
    <w:rsid w:val="00C168BF"/>
    <w:rsid w:val="00C16989"/>
    <w:rsid w:val="00C16A1E"/>
    <w:rsid w:val="00C16D51"/>
    <w:rsid w:val="00C16D6F"/>
    <w:rsid w:val="00C17211"/>
    <w:rsid w:val="00C172F3"/>
    <w:rsid w:val="00C174D4"/>
    <w:rsid w:val="00C17545"/>
    <w:rsid w:val="00C17690"/>
    <w:rsid w:val="00C1797F"/>
    <w:rsid w:val="00C17D71"/>
    <w:rsid w:val="00C17D7A"/>
    <w:rsid w:val="00C17E12"/>
    <w:rsid w:val="00C17E75"/>
    <w:rsid w:val="00C2009B"/>
    <w:rsid w:val="00C20529"/>
    <w:rsid w:val="00C20D03"/>
    <w:rsid w:val="00C20D28"/>
    <w:rsid w:val="00C20EE6"/>
    <w:rsid w:val="00C21014"/>
    <w:rsid w:val="00C2111D"/>
    <w:rsid w:val="00C215CF"/>
    <w:rsid w:val="00C217C2"/>
    <w:rsid w:val="00C21CAF"/>
    <w:rsid w:val="00C21CD6"/>
    <w:rsid w:val="00C21DDB"/>
    <w:rsid w:val="00C21E49"/>
    <w:rsid w:val="00C21F5C"/>
    <w:rsid w:val="00C22273"/>
    <w:rsid w:val="00C22366"/>
    <w:rsid w:val="00C22FFE"/>
    <w:rsid w:val="00C23096"/>
    <w:rsid w:val="00C23181"/>
    <w:rsid w:val="00C23255"/>
    <w:rsid w:val="00C234A9"/>
    <w:rsid w:val="00C236C2"/>
    <w:rsid w:val="00C23730"/>
    <w:rsid w:val="00C23963"/>
    <w:rsid w:val="00C23990"/>
    <w:rsid w:val="00C23A5C"/>
    <w:rsid w:val="00C23B1A"/>
    <w:rsid w:val="00C23B1D"/>
    <w:rsid w:val="00C23BDA"/>
    <w:rsid w:val="00C23C81"/>
    <w:rsid w:val="00C23D5F"/>
    <w:rsid w:val="00C23DE2"/>
    <w:rsid w:val="00C23E27"/>
    <w:rsid w:val="00C243ED"/>
    <w:rsid w:val="00C24733"/>
    <w:rsid w:val="00C24739"/>
    <w:rsid w:val="00C24766"/>
    <w:rsid w:val="00C24E8E"/>
    <w:rsid w:val="00C25098"/>
    <w:rsid w:val="00C252A7"/>
    <w:rsid w:val="00C2539E"/>
    <w:rsid w:val="00C25502"/>
    <w:rsid w:val="00C2570A"/>
    <w:rsid w:val="00C25715"/>
    <w:rsid w:val="00C25894"/>
    <w:rsid w:val="00C25B27"/>
    <w:rsid w:val="00C25C12"/>
    <w:rsid w:val="00C25DB0"/>
    <w:rsid w:val="00C25EC1"/>
    <w:rsid w:val="00C26044"/>
    <w:rsid w:val="00C260E2"/>
    <w:rsid w:val="00C262F4"/>
    <w:rsid w:val="00C266D4"/>
    <w:rsid w:val="00C26AB8"/>
    <w:rsid w:val="00C26C5D"/>
    <w:rsid w:val="00C26EC4"/>
    <w:rsid w:val="00C2758D"/>
    <w:rsid w:val="00C27645"/>
    <w:rsid w:val="00C27691"/>
    <w:rsid w:val="00C27DEC"/>
    <w:rsid w:val="00C305F2"/>
    <w:rsid w:val="00C307EC"/>
    <w:rsid w:val="00C30D1C"/>
    <w:rsid w:val="00C30EAB"/>
    <w:rsid w:val="00C30F04"/>
    <w:rsid w:val="00C310FB"/>
    <w:rsid w:val="00C315FC"/>
    <w:rsid w:val="00C31A32"/>
    <w:rsid w:val="00C31FCA"/>
    <w:rsid w:val="00C32280"/>
    <w:rsid w:val="00C32316"/>
    <w:rsid w:val="00C32584"/>
    <w:rsid w:val="00C33344"/>
    <w:rsid w:val="00C33608"/>
    <w:rsid w:val="00C33A39"/>
    <w:rsid w:val="00C33A87"/>
    <w:rsid w:val="00C33CFB"/>
    <w:rsid w:val="00C33E18"/>
    <w:rsid w:val="00C33E7E"/>
    <w:rsid w:val="00C33EB7"/>
    <w:rsid w:val="00C33F5F"/>
    <w:rsid w:val="00C342CA"/>
    <w:rsid w:val="00C345BF"/>
    <w:rsid w:val="00C3490D"/>
    <w:rsid w:val="00C349DA"/>
    <w:rsid w:val="00C34C43"/>
    <w:rsid w:val="00C34C70"/>
    <w:rsid w:val="00C34C90"/>
    <w:rsid w:val="00C34DD7"/>
    <w:rsid w:val="00C35317"/>
    <w:rsid w:val="00C355B3"/>
    <w:rsid w:val="00C35934"/>
    <w:rsid w:val="00C359DE"/>
    <w:rsid w:val="00C35B2F"/>
    <w:rsid w:val="00C35C12"/>
    <w:rsid w:val="00C35DC1"/>
    <w:rsid w:val="00C36257"/>
    <w:rsid w:val="00C36407"/>
    <w:rsid w:val="00C36FE5"/>
    <w:rsid w:val="00C372D2"/>
    <w:rsid w:val="00C37457"/>
    <w:rsid w:val="00C374B4"/>
    <w:rsid w:val="00C376B8"/>
    <w:rsid w:val="00C3773A"/>
    <w:rsid w:val="00C377DB"/>
    <w:rsid w:val="00C377F5"/>
    <w:rsid w:val="00C37AB7"/>
    <w:rsid w:val="00C37DAF"/>
    <w:rsid w:val="00C4000D"/>
    <w:rsid w:val="00C402C6"/>
    <w:rsid w:val="00C40343"/>
    <w:rsid w:val="00C40B1F"/>
    <w:rsid w:val="00C41722"/>
    <w:rsid w:val="00C41852"/>
    <w:rsid w:val="00C41921"/>
    <w:rsid w:val="00C41928"/>
    <w:rsid w:val="00C419C1"/>
    <w:rsid w:val="00C41ACB"/>
    <w:rsid w:val="00C41BEB"/>
    <w:rsid w:val="00C41CA9"/>
    <w:rsid w:val="00C41E06"/>
    <w:rsid w:val="00C41E51"/>
    <w:rsid w:val="00C41FB6"/>
    <w:rsid w:val="00C421D6"/>
    <w:rsid w:val="00C421E6"/>
    <w:rsid w:val="00C42953"/>
    <w:rsid w:val="00C42B51"/>
    <w:rsid w:val="00C42BA5"/>
    <w:rsid w:val="00C42C03"/>
    <w:rsid w:val="00C42EBD"/>
    <w:rsid w:val="00C440D9"/>
    <w:rsid w:val="00C441DB"/>
    <w:rsid w:val="00C4439C"/>
    <w:rsid w:val="00C4445E"/>
    <w:rsid w:val="00C446D5"/>
    <w:rsid w:val="00C44CE9"/>
    <w:rsid w:val="00C452DF"/>
    <w:rsid w:val="00C45400"/>
    <w:rsid w:val="00C45436"/>
    <w:rsid w:val="00C4573F"/>
    <w:rsid w:val="00C45933"/>
    <w:rsid w:val="00C45A97"/>
    <w:rsid w:val="00C45B99"/>
    <w:rsid w:val="00C45D63"/>
    <w:rsid w:val="00C45E8A"/>
    <w:rsid w:val="00C45F0F"/>
    <w:rsid w:val="00C46089"/>
    <w:rsid w:val="00C46109"/>
    <w:rsid w:val="00C4627F"/>
    <w:rsid w:val="00C46306"/>
    <w:rsid w:val="00C46BC1"/>
    <w:rsid w:val="00C46FC4"/>
    <w:rsid w:val="00C47202"/>
    <w:rsid w:val="00C4721E"/>
    <w:rsid w:val="00C4744B"/>
    <w:rsid w:val="00C474A0"/>
    <w:rsid w:val="00C47550"/>
    <w:rsid w:val="00C475F9"/>
    <w:rsid w:val="00C477A3"/>
    <w:rsid w:val="00C47AED"/>
    <w:rsid w:val="00C47B13"/>
    <w:rsid w:val="00C47B56"/>
    <w:rsid w:val="00C47BBA"/>
    <w:rsid w:val="00C47C54"/>
    <w:rsid w:val="00C47F40"/>
    <w:rsid w:val="00C47FD1"/>
    <w:rsid w:val="00C50268"/>
    <w:rsid w:val="00C5029E"/>
    <w:rsid w:val="00C50447"/>
    <w:rsid w:val="00C50999"/>
    <w:rsid w:val="00C50A26"/>
    <w:rsid w:val="00C50AB9"/>
    <w:rsid w:val="00C50BBC"/>
    <w:rsid w:val="00C50D44"/>
    <w:rsid w:val="00C50FA2"/>
    <w:rsid w:val="00C5127F"/>
    <w:rsid w:val="00C51516"/>
    <w:rsid w:val="00C516E8"/>
    <w:rsid w:val="00C517DC"/>
    <w:rsid w:val="00C51B60"/>
    <w:rsid w:val="00C51C62"/>
    <w:rsid w:val="00C51E86"/>
    <w:rsid w:val="00C52041"/>
    <w:rsid w:val="00C52097"/>
    <w:rsid w:val="00C52452"/>
    <w:rsid w:val="00C52C1F"/>
    <w:rsid w:val="00C52E2A"/>
    <w:rsid w:val="00C53032"/>
    <w:rsid w:val="00C531C7"/>
    <w:rsid w:val="00C5325B"/>
    <w:rsid w:val="00C5341A"/>
    <w:rsid w:val="00C535FF"/>
    <w:rsid w:val="00C5377C"/>
    <w:rsid w:val="00C538B5"/>
    <w:rsid w:val="00C53919"/>
    <w:rsid w:val="00C54071"/>
    <w:rsid w:val="00C540D4"/>
    <w:rsid w:val="00C542B9"/>
    <w:rsid w:val="00C54361"/>
    <w:rsid w:val="00C54408"/>
    <w:rsid w:val="00C5445A"/>
    <w:rsid w:val="00C545A3"/>
    <w:rsid w:val="00C546D7"/>
    <w:rsid w:val="00C54ABB"/>
    <w:rsid w:val="00C54B80"/>
    <w:rsid w:val="00C54C51"/>
    <w:rsid w:val="00C550F8"/>
    <w:rsid w:val="00C5525D"/>
    <w:rsid w:val="00C55F03"/>
    <w:rsid w:val="00C56109"/>
    <w:rsid w:val="00C5614A"/>
    <w:rsid w:val="00C5655F"/>
    <w:rsid w:val="00C56BCA"/>
    <w:rsid w:val="00C57067"/>
    <w:rsid w:val="00C5740C"/>
    <w:rsid w:val="00C57539"/>
    <w:rsid w:val="00C57644"/>
    <w:rsid w:val="00C57733"/>
    <w:rsid w:val="00C57A71"/>
    <w:rsid w:val="00C57D91"/>
    <w:rsid w:val="00C57FED"/>
    <w:rsid w:val="00C60421"/>
    <w:rsid w:val="00C60669"/>
    <w:rsid w:val="00C606DD"/>
    <w:rsid w:val="00C607DC"/>
    <w:rsid w:val="00C6087F"/>
    <w:rsid w:val="00C60B66"/>
    <w:rsid w:val="00C60C1E"/>
    <w:rsid w:val="00C60CF3"/>
    <w:rsid w:val="00C612DB"/>
    <w:rsid w:val="00C6134F"/>
    <w:rsid w:val="00C6151C"/>
    <w:rsid w:val="00C61AC6"/>
    <w:rsid w:val="00C61D2B"/>
    <w:rsid w:val="00C61FF7"/>
    <w:rsid w:val="00C630DB"/>
    <w:rsid w:val="00C6335F"/>
    <w:rsid w:val="00C633D2"/>
    <w:rsid w:val="00C6361C"/>
    <w:rsid w:val="00C6362D"/>
    <w:rsid w:val="00C63B7E"/>
    <w:rsid w:val="00C63E50"/>
    <w:rsid w:val="00C6435C"/>
    <w:rsid w:val="00C6439D"/>
    <w:rsid w:val="00C64604"/>
    <w:rsid w:val="00C646F0"/>
    <w:rsid w:val="00C64AFF"/>
    <w:rsid w:val="00C64E23"/>
    <w:rsid w:val="00C6529D"/>
    <w:rsid w:val="00C65462"/>
    <w:rsid w:val="00C656C7"/>
    <w:rsid w:val="00C65A6C"/>
    <w:rsid w:val="00C65AC7"/>
    <w:rsid w:val="00C65D47"/>
    <w:rsid w:val="00C65E92"/>
    <w:rsid w:val="00C65F8B"/>
    <w:rsid w:val="00C66174"/>
    <w:rsid w:val="00C661E6"/>
    <w:rsid w:val="00C6622E"/>
    <w:rsid w:val="00C663B6"/>
    <w:rsid w:val="00C6662D"/>
    <w:rsid w:val="00C66728"/>
    <w:rsid w:val="00C669A8"/>
    <w:rsid w:val="00C6715B"/>
    <w:rsid w:val="00C67842"/>
    <w:rsid w:val="00C678F4"/>
    <w:rsid w:val="00C6796E"/>
    <w:rsid w:val="00C67C68"/>
    <w:rsid w:val="00C67CF4"/>
    <w:rsid w:val="00C7006C"/>
    <w:rsid w:val="00C702C7"/>
    <w:rsid w:val="00C70552"/>
    <w:rsid w:val="00C70731"/>
    <w:rsid w:val="00C707DE"/>
    <w:rsid w:val="00C70C20"/>
    <w:rsid w:val="00C70CB4"/>
    <w:rsid w:val="00C70F0F"/>
    <w:rsid w:val="00C711D1"/>
    <w:rsid w:val="00C7136C"/>
    <w:rsid w:val="00C71797"/>
    <w:rsid w:val="00C720A7"/>
    <w:rsid w:val="00C72134"/>
    <w:rsid w:val="00C725C6"/>
    <w:rsid w:val="00C7271F"/>
    <w:rsid w:val="00C727DB"/>
    <w:rsid w:val="00C7288B"/>
    <w:rsid w:val="00C72C05"/>
    <w:rsid w:val="00C72CFE"/>
    <w:rsid w:val="00C72EE4"/>
    <w:rsid w:val="00C7306E"/>
    <w:rsid w:val="00C73174"/>
    <w:rsid w:val="00C73746"/>
    <w:rsid w:val="00C73A53"/>
    <w:rsid w:val="00C73D31"/>
    <w:rsid w:val="00C73F57"/>
    <w:rsid w:val="00C73FEC"/>
    <w:rsid w:val="00C7429C"/>
    <w:rsid w:val="00C74385"/>
    <w:rsid w:val="00C74867"/>
    <w:rsid w:val="00C74BE9"/>
    <w:rsid w:val="00C74F2D"/>
    <w:rsid w:val="00C74F70"/>
    <w:rsid w:val="00C74FED"/>
    <w:rsid w:val="00C750F2"/>
    <w:rsid w:val="00C75462"/>
    <w:rsid w:val="00C754FC"/>
    <w:rsid w:val="00C7556F"/>
    <w:rsid w:val="00C758FE"/>
    <w:rsid w:val="00C75AAD"/>
    <w:rsid w:val="00C75DA1"/>
    <w:rsid w:val="00C75E12"/>
    <w:rsid w:val="00C76218"/>
    <w:rsid w:val="00C762EB"/>
    <w:rsid w:val="00C764CD"/>
    <w:rsid w:val="00C76758"/>
    <w:rsid w:val="00C76919"/>
    <w:rsid w:val="00C76B07"/>
    <w:rsid w:val="00C771C0"/>
    <w:rsid w:val="00C771FA"/>
    <w:rsid w:val="00C77342"/>
    <w:rsid w:val="00C776AD"/>
    <w:rsid w:val="00C776D1"/>
    <w:rsid w:val="00C800FA"/>
    <w:rsid w:val="00C804A5"/>
    <w:rsid w:val="00C80598"/>
    <w:rsid w:val="00C80855"/>
    <w:rsid w:val="00C809B7"/>
    <w:rsid w:val="00C80A9B"/>
    <w:rsid w:val="00C80B9B"/>
    <w:rsid w:val="00C80EDE"/>
    <w:rsid w:val="00C81097"/>
    <w:rsid w:val="00C811CD"/>
    <w:rsid w:val="00C815C2"/>
    <w:rsid w:val="00C81889"/>
    <w:rsid w:val="00C819D3"/>
    <w:rsid w:val="00C81B5A"/>
    <w:rsid w:val="00C81EB5"/>
    <w:rsid w:val="00C81FA2"/>
    <w:rsid w:val="00C82256"/>
    <w:rsid w:val="00C8241F"/>
    <w:rsid w:val="00C8267A"/>
    <w:rsid w:val="00C82768"/>
    <w:rsid w:val="00C82875"/>
    <w:rsid w:val="00C82E5F"/>
    <w:rsid w:val="00C82EAB"/>
    <w:rsid w:val="00C83005"/>
    <w:rsid w:val="00C8319C"/>
    <w:rsid w:val="00C83245"/>
    <w:rsid w:val="00C83347"/>
    <w:rsid w:val="00C83AB0"/>
    <w:rsid w:val="00C83D43"/>
    <w:rsid w:val="00C83F76"/>
    <w:rsid w:val="00C843F3"/>
    <w:rsid w:val="00C84445"/>
    <w:rsid w:val="00C84501"/>
    <w:rsid w:val="00C8451E"/>
    <w:rsid w:val="00C847B2"/>
    <w:rsid w:val="00C84A9A"/>
    <w:rsid w:val="00C850F7"/>
    <w:rsid w:val="00C851AC"/>
    <w:rsid w:val="00C857A5"/>
    <w:rsid w:val="00C85897"/>
    <w:rsid w:val="00C85A65"/>
    <w:rsid w:val="00C85B54"/>
    <w:rsid w:val="00C85BB0"/>
    <w:rsid w:val="00C85C0C"/>
    <w:rsid w:val="00C85C72"/>
    <w:rsid w:val="00C85E04"/>
    <w:rsid w:val="00C86098"/>
    <w:rsid w:val="00C862E1"/>
    <w:rsid w:val="00C863EB"/>
    <w:rsid w:val="00C86533"/>
    <w:rsid w:val="00C8660A"/>
    <w:rsid w:val="00C86672"/>
    <w:rsid w:val="00C8679E"/>
    <w:rsid w:val="00C8685A"/>
    <w:rsid w:val="00C86A59"/>
    <w:rsid w:val="00C86AC2"/>
    <w:rsid w:val="00C86B30"/>
    <w:rsid w:val="00C86C99"/>
    <w:rsid w:val="00C86F9A"/>
    <w:rsid w:val="00C8703B"/>
    <w:rsid w:val="00C8716E"/>
    <w:rsid w:val="00C87AC7"/>
    <w:rsid w:val="00C87BE3"/>
    <w:rsid w:val="00C87E2D"/>
    <w:rsid w:val="00C87EF3"/>
    <w:rsid w:val="00C87FA0"/>
    <w:rsid w:val="00C902FD"/>
    <w:rsid w:val="00C903B9"/>
    <w:rsid w:val="00C9049C"/>
    <w:rsid w:val="00C90693"/>
    <w:rsid w:val="00C906C7"/>
    <w:rsid w:val="00C90A7D"/>
    <w:rsid w:val="00C90CC9"/>
    <w:rsid w:val="00C9125C"/>
    <w:rsid w:val="00C91656"/>
    <w:rsid w:val="00C91A09"/>
    <w:rsid w:val="00C91D5B"/>
    <w:rsid w:val="00C9215E"/>
    <w:rsid w:val="00C9219E"/>
    <w:rsid w:val="00C9221B"/>
    <w:rsid w:val="00C923D9"/>
    <w:rsid w:val="00C92498"/>
    <w:rsid w:val="00C92539"/>
    <w:rsid w:val="00C92676"/>
    <w:rsid w:val="00C928B6"/>
    <w:rsid w:val="00C9296F"/>
    <w:rsid w:val="00C929AD"/>
    <w:rsid w:val="00C92C42"/>
    <w:rsid w:val="00C92FEC"/>
    <w:rsid w:val="00C93096"/>
    <w:rsid w:val="00C93156"/>
    <w:rsid w:val="00C934D6"/>
    <w:rsid w:val="00C93586"/>
    <w:rsid w:val="00C936FF"/>
    <w:rsid w:val="00C94048"/>
    <w:rsid w:val="00C943A0"/>
    <w:rsid w:val="00C94658"/>
    <w:rsid w:val="00C94B38"/>
    <w:rsid w:val="00C94B95"/>
    <w:rsid w:val="00C950BD"/>
    <w:rsid w:val="00C95258"/>
    <w:rsid w:val="00C953DA"/>
    <w:rsid w:val="00C958D3"/>
    <w:rsid w:val="00C959E8"/>
    <w:rsid w:val="00C95AA3"/>
    <w:rsid w:val="00C95C35"/>
    <w:rsid w:val="00C95E1C"/>
    <w:rsid w:val="00C95F35"/>
    <w:rsid w:val="00C960E9"/>
    <w:rsid w:val="00C9611C"/>
    <w:rsid w:val="00C9616C"/>
    <w:rsid w:val="00C96381"/>
    <w:rsid w:val="00C964C1"/>
    <w:rsid w:val="00C964D4"/>
    <w:rsid w:val="00C964F0"/>
    <w:rsid w:val="00C96B5B"/>
    <w:rsid w:val="00C96ED5"/>
    <w:rsid w:val="00C96FB6"/>
    <w:rsid w:val="00C97500"/>
    <w:rsid w:val="00C9765F"/>
    <w:rsid w:val="00C97A71"/>
    <w:rsid w:val="00C97C1E"/>
    <w:rsid w:val="00C97D9C"/>
    <w:rsid w:val="00C97DDF"/>
    <w:rsid w:val="00CA00E0"/>
    <w:rsid w:val="00CA0147"/>
    <w:rsid w:val="00CA0179"/>
    <w:rsid w:val="00CA01CE"/>
    <w:rsid w:val="00CA02C6"/>
    <w:rsid w:val="00CA0490"/>
    <w:rsid w:val="00CA06E5"/>
    <w:rsid w:val="00CA0756"/>
    <w:rsid w:val="00CA0796"/>
    <w:rsid w:val="00CA0A53"/>
    <w:rsid w:val="00CA0CDA"/>
    <w:rsid w:val="00CA10DD"/>
    <w:rsid w:val="00CA1144"/>
    <w:rsid w:val="00CA12D5"/>
    <w:rsid w:val="00CA16CE"/>
    <w:rsid w:val="00CA18F2"/>
    <w:rsid w:val="00CA1AB2"/>
    <w:rsid w:val="00CA1B8F"/>
    <w:rsid w:val="00CA1BD4"/>
    <w:rsid w:val="00CA1C04"/>
    <w:rsid w:val="00CA1EFF"/>
    <w:rsid w:val="00CA2019"/>
    <w:rsid w:val="00CA2194"/>
    <w:rsid w:val="00CA22F3"/>
    <w:rsid w:val="00CA273D"/>
    <w:rsid w:val="00CA2756"/>
    <w:rsid w:val="00CA29B3"/>
    <w:rsid w:val="00CA2A83"/>
    <w:rsid w:val="00CA30EB"/>
    <w:rsid w:val="00CA3168"/>
    <w:rsid w:val="00CA316E"/>
    <w:rsid w:val="00CA3221"/>
    <w:rsid w:val="00CA34ED"/>
    <w:rsid w:val="00CA36CB"/>
    <w:rsid w:val="00CA37C4"/>
    <w:rsid w:val="00CA39FC"/>
    <w:rsid w:val="00CA3C83"/>
    <w:rsid w:val="00CA3F36"/>
    <w:rsid w:val="00CA3F5B"/>
    <w:rsid w:val="00CA3FDD"/>
    <w:rsid w:val="00CA41CD"/>
    <w:rsid w:val="00CA4859"/>
    <w:rsid w:val="00CA4882"/>
    <w:rsid w:val="00CA4BBF"/>
    <w:rsid w:val="00CA4C48"/>
    <w:rsid w:val="00CA4D43"/>
    <w:rsid w:val="00CA4DE4"/>
    <w:rsid w:val="00CA4E46"/>
    <w:rsid w:val="00CA4E4F"/>
    <w:rsid w:val="00CA4E63"/>
    <w:rsid w:val="00CA52B4"/>
    <w:rsid w:val="00CA5394"/>
    <w:rsid w:val="00CA57E7"/>
    <w:rsid w:val="00CA5A89"/>
    <w:rsid w:val="00CA5B05"/>
    <w:rsid w:val="00CA5B91"/>
    <w:rsid w:val="00CA5D9C"/>
    <w:rsid w:val="00CA605C"/>
    <w:rsid w:val="00CA6155"/>
    <w:rsid w:val="00CA61A0"/>
    <w:rsid w:val="00CA61F4"/>
    <w:rsid w:val="00CA6324"/>
    <w:rsid w:val="00CA638C"/>
    <w:rsid w:val="00CA64D0"/>
    <w:rsid w:val="00CA664A"/>
    <w:rsid w:val="00CA66AD"/>
    <w:rsid w:val="00CA66ED"/>
    <w:rsid w:val="00CA6785"/>
    <w:rsid w:val="00CA6E3B"/>
    <w:rsid w:val="00CA6E98"/>
    <w:rsid w:val="00CA6EE0"/>
    <w:rsid w:val="00CA6F57"/>
    <w:rsid w:val="00CA70F7"/>
    <w:rsid w:val="00CA74CF"/>
    <w:rsid w:val="00CA76C4"/>
    <w:rsid w:val="00CA784D"/>
    <w:rsid w:val="00CA7CEC"/>
    <w:rsid w:val="00CA7E22"/>
    <w:rsid w:val="00CA7ECB"/>
    <w:rsid w:val="00CB01AF"/>
    <w:rsid w:val="00CB08A2"/>
    <w:rsid w:val="00CB0A6B"/>
    <w:rsid w:val="00CB0B9C"/>
    <w:rsid w:val="00CB0FD0"/>
    <w:rsid w:val="00CB1073"/>
    <w:rsid w:val="00CB13F5"/>
    <w:rsid w:val="00CB1442"/>
    <w:rsid w:val="00CB15F4"/>
    <w:rsid w:val="00CB1DF4"/>
    <w:rsid w:val="00CB23B8"/>
    <w:rsid w:val="00CB2442"/>
    <w:rsid w:val="00CB2447"/>
    <w:rsid w:val="00CB24CB"/>
    <w:rsid w:val="00CB2545"/>
    <w:rsid w:val="00CB25E9"/>
    <w:rsid w:val="00CB2C60"/>
    <w:rsid w:val="00CB2CB8"/>
    <w:rsid w:val="00CB2D12"/>
    <w:rsid w:val="00CB2FAF"/>
    <w:rsid w:val="00CB35D7"/>
    <w:rsid w:val="00CB3640"/>
    <w:rsid w:val="00CB37DE"/>
    <w:rsid w:val="00CB388E"/>
    <w:rsid w:val="00CB3AEA"/>
    <w:rsid w:val="00CB3C4C"/>
    <w:rsid w:val="00CB3EEB"/>
    <w:rsid w:val="00CB4A6F"/>
    <w:rsid w:val="00CB4D15"/>
    <w:rsid w:val="00CB5041"/>
    <w:rsid w:val="00CB52D3"/>
    <w:rsid w:val="00CB553D"/>
    <w:rsid w:val="00CB564A"/>
    <w:rsid w:val="00CB57C7"/>
    <w:rsid w:val="00CB5E45"/>
    <w:rsid w:val="00CB6150"/>
    <w:rsid w:val="00CB68FC"/>
    <w:rsid w:val="00CB6DE5"/>
    <w:rsid w:val="00CB7261"/>
    <w:rsid w:val="00CB74DE"/>
    <w:rsid w:val="00CB7753"/>
    <w:rsid w:val="00CB7C6C"/>
    <w:rsid w:val="00CB7C6F"/>
    <w:rsid w:val="00CB7D39"/>
    <w:rsid w:val="00CB7EAD"/>
    <w:rsid w:val="00CB7F1E"/>
    <w:rsid w:val="00CC0353"/>
    <w:rsid w:val="00CC05F7"/>
    <w:rsid w:val="00CC0797"/>
    <w:rsid w:val="00CC0B2E"/>
    <w:rsid w:val="00CC0C35"/>
    <w:rsid w:val="00CC0D86"/>
    <w:rsid w:val="00CC0E9F"/>
    <w:rsid w:val="00CC0F76"/>
    <w:rsid w:val="00CC1020"/>
    <w:rsid w:val="00CC139B"/>
    <w:rsid w:val="00CC1CCE"/>
    <w:rsid w:val="00CC1D41"/>
    <w:rsid w:val="00CC1D45"/>
    <w:rsid w:val="00CC1D52"/>
    <w:rsid w:val="00CC1DE4"/>
    <w:rsid w:val="00CC2146"/>
    <w:rsid w:val="00CC21C4"/>
    <w:rsid w:val="00CC23B0"/>
    <w:rsid w:val="00CC29AF"/>
    <w:rsid w:val="00CC29C9"/>
    <w:rsid w:val="00CC2A1A"/>
    <w:rsid w:val="00CC2AB1"/>
    <w:rsid w:val="00CC2B0F"/>
    <w:rsid w:val="00CC2DBC"/>
    <w:rsid w:val="00CC2F96"/>
    <w:rsid w:val="00CC3047"/>
    <w:rsid w:val="00CC3052"/>
    <w:rsid w:val="00CC3499"/>
    <w:rsid w:val="00CC35D3"/>
    <w:rsid w:val="00CC360B"/>
    <w:rsid w:val="00CC36EA"/>
    <w:rsid w:val="00CC3709"/>
    <w:rsid w:val="00CC39C9"/>
    <w:rsid w:val="00CC3A95"/>
    <w:rsid w:val="00CC3E41"/>
    <w:rsid w:val="00CC3F6F"/>
    <w:rsid w:val="00CC3FA4"/>
    <w:rsid w:val="00CC4080"/>
    <w:rsid w:val="00CC40B8"/>
    <w:rsid w:val="00CC4179"/>
    <w:rsid w:val="00CC42C9"/>
    <w:rsid w:val="00CC42F1"/>
    <w:rsid w:val="00CC4A98"/>
    <w:rsid w:val="00CC4B17"/>
    <w:rsid w:val="00CC4C4F"/>
    <w:rsid w:val="00CC4F50"/>
    <w:rsid w:val="00CC5268"/>
    <w:rsid w:val="00CC539B"/>
    <w:rsid w:val="00CC557C"/>
    <w:rsid w:val="00CC56A5"/>
    <w:rsid w:val="00CC5788"/>
    <w:rsid w:val="00CC595E"/>
    <w:rsid w:val="00CC5E1A"/>
    <w:rsid w:val="00CC5E8F"/>
    <w:rsid w:val="00CC5F9F"/>
    <w:rsid w:val="00CC6138"/>
    <w:rsid w:val="00CC65FD"/>
    <w:rsid w:val="00CC670F"/>
    <w:rsid w:val="00CC6906"/>
    <w:rsid w:val="00CC6951"/>
    <w:rsid w:val="00CC6A1A"/>
    <w:rsid w:val="00CC6F6A"/>
    <w:rsid w:val="00CC702D"/>
    <w:rsid w:val="00CC7525"/>
    <w:rsid w:val="00CC75C4"/>
    <w:rsid w:val="00CC75FD"/>
    <w:rsid w:val="00CC7B51"/>
    <w:rsid w:val="00CC7C91"/>
    <w:rsid w:val="00CD0109"/>
    <w:rsid w:val="00CD06F1"/>
    <w:rsid w:val="00CD086B"/>
    <w:rsid w:val="00CD0966"/>
    <w:rsid w:val="00CD0969"/>
    <w:rsid w:val="00CD0979"/>
    <w:rsid w:val="00CD09A0"/>
    <w:rsid w:val="00CD1169"/>
    <w:rsid w:val="00CD1451"/>
    <w:rsid w:val="00CD1587"/>
    <w:rsid w:val="00CD16F3"/>
    <w:rsid w:val="00CD19E7"/>
    <w:rsid w:val="00CD1B83"/>
    <w:rsid w:val="00CD1CA3"/>
    <w:rsid w:val="00CD1ED3"/>
    <w:rsid w:val="00CD1F6F"/>
    <w:rsid w:val="00CD27C7"/>
    <w:rsid w:val="00CD27F1"/>
    <w:rsid w:val="00CD2891"/>
    <w:rsid w:val="00CD29A2"/>
    <w:rsid w:val="00CD2C09"/>
    <w:rsid w:val="00CD303C"/>
    <w:rsid w:val="00CD3198"/>
    <w:rsid w:val="00CD31AF"/>
    <w:rsid w:val="00CD394E"/>
    <w:rsid w:val="00CD3A0D"/>
    <w:rsid w:val="00CD3C46"/>
    <w:rsid w:val="00CD41BA"/>
    <w:rsid w:val="00CD4347"/>
    <w:rsid w:val="00CD441B"/>
    <w:rsid w:val="00CD48B3"/>
    <w:rsid w:val="00CD4AEE"/>
    <w:rsid w:val="00CD4D0A"/>
    <w:rsid w:val="00CD4EA1"/>
    <w:rsid w:val="00CD4F31"/>
    <w:rsid w:val="00CD5000"/>
    <w:rsid w:val="00CD50FA"/>
    <w:rsid w:val="00CD5B58"/>
    <w:rsid w:val="00CD5BBA"/>
    <w:rsid w:val="00CD5BD1"/>
    <w:rsid w:val="00CD5C13"/>
    <w:rsid w:val="00CD5C2F"/>
    <w:rsid w:val="00CD5ED4"/>
    <w:rsid w:val="00CD6256"/>
    <w:rsid w:val="00CD6274"/>
    <w:rsid w:val="00CD64A7"/>
    <w:rsid w:val="00CD6866"/>
    <w:rsid w:val="00CD6981"/>
    <w:rsid w:val="00CD6B28"/>
    <w:rsid w:val="00CD6F30"/>
    <w:rsid w:val="00CD6F7B"/>
    <w:rsid w:val="00CD700B"/>
    <w:rsid w:val="00CD7119"/>
    <w:rsid w:val="00CD71E9"/>
    <w:rsid w:val="00CD750C"/>
    <w:rsid w:val="00CD757C"/>
    <w:rsid w:val="00CD75C6"/>
    <w:rsid w:val="00CD761D"/>
    <w:rsid w:val="00CD7C99"/>
    <w:rsid w:val="00CD7E42"/>
    <w:rsid w:val="00CD7E79"/>
    <w:rsid w:val="00CD7F4F"/>
    <w:rsid w:val="00CD7F51"/>
    <w:rsid w:val="00CE0308"/>
    <w:rsid w:val="00CE0505"/>
    <w:rsid w:val="00CE07B7"/>
    <w:rsid w:val="00CE07D5"/>
    <w:rsid w:val="00CE081C"/>
    <w:rsid w:val="00CE0AEB"/>
    <w:rsid w:val="00CE0CEB"/>
    <w:rsid w:val="00CE1463"/>
    <w:rsid w:val="00CE1744"/>
    <w:rsid w:val="00CE187A"/>
    <w:rsid w:val="00CE18DF"/>
    <w:rsid w:val="00CE1AC1"/>
    <w:rsid w:val="00CE1BBC"/>
    <w:rsid w:val="00CE1D9F"/>
    <w:rsid w:val="00CE22E2"/>
    <w:rsid w:val="00CE2508"/>
    <w:rsid w:val="00CE25DB"/>
    <w:rsid w:val="00CE2BBE"/>
    <w:rsid w:val="00CE2CD9"/>
    <w:rsid w:val="00CE396E"/>
    <w:rsid w:val="00CE3B51"/>
    <w:rsid w:val="00CE3D7C"/>
    <w:rsid w:val="00CE3F0F"/>
    <w:rsid w:val="00CE4278"/>
    <w:rsid w:val="00CE44D4"/>
    <w:rsid w:val="00CE454B"/>
    <w:rsid w:val="00CE47FE"/>
    <w:rsid w:val="00CE4A18"/>
    <w:rsid w:val="00CE4A81"/>
    <w:rsid w:val="00CE5914"/>
    <w:rsid w:val="00CE5A60"/>
    <w:rsid w:val="00CE5BC3"/>
    <w:rsid w:val="00CE5EEA"/>
    <w:rsid w:val="00CE5F15"/>
    <w:rsid w:val="00CE5FA2"/>
    <w:rsid w:val="00CE60D4"/>
    <w:rsid w:val="00CE6550"/>
    <w:rsid w:val="00CE7176"/>
    <w:rsid w:val="00CE74DD"/>
    <w:rsid w:val="00CE74ED"/>
    <w:rsid w:val="00CE7678"/>
    <w:rsid w:val="00CE7A30"/>
    <w:rsid w:val="00CE7F55"/>
    <w:rsid w:val="00CE7FB5"/>
    <w:rsid w:val="00CF03B3"/>
    <w:rsid w:val="00CF05D5"/>
    <w:rsid w:val="00CF060A"/>
    <w:rsid w:val="00CF06E9"/>
    <w:rsid w:val="00CF0739"/>
    <w:rsid w:val="00CF0856"/>
    <w:rsid w:val="00CF0EFA"/>
    <w:rsid w:val="00CF1207"/>
    <w:rsid w:val="00CF139A"/>
    <w:rsid w:val="00CF15E8"/>
    <w:rsid w:val="00CF1609"/>
    <w:rsid w:val="00CF1667"/>
    <w:rsid w:val="00CF1B9F"/>
    <w:rsid w:val="00CF227D"/>
    <w:rsid w:val="00CF22C2"/>
    <w:rsid w:val="00CF22EF"/>
    <w:rsid w:val="00CF23CD"/>
    <w:rsid w:val="00CF23E1"/>
    <w:rsid w:val="00CF25C0"/>
    <w:rsid w:val="00CF25E5"/>
    <w:rsid w:val="00CF26D0"/>
    <w:rsid w:val="00CF27F8"/>
    <w:rsid w:val="00CF2AC8"/>
    <w:rsid w:val="00CF2D17"/>
    <w:rsid w:val="00CF34AA"/>
    <w:rsid w:val="00CF3796"/>
    <w:rsid w:val="00CF39D1"/>
    <w:rsid w:val="00CF3CA4"/>
    <w:rsid w:val="00CF3E13"/>
    <w:rsid w:val="00CF3E73"/>
    <w:rsid w:val="00CF3E7E"/>
    <w:rsid w:val="00CF4315"/>
    <w:rsid w:val="00CF435D"/>
    <w:rsid w:val="00CF46E8"/>
    <w:rsid w:val="00CF4B00"/>
    <w:rsid w:val="00CF4D9F"/>
    <w:rsid w:val="00CF546E"/>
    <w:rsid w:val="00CF56B8"/>
    <w:rsid w:val="00CF5DFE"/>
    <w:rsid w:val="00CF5E1A"/>
    <w:rsid w:val="00CF61DC"/>
    <w:rsid w:val="00CF62F5"/>
    <w:rsid w:val="00CF6357"/>
    <w:rsid w:val="00CF639C"/>
    <w:rsid w:val="00CF6773"/>
    <w:rsid w:val="00CF6787"/>
    <w:rsid w:val="00CF6795"/>
    <w:rsid w:val="00CF6998"/>
    <w:rsid w:val="00CF6A83"/>
    <w:rsid w:val="00CF6CB9"/>
    <w:rsid w:val="00CF72C9"/>
    <w:rsid w:val="00CF7659"/>
    <w:rsid w:val="00CF78FE"/>
    <w:rsid w:val="00CF7984"/>
    <w:rsid w:val="00CF7D36"/>
    <w:rsid w:val="00CF7F4E"/>
    <w:rsid w:val="00CF7F7F"/>
    <w:rsid w:val="00D0009D"/>
    <w:rsid w:val="00D0023B"/>
    <w:rsid w:val="00D003CB"/>
    <w:rsid w:val="00D006E0"/>
    <w:rsid w:val="00D00991"/>
    <w:rsid w:val="00D009E2"/>
    <w:rsid w:val="00D00E0C"/>
    <w:rsid w:val="00D00E88"/>
    <w:rsid w:val="00D00EB0"/>
    <w:rsid w:val="00D00ECD"/>
    <w:rsid w:val="00D01239"/>
    <w:rsid w:val="00D012E6"/>
    <w:rsid w:val="00D013F0"/>
    <w:rsid w:val="00D015B8"/>
    <w:rsid w:val="00D016A4"/>
    <w:rsid w:val="00D01B37"/>
    <w:rsid w:val="00D01C58"/>
    <w:rsid w:val="00D021C4"/>
    <w:rsid w:val="00D02393"/>
    <w:rsid w:val="00D0291E"/>
    <w:rsid w:val="00D02964"/>
    <w:rsid w:val="00D02C76"/>
    <w:rsid w:val="00D02D50"/>
    <w:rsid w:val="00D03496"/>
    <w:rsid w:val="00D0358B"/>
    <w:rsid w:val="00D03675"/>
    <w:rsid w:val="00D039CD"/>
    <w:rsid w:val="00D03A7C"/>
    <w:rsid w:val="00D0411D"/>
    <w:rsid w:val="00D041CA"/>
    <w:rsid w:val="00D04515"/>
    <w:rsid w:val="00D04671"/>
    <w:rsid w:val="00D046D3"/>
    <w:rsid w:val="00D04811"/>
    <w:rsid w:val="00D04886"/>
    <w:rsid w:val="00D04CC3"/>
    <w:rsid w:val="00D04FC3"/>
    <w:rsid w:val="00D050ED"/>
    <w:rsid w:val="00D051AB"/>
    <w:rsid w:val="00D0569D"/>
    <w:rsid w:val="00D058C4"/>
    <w:rsid w:val="00D058FD"/>
    <w:rsid w:val="00D05E2B"/>
    <w:rsid w:val="00D05EDE"/>
    <w:rsid w:val="00D06055"/>
    <w:rsid w:val="00D0636E"/>
    <w:rsid w:val="00D0661C"/>
    <w:rsid w:val="00D06943"/>
    <w:rsid w:val="00D06C35"/>
    <w:rsid w:val="00D06D95"/>
    <w:rsid w:val="00D06E3E"/>
    <w:rsid w:val="00D0713C"/>
    <w:rsid w:val="00D07481"/>
    <w:rsid w:val="00D0784C"/>
    <w:rsid w:val="00D078EC"/>
    <w:rsid w:val="00D0792F"/>
    <w:rsid w:val="00D07A48"/>
    <w:rsid w:val="00D07B7C"/>
    <w:rsid w:val="00D07C78"/>
    <w:rsid w:val="00D07D59"/>
    <w:rsid w:val="00D10A0A"/>
    <w:rsid w:val="00D10A15"/>
    <w:rsid w:val="00D10D12"/>
    <w:rsid w:val="00D10E14"/>
    <w:rsid w:val="00D10EDA"/>
    <w:rsid w:val="00D110DF"/>
    <w:rsid w:val="00D112E8"/>
    <w:rsid w:val="00D11449"/>
    <w:rsid w:val="00D11456"/>
    <w:rsid w:val="00D116DC"/>
    <w:rsid w:val="00D1178E"/>
    <w:rsid w:val="00D11790"/>
    <w:rsid w:val="00D11ADD"/>
    <w:rsid w:val="00D11CFD"/>
    <w:rsid w:val="00D11DAE"/>
    <w:rsid w:val="00D1279C"/>
    <w:rsid w:val="00D12947"/>
    <w:rsid w:val="00D1308C"/>
    <w:rsid w:val="00D133A2"/>
    <w:rsid w:val="00D13735"/>
    <w:rsid w:val="00D13952"/>
    <w:rsid w:val="00D139FB"/>
    <w:rsid w:val="00D13E3B"/>
    <w:rsid w:val="00D13EA6"/>
    <w:rsid w:val="00D1423E"/>
    <w:rsid w:val="00D14989"/>
    <w:rsid w:val="00D149EC"/>
    <w:rsid w:val="00D14E4F"/>
    <w:rsid w:val="00D151FC"/>
    <w:rsid w:val="00D15267"/>
    <w:rsid w:val="00D152E0"/>
    <w:rsid w:val="00D15420"/>
    <w:rsid w:val="00D15731"/>
    <w:rsid w:val="00D15C2C"/>
    <w:rsid w:val="00D1619E"/>
    <w:rsid w:val="00D164BB"/>
    <w:rsid w:val="00D16511"/>
    <w:rsid w:val="00D16938"/>
    <w:rsid w:val="00D16CDF"/>
    <w:rsid w:val="00D16CF8"/>
    <w:rsid w:val="00D16D2D"/>
    <w:rsid w:val="00D16FE7"/>
    <w:rsid w:val="00D17232"/>
    <w:rsid w:val="00D1754F"/>
    <w:rsid w:val="00D175C3"/>
    <w:rsid w:val="00D17890"/>
    <w:rsid w:val="00D17925"/>
    <w:rsid w:val="00D17B0C"/>
    <w:rsid w:val="00D17CBD"/>
    <w:rsid w:val="00D17D4D"/>
    <w:rsid w:val="00D17FD0"/>
    <w:rsid w:val="00D2020C"/>
    <w:rsid w:val="00D202B6"/>
    <w:rsid w:val="00D20447"/>
    <w:rsid w:val="00D20491"/>
    <w:rsid w:val="00D206CF"/>
    <w:rsid w:val="00D208B7"/>
    <w:rsid w:val="00D20B45"/>
    <w:rsid w:val="00D20EBF"/>
    <w:rsid w:val="00D21056"/>
    <w:rsid w:val="00D2110C"/>
    <w:rsid w:val="00D216A1"/>
    <w:rsid w:val="00D21926"/>
    <w:rsid w:val="00D219D5"/>
    <w:rsid w:val="00D21C90"/>
    <w:rsid w:val="00D21FBE"/>
    <w:rsid w:val="00D2202D"/>
    <w:rsid w:val="00D22216"/>
    <w:rsid w:val="00D223EE"/>
    <w:rsid w:val="00D22993"/>
    <w:rsid w:val="00D22C49"/>
    <w:rsid w:val="00D22EDC"/>
    <w:rsid w:val="00D23008"/>
    <w:rsid w:val="00D2305C"/>
    <w:rsid w:val="00D231BD"/>
    <w:rsid w:val="00D236E8"/>
    <w:rsid w:val="00D23935"/>
    <w:rsid w:val="00D239CA"/>
    <w:rsid w:val="00D23D08"/>
    <w:rsid w:val="00D23DC2"/>
    <w:rsid w:val="00D23DCD"/>
    <w:rsid w:val="00D23FED"/>
    <w:rsid w:val="00D2427C"/>
    <w:rsid w:val="00D24491"/>
    <w:rsid w:val="00D2469E"/>
    <w:rsid w:val="00D24870"/>
    <w:rsid w:val="00D25050"/>
    <w:rsid w:val="00D25118"/>
    <w:rsid w:val="00D2528F"/>
    <w:rsid w:val="00D2551B"/>
    <w:rsid w:val="00D257BD"/>
    <w:rsid w:val="00D25A82"/>
    <w:rsid w:val="00D25B1D"/>
    <w:rsid w:val="00D25C06"/>
    <w:rsid w:val="00D25E26"/>
    <w:rsid w:val="00D2603D"/>
    <w:rsid w:val="00D260EC"/>
    <w:rsid w:val="00D26304"/>
    <w:rsid w:val="00D26371"/>
    <w:rsid w:val="00D2655C"/>
    <w:rsid w:val="00D26737"/>
    <w:rsid w:val="00D267A7"/>
    <w:rsid w:val="00D27076"/>
    <w:rsid w:val="00D27098"/>
    <w:rsid w:val="00D270A2"/>
    <w:rsid w:val="00D277A3"/>
    <w:rsid w:val="00D278D8"/>
    <w:rsid w:val="00D27B73"/>
    <w:rsid w:val="00D27D1A"/>
    <w:rsid w:val="00D27EB3"/>
    <w:rsid w:val="00D27ECF"/>
    <w:rsid w:val="00D300E7"/>
    <w:rsid w:val="00D303C0"/>
    <w:rsid w:val="00D3040E"/>
    <w:rsid w:val="00D304A9"/>
    <w:rsid w:val="00D305A0"/>
    <w:rsid w:val="00D30A99"/>
    <w:rsid w:val="00D30DC6"/>
    <w:rsid w:val="00D314DF"/>
    <w:rsid w:val="00D31629"/>
    <w:rsid w:val="00D31894"/>
    <w:rsid w:val="00D31C3F"/>
    <w:rsid w:val="00D320A5"/>
    <w:rsid w:val="00D320C9"/>
    <w:rsid w:val="00D322F0"/>
    <w:rsid w:val="00D32336"/>
    <w:rsid w:val="00D32452"/>
    <w:rsid w:val="00D329B8"/>
    <w:rsid w:val="00D329DF"/>
    <w:rsid w:val="00D32A95"/>
    <w:rsid w:val="00D32FE7"/>
    <w:rsid w:val="00D3304B"/>
    <w:rsid w:val="00D33117"/>
    <w:rsid w:val="00D3396E"/>
    <w:rsid w:val="00D33A2B"/>
    <w:rsid w:val="00D33AAA"/>
    <w:rsid w:val="00D33B7F"/>
    <w:rsid w:val="00D33F6C"/>
    <w:rsid w:val="00D340C1"/>
    <w:rsid w:val="00D341F5"/>
    <w:rsid w:val="00D343BF"/>
    <w:rsid w:val="00D34558"/>
    <w:rsid w:val="00D346BA"/>
    <w:rsid w:val="00D3477E"/>
    <w:rsid w:val="00D34B9D"/>
    <w:rsid w:val="00D34DA7"/>
    <w:rsid w:val="00D34EBF"/>
    <w:rsid w:val="00D350E1"/>
    <w:rsid w:val="00D35650"/>
    <w:rsid w:val="00D356E8"/>
    <w:rsid w:val="00D35C21"/>
    <w:rsid w:val="00D35E9F"/>
    <w:rsid w:val="00D35EBF"/>
    <w:rsid w:val="00D35FB2"/>
    <w:rsid w:val="00D3665D"/>
    <w:rsid w:val="00D3697C"/>
    <w:rsid w:val="00D36B02"/>
    <w:rsid w:val="00D36DAF"/>
    <w:rsid w:val="00D36E73"/>
    <w:rsid w:val="00D370C7"/>
    <w:rsid w:val="00D375E1"/>
    <w:rsid w:val="00D37850"/>
    <w:rsid w:val="00D3789C"/>
    <w:rsid w:val="00D37901"/>
    <w:rsid w:val="00D379B6"/>
    <w:rsid w:val="00D4028D"/>
    <w:rsid w:val="00D4033F"/>
    <w:rsid w:val="00D405DB"/>
    <w:rsid w:val="00D407B0"/>
    <w:rsid w:val="00D408AB"/>
    <w:rsid w:val="00D4095C"/>
    <w:rsid w:val="00D40C97"/>
    <w:rsid w:val="00D41031"/>
    <w:rsid w:val="00D4152B"/>
    <w:rsid w:val="00D418CE"/>
    <w:rsid w:val="00D41C1E"/>
    <w:rsid w:val="00D41DAC"/>
    <w:rsid w:val="00D41DF2"/>
    <w:rsid w:val="00D423B7"/>
    <w:rsid w:val="00D4280C"/>
    <w:rsid w:val="00D42AC5"/>
    <w:rsid w:val="00D42CC5"/>
    <w:rsid w:val="00D42DCF"/>
    <w:rsid w:val="00D42FA4"/>
    <w:rsid w:val="00D433D1"/>
    <w:rsid w:val="00D43429"/>
    <w:rsid w:val="00D4366B"/>
    <w:rsid w:val="00D43709"/>
    <w:rsid w:val="00D4383B"/>
    <w:rsid w:val="00D43BE6"/>
    <w:rsid w:val="00D43C51"/>
    <w:rsid w:val="00D44556"/>
    <w:rsid w:val="00D445D6"/>
    <w:rsid w:val="00D446B5"/>
    <w:rsid w:val="00D44DB1"/>
    <w:rsid w:val="00D44E16"/>
    <w:rsid w:val="00D44EB9"/>
    <w:rsid w:val="00D44F0B"/>
    <w:rsid w:val="00D450B6"/>
    <w:rsid w:val="00D45715"/>
    <w:rsid w:val="00D45746"/>
    <w:rsid w:val="00D4598D"/>
    <w:rsid w:val="00D45B1D"/>
    <w:rsid w:val="00D45C2E"/>
    <w:rsid w:val="00D46025"/>
    <w:rsid w:val="00D4607A"/>
    <w:rsid w:val="00D46256"/>
    <w:rsid w:val="00D46322"/>
    <w:rsid w:val="00D46325"/>
    <w:rsid w:val="00D46393"/>
    <w:rsid w:val="00D4655B"/>
    <w:rsid w:val="00D46816"/>
    <w:rsid w:val="00D46845"/>
    <w:rsid w:val="00D46D42"/>
    <w:rsid w:val="00D46DC6"/>
    <w:rsid w:val="00D47530"/>
    <w:rsid w:val="00D4763E"/>
    <w:rsid w:val="00D47760"/>
    <w:rsid w:val="00D47EDF"/>
    <w:rsid w:val="00D47EF9"/>
    <w:rsid w:val="00D501D8"/>
    <w:rsid w:val="00D50480"/>
    <w:rsid w:val="00D504B5"/>
    <w:rsid w:val="00D506DF"/>
    <w:rsid w:val="00D507F9"/>
    <w:rsid w:val="00D50853"/>
    <w:rsid w:val="00D50FF6"/>
    <w:rsid w:val="00D510BB"/>
    <w:rsid w:val="00D514BB"/>
    <w:rsid w:val="00D51703"/>
    <w:rsid w:val="00D519A0"/>
    <w:rsid w:val="00D51D8D"/>
    <w:rsid w:val="00D52066"/>
    <w:rsid w:val="00D5217F"/>
    <w:rsid w:val="00D5233A"/>
    <w:rsid w:val="00D52455"/>
    <w:rsid w:val="00D52594"/>
    <w:rsid w:val="00D527C4"/>
    <w:rsid w:val="00D5286C"/>
    <w:rsid w:val="00D5289C"/>
    <w:rsid w:val="00D5297D"/>
    <w:rsid w:val="00D52A6A"/>
    <w:rsid w:val="00D52FB8"/>
    <w:rsid w:val="00D53098"/>
    <w:rsid w:val="00D53212"/>
    <w:rsid w:val="00D53474"/>
    <w:rsid w:val="00D537BF"/>
    <w:rsid w:val="00D53B1C"/>
    <w:rsid w:val="00D53C34"/>
    <w:rsid w:val="00D54040"/>
    <w:rsid w:val="00D5407E"/>
    <w:rsid w:val="00D541B7"/>
    <w:rsid w:val="00D5444C"/>
    <w:rsid w:val="00D5455E"/>
    <w:rsid w:val="00D5492E"/>
    <w:rsid w:val="00D54930"/>
    <w:rsid w:val="00D54AB1"/>
    <w:rsid w:val="00D54D67"/>
    <w:rsid w:val="00D54FAA"/>
    <w:rsid w:val="00D5581B"/>
    <w:rsid w:val="00D55CF8"/>
    <w:rsid w:val="00D55EC3"/>
    <w:rsid w:val="00D55F08"/>
    <w:rsid w:val="00D56152"/>
    <w:rsid w:val="00D56453"/>
    <w:rsid w:val="00D564C1"/>
    <w:rsid w:val="00D566A9"/>
    <w:rsid w:val="00D56798"/>
    <w:rsid w:val="00D56AFE"/>
    <w:rsid w:val="00D56D15"/>
    <w:rsid w:val="00D56EB4"/>
    <w:rsid w:val="00D56F29"/>
    <w:rsid w:val="00D56FCF"/>
    <w:rsid w:val="00D57502"/>
    <w:rsid w:val="00D577B2"/>
    <w:rsid w:val="00D578B8"/>
    <w:rsid w:val="00D57DAC"/>
    <w:rsid w:val="00D602B9"/>
    <w:rsid w:val="00D605B4"/>
    <w:rsid w:val="00D60692"/>
    <w:rsid w:val="00D60704"/>
    <w:rsid w:val="00D60722"/>
    <w:rsid w:val="00D60916"/>
    <w:rsid w:val="00D609F6"/>
    <w:rsid w:val="00D60A18"/>
    <w:rsid w:val="00D60A58"/>
    <w:rsid w:val="00D60A8F"/>
    <w:rsid w:val="00D60BD6"/>
    <w:rsid w:val="00D60D47"/>
    <w:rsid w:val="00D60DD3"/>
    <w:rsid w:val="00D60E8B"/>
    <w:rsid w:val="00D61281"/>
    <w:rsid w:val="00D6147A"/>
    <w:rsid w:val="00D61A14"/>
    <w:rsid w:val="00D61DA8"/>
    <w:rsid w:val="00D61DFC"/>
    <w:rsid w:val="00D62124"/>
    <w:rsid w:val="00D623DF"/>
    <w:rsid w:val="00D624CC"/>
    <w:rsid w:val="00D62631"/>
    <w:rsid w:val="00D6294C"/>
    <w:rsid w:val="00D63085"/>
    <w:rsid w:val="00D63109"/>
    <w:rsid w:val="00D632AC"/>
    <w:rsid w:val="00D634CF"/>
    <w:rsid w:val="00D6358E"/>
    <w:rsid w:val="00D63615"/>
    <w:rsid w:val="00D6363D"/>
    <w:rsid w:val="00D636AC"/>
    <w:rsid w:val="00D63962"/>
    <w:rsid w:val="00D639DE"/>
    <w:rsid w:val="00D639FD"/>
    <w:rsid w:val="00D63B61"/>
    <w:rsid w:val="00D63F54"/>
    <w:rsid w:val="00D644AB"/>
    <w:rsid w:val="00D64A5E"/>
    <w:rsid w:val="00D64C42"/>
    <w:rsid w:val="00D64DC1"/>
    <w:rsid w:val="00D652F0"/>
    <w:rsid w:val="00D6533D"/>
    <w:rsid w:val="00D6539D"/>
    <w:rsid w:val="00D656D1"/>
    <w:rsid w:val="00D65809"/>
    <w:rsid w:val="00D658F3"/>
    <w:rsid w:val="00D65C38"/>
    <w:rsid w:val="00D65C4B"/>
    <w:rsid w:val="00D66036"/>
    <w:rsid w:val="00D660BE"/>
    <w:rsid w:val="00D66369"/>
    <w:rsid w:val="00D663D4"/>
    <w:rsid w:val="00D6650E"/>
    <w:rsid w:val="00D6662F"/>
    <w:rsid w:val="00D66E8A"/>
    <w:rsid w:val="00D676DE"/>
    <w:rsid w:val="00D677E9"/>
    <w:rsid w:val="00D677FF"/>
    <w:rsid w:val="00D67D5D"/>
    <w:rsid w:val="00D67F91"/>
    <w:rsid w:val="00D67FBE"/>
    <w:rsid w:val="00D700F5"/>
    <w:rsid w:val="00D7030E"/>
    <w:rsid w:val="00D70430"/>
    <w:rsid w:val="00D704BC"/>
    <w:rsid w:val="00D705BB"/>
    <w:rsid w:val="00D708AD"/>
    <w:rsid w:val="00D708D2"/>
    <w:rsid w:val="00D7099C"/>
    <w:rsid w:val="00D70A8E"/>
    <w:rsid w:val="00D70B2C"/>
    <w:rsid w:val="00D70BC1"/>
    <w:rsid w:val="00D70D2F"/>
    <w:rsid w:val="00D70D63"/>
    <w:rsid w:val="00D70DA3"/>
    <w:rsid w:val="00D70E1C"/>
    <w:rsid w:val="00D70EC1"/>
    <w:rsid w:val="00D7106B"/>
    <w:rsid w:val="00D7125F"/>
    <w:rsid w:val="00D7148B"/>
    <w:rsid w:val="00D71585"/>
    <w:rsid w:val="00D715A4"/>
    <w:rsid w:val="00D71C46"/>
    <w:rsid w:val="00D71CE8"/>
    <w:rsid w:val="00D71ED1"/>
    <w:rsid w:val="00D72146"/>
    <w:rsid w:val="00D72169"/>
    <w:rsid w:val="00D72487"/>
    <w:rsid w:val="00D724F6"/>
    <w:rsid w:val="00D7253F"/>
    <w:rsid w:val="00D72AFC"/>
    <w:rsid w:val="00D72B40"/>
    <w:rsid w:val="00D72D82"/>
    <w:rsid w:val="00D72D93"/>
    <w:rsid w:val="00D734A0"/>
    <w:rsid w:val="00D737C4"/>
    <w:rsid w:val="00D737EF"/>
    <w:rsid w:val="00D7383D"/>
    <w:rsid w:val="00D73B8F"/>
    <w:rsid w:val="00D73EA4"/>
    <w:rsid w:val="00D743CD"/>
    <w:rsid w:val="00D746C4"/>
    <w:rsid w:val="00D74755"/>
    <w:rsid w:val="00D74798"/>
    <w:rsid w:val="00D74953"/>
    <w:rsid w:val="00D750E8"/>
    <w:rsid w:val="00D75252"/>
    <w:rsid w:val="00D75339"/>
    <w:rsid w:val="00D758AE"/>
    <w:rsid w:val="00D75959"/>
    <w:rsid w:val="00D759FD"/>
    <w:rsid w:val="00D75A5D"/>
    <w:rsid w:val="00D75B4C"/>
    <w:rsid w:val="00D762EF"/>
    <w:rsid w:val="00D7650C"/>
    <w:rsid w:val="00D767F5"/>
    <w:rsid w:val="00D768FD"/>
    <w:rsid w:val="00D7697D"/>
    <w:rsid w:val="00D769B4"/>
    <w:rsid w:val="00D77202"/>
    <w:rsid w:val="00D77248"/>
    <w:rsid w:val="00D7725A"/>
    <w:rsid w:val="00D7732D"/>
    <w:rsid w:val="00D77579"/>
    <w:rsid w:val="00D775C4"/>
    <w:rsid w:val="00D77659"/>
    <w:rsid w:val="00D7787F"/>
    <w:rsid w:val="00D7788F"/>
    <w:rsid w:val="00D77C2E"/>
    <w:rsid w:val="00D77D69"/>
    <w:rsid w:val="00D77F9A"/>
    <w:rsid w:val="00D80627"/>
    <w:rsid w:val="00D8092D"/>
    <w:rsid w:val="00D80976"/>
    <w:rsid w:val="00D80ACF"/>
    <w:rsid w:val="00D80B33"/>
    <w:rsid w:val="00D80FA2"/>
    <w:rsid w:val="00D81093"/>
    <w:rsid w:val="00D81379"/>
    <w:rsid w:val="00D81548"/>
    <w:rsid w:val="00D815D0"/>
    <w:rsid w:val="00D81615"/>
    <w:rsid w:val="00D819EF"/>
    <w:rsid w:val="00D81F93"/>
    <w:rsid w:val="00D82425"/>
    <w:rsid w:val="00D82BA8"/>
    <w:rsid w:val="00D82E2C"/>
    <w:rsid w:val="00D82E5D"/>
    <w:rsid w:val="00D83181"/>
    <w:rsid w:val="00D831D0"/>
    <w:rsid w:val="00D832D8"/>
    <w:rsid w:val="00D83890"/>
    <w:rsid w:val="00D83961"/>
    <w:rsid w:val="00D83E6B"/>
    <w:rsid w:val="00D83FAD"/>
    <w:rsid w:val="00D84447"/>
    <w:rsid w:val="00D846D3"/>
    <w:rsid w:val="00D84786"/>
    <w:rsid w:val="00D847D9"/>
    <w:rsid w:val="00D84B18"/>
    <w:rsid w:val="00D84D19"/>
    <w:rsid w:val="00D84EEC"/>
    <w:rsid w:val="00D84FA4"/>
    <w:rsid w:val="00D852AF"/>
    <w:rsid w:val="00D85404"/>
    <w:rsid w:val="00D8542D"/>
    <w:rsid w:val="00D8552E"/>
    <w:rsid w:val="00D856BA"/>
    <w:rsid w:val="00D857FE"/>
    <w:rsid w:val="00D85B04"/>
    <w:rsid w:val="00D85B93"/>
    <w:rsid w:val="00D85F3F"/>
    <w:rsid w:val="00D869C5"/>
    <w:rsid w:val="00D869F2"/>
    <w:rsid w:val="00D86A1E"/>
    <w:rsid w:val="00D87119"/>
    <w:rsid w:val="00D871FA"/>
    <w:rsid w:val="00D87223"/>
    <w:rsid w:val="00D8793E"/>
    <w:rsid w:val="00D87C6A"/>
    <w:rsid w:val="00D87CB1"/>
    <w:rsid w:val="00D87D42"/>
    <w:rsid w:val="00D90241"/>
    <w:rsid w:val="00D9027C"/>
    <w:rsid w:val="00D905DE"/>
    <w:rsid w:val="00D90ACB"/>
    <w:rsid w:val="00D90D96"/>
    <w:rsid w:val="00D90FCD"/>
    <w:rsid w:val="00D91323"/>
    <w:rsid w:val="00D9146C"/>
    <w:rsid w:val="00D917E7"/>
    <w:rsid w:val="00D91945"/>
    <w:rsid w:val="00D919D6"/>
    <w:rsid w:val="00D91A06"/>
    <w:rsid w:val="00D91C36"/>
    <w:rsid w:val="00D91FDF"/>
    <w:rsid w:val="00D92028"/>
    <w:rsid w:val="00D920BA"/>
    <w:rsid w:val="00D920ED"/>
    <w:rsid w:val="00D9211B"/>
    <w:rsid w:val="00D924D2"/>
    <w:rsid w:val="00D927CD"/>
    <w:rsid w:val="00D9292B"/>
    <w:rsid w:val="00D929D2"/>
    <w:rsid w:val="00D93671"/>
    <w:rsid w:val="00D9376A"/>
    <w:rsid w:val="00D9381F"/>
    <w:rsid w:val="00D93859"/>
    <w:rsid w:val="00D93A0C"/>
    <w:rsid w:val="00D93FF0"/>
    <w:rsid w:val="00D93FFA"/>
    <w:rsid w:val="00D94015"/>
    <w:rsid w:val="00D94482"/>
    <w:rsid w:val="00D9454F"/>
    <w:rsid w:val="00D9476F"/>
    <w:rsid w:val="00D94D63"/>
    <w:rsid w:val="00D94D8E"/>
    <w:rsid w:val="00D94E11"/>
    <w:rsid w:val="00D95127"/>
    <w:rsid w:val="00D9538B"/>
    <w:rsid w:val="00D9542A"/>
    <w:rsid w:val="00D95661"/>
    <w:rsid w:val="00D95BCE"/>
    <w:rsid w:val="00D95BD9"/>
    <w:rsid w:val="00D95CB2"/>
    <w:rsid w:val="00D95D61"/>
    <w:rsid w:val="00D96138"/>
    <w:rsid w:val="00D96296"/>
    <w:rsid w:val="00D96BD2"/>
    <w:rsid w:val="00D96C2C"/>
    <w:rsid w:val="00D96CBF"/>
    <w:rsid w:val="00D96F38"/>
    <w:rsid w:val="00D97273"/>
    <w:rsid w:val="00D97513"/>
    <w:rsid w:val="00D977D6"/>
    <w:rsid w:val="00D978D9"/>
    <w:rsid w:val="00D97AE4"/>
    <w:rsid w:val="00D97CDF"/>
    <w:rsid w:val="00D97D2E"/>
    <w:rsid w:val="00D97DED"/>
    <w:rsid w:val="00D97EB6"/>
    <w:rsid w:val="00D97FE2"/>
    <w:rsid w:val="00DA01B9"/>
    <w:rsid w:val="00DA02CA"/>
    <w:rsid w:val="00DA09C5"/>
    <w:rsid w:val="00DA09DF"/>
    <w:rsid w:val="00DA0A47"/>
    <w:rsid w:val="00DA0D7A"/>
    <w:rsid w:val="00DA0D98"/>
    <w:rsid w:val="00DA11D5"/>
    <w:rsid w:val="00DA1440"/>
    <w:rsid w:val="00DA16C5"/>
    <w:rsid w:val="00DA1962"/>
    <w:rsid w:val="00DA1A9E"/>
    <w:rsid w:val="00DA2007"/>
    <w:rsid w:val="00DA2161"/>
    <w:rsid w:val="00DA2264"/>
    <w:rsid w:val="00DA2318"/>
    <w:rsid w:val="00DA24A7"/>
    <w:rsid w:val="00DA2687"/>
    <w:rsid w:val="00DA2934"/>
    <w:rsid w:val="00DA2B3B"/>
    <w:rsid w:val="00DA2F60"/>
    <w:rsid w:val="00DA30BF"/>
    <w:rsid w:val="00DA3297"/>
    <w:rsid w:val="00DA35F1"/>
    <w:rsid w:val="00DA3C4F"/>
    <w:rsid w:val="00DA3DF5"/>
    <w:rsid w:val="00DA408F"/>
    <w:rsid w:val="00DA4231"/>
    <w:rsid w:val="00DA4592"/>
    <w:rsid w:val="00DA45BE"/>
    <w:rsid w:val="00DA475A"/>
    <w:rsid w:val="00DA4A46"/>
    <w:rsid w:val="00DA4C98"/>
    <w:rsid w:val="00DA4D4B"/>
    <w:rsid w:val="00DA5064"/>
    <w:rsid w:val="00DA50C0"/>
    <w:rsid w:val="00DA51E3"/>
    <w:rsid w:val="00DA5201"/>
    <w:rsid w:val="00DA58F8"/>
    <w:rsid w:val="00DA596D"/>
    <w:rsid w:val="00DA5C67"/>
    <w:rsid w:val="00DA5F65"/>
    <w:rsid w:val="00DA6535"/>
    <w:rsid w:val="00DA67AF"/>
    <w:rsid w:val="00DA6879"/>
    <w:rsid w:val="00DA6923"/>
    <w:rsid w:val="00DA6B1C"/>
    <w:rsid w:val="00DA6B26"/>
    <w:rsid w:val="00DA6F35"/>
    <w:rsid w:val="00DA7138"/>
    <w:rsid w:val="00DA71F6"/>
    <w:rsid w:val="00DB0467"/>
    <w:rsid w:val="00DB0704"/>
    <w:rsid w:val="00DB0828"/>
    <w:rsid w:val="00DB0CB1"/>
    <w:rsid w:val="00DB0EEF"/>
    <w:rsid w:val="00DB117A"/>
    <w:rsid w:val="00DB1424"/>
    <w:rsid w:val="00DB143A"/>
    <w:rsid w:val="00DB14CC"/>
    <w:rsid w:val="00DB14FF"/>
    <w:rsid w:val="00DB1562"/>
    <w:rsid w:val="00DB16BD"/>
    <w:rsid w:val="00DB179C"/>
    <w:rsid w:val="00DB17C5"/>
    <w:rsid w:val="00DB1B38"/>
    <w:rsid w:val="00DB1C4F"/>
    <w:rsid w:val="00DB1EB1"/>
    <w:rsid w:val="00DB1FEB"/>
    <w:rsid w:val="00DB2123"/>
    <w:rsid w:val="00DB23F4"/>
    <w:rsid w:val="00DB24FD"/>
    <w:rsid w:val="00DB2594"/>
    <w:rsid w:val="00DB2629"/>
    <w:rsid w:val="00DB2644"/>
    <w:rsid w:val="00DB2AC9"/>
    <w:rsid w:val="00DB2B17"/>
    <w:rsid w:val="00DB2B1F"/>
    <w:rsid w:val="00DB2C90"/>
    <w:rsid w:val="00DB2FB4"/>
    <w:rsid w:val="00DB33DA"/>
    <w:rsid w:val="00DB3581"/>
    <w:rsid w:val="00DB3583"/>
    <w:rsid w:val="00DB35C8"/>
    <w:rsid w:val="00DB3C8C"/>
    <w:rsid w:val="00DB3F1A"/>
    <w:rsid w:val="00DB3FC8"/>
    <w:rsid w:val="00DB4215"/>
    <w:rsid w:val="00DB4410"/>
    <w:rsid w:val="00DB458C"/>
    <w:rsid w:val="00DB4639"/>
    <w:rsid w:val="00DB483D"/>
    <w:rsid w:val="00DB4E90"/>
    <w:rsid w:val="00DB4F65"/>
    <w:rsid w:val="00DB51D7"/>
    <w:rsid w:val="00DB562E"/>
    <w:rsid w:val="00DB563F"/>
    <w:rsid w:val="00DB56B4"/>
    <w:rsid w:val="00DB58D0"/>
    <w:rsid w:val="00DB5A87"/>
    <w:rsid w:val="00DB5D79"/>
    <w:rsid w:val="00DB60EC"/>
    <w:rsid w:val="00DB6754"/>
    <w:rsid w:val="00DB6804"/>
    <w:rsid w:val="00DB6905"/>
    <w:rsid w:val="00DB6A50"/>
    <w:rsid w:val="00DB6D6B"/>
    <w:rsid w:val="00DB6E0C"/>
    <w:rsid w:val="00DB7891"/>
    <w:rsid w:val="00DB7CEA"/>
    <w:rsid w:val="00DC00AC"/>
    <w:rsid w:val="00DC05FF"/>
    <w:rsid w:val="00DC081A"/>
    <w:rsid w:val="00DC09FA"/>
    <w:rsid w:val="00DC0A3E"/>
    <w:rsid w:val="00DC0BAC"/>
    <w:rsid w:val="00DC0C1A"/>
    <w:rsid w:val="00DC0F55"/>
    <w:rsid w:val="00DC102A"/>
    <w:rsid w:val="00DC1169"/>
    <w:rsid w:val="00DC13EE"/>
    <w:rsid w:val="00DC18B3"/>
    <w:rsid w:val="00DC1FE8"/>
    <w:rsid w:val="00DC2364"/>
    <w:rsid w:val="00DC248D"/>
    <w:rsid w:val="00DC290A"/>
    <w:rsid w:val="00DC2FC0"/>
    <w:rsid w:val="00DC326E"/>
    <w:rsid w:val="00DC3399"/>
    <w:rsid w:val="00DC33AE"/>
    <w:rsid w:val="00DC352E"/>
    <w:rsid w:val="00DC364A"/>
    <w:rsid w:val="00DC3778"/>
    <w:rsid w:val="00DC3961"/>
    <w:rsid w:val="00DC3B06"/>
    <w:rsid w:val="00DC3B44"/>
    <w:rsid w:val="00DC3F57"/>
    <w:rsid w:val="00DC41E0"/>
    <w:rsid w:val="00DC465E"/>
    <w:rsid w:val="00DC4700"/>
    <w:rsid w:val="00DC4909"/>
    <w:rsid w:val="00DC4D91"/>
    <w:rsid w:val="00DC4FEF"/>
    <w:rsid w:val="00DC5093"/>
    <w:rsid w:val="00DC5165"/>
    <w:rsid w:val="00DC5809"/>
    <w:rsid w:val="00DC5838"/>
    <w:rsid w:val="00DC5A09"/>
    <w:rsid w:val="00DC5B35"/>
    <w:rsid w:val="00DC5B54"/>
    <w:rsid w:val="00DC5B64"/>
    <w:rsid w:val="00DC5D01"/>
    <w:rsid w:val="00DC5D48"/>
    <w:rsid w:val="00DC5D97"/>
    <w:rsid w:val="00DC5DEA"/>
    <w:rsid w:val="00DC6009"/>
    <w:rsid w:val="00DC6396"/>
    <w:rsid w:val="00DC639F"/>
    <w:rsid w:val="00DC6407"/>
    <w:rsid w:val="00DC64B6"/>
    <w:rsid w:val="00DC652B"/>
    <w:rsid w:val="00DC65D0"/>
    <w:rsid w:val="00DC6765"/>
    <w:rsid w:val="00DC6825"/>
    <w:rsid w:val="00DC6A93"/>
    <w:rsid w:val="00DC6D9A"/>
    <w:rsid w:val="00DC6E98"/>
    <w:rsid w:val="00DC6FB2"/>
    <w:rsid w:val="00DC7320"/>
    <w:rsid w:val="00DC7338"/>
    <w:rsid w:val="00DC736F"/>
    <w:rsid w:val="00DC7B1B"/>
    <w:rsid w:val="00DC7EA7"/>
    <w:rsid w:val="00DD011D"/>
    <w:rsid w:val="00DD0486"/>
    <w:rsid w:val="00DD04C4"/>
    <w:rsid w:val="00DD061E"/>
    <w:rsid w:val="00DD06AB"/>
    <w:rsid w:val="00DD07C1"/>
    <w:rsid w:val="00DD0887"/>
    <w:rsid w:val="00DD0C02"/>
    <w:rsid w:val="00DD0EAC"/>
    <w:rsid w:val="00DD0EAD"/>
    <w:rsid w:val="00DD10DE"/>
    <w:rsid w:val="00DD1659"/>
    <w:rsid w:val="00DD169B"/>
    <w:rsid w:val="00DD178F"/>
    <w:rsid w:val="00DD18AA"/>
    <w:rsid w:val="00DD18E9"/>
    <w:rsid w:val="00DD1B5C"/>
    <w:rsid w:val="00DD1C4B"/>
    <w:rsid w:val="00DD22FF"/>
    <w:rsid w:val="00DD2449"/>
    <w:rsid w:val="00DD2600"/>
    <w:rsid w:val="00DD26D1"/>
    <w:rsid w:val="00DD26DB"/>
    <w:rsid w:val="00DD2A5B"/>
    <w:rsid w:val="00DD2B36"/>
    <w:rsid w:val="00DD2F35"/>
    <w:rsid w:val="00DD2F55"/>
    <w:rsid w:val="00DD3099"/>
    <w:rsid w:val="00DD312E"/>
    <w:rsid w:val="00DD32CE"/>
    <w:rsid w:val="00DD3376"/>
    <w:rsid w:val="00DD3624"/>
    <w:rsid w:val="00DD3814"/>
    <w:rsid w:val="00DD38E7"/>
    <w:rsid w:val="00DD39CE"/>
    <w:rsid w:val="00DD3C2B"/>
    <w:rsid w:val="00DD450F"/>
    <w:rsid w:val="00DD45ED"/>
    <w:rsid w:val="00DD4695"/>
    <w:rsid w:val="00DD48A8"/>
    <w:rsid w:val="00DD4900"/>
    <w:rsid w:val="00DD4A46"/>
    <w:rsid w:val="00DD4A67"/>
    <w:rsid w:val="00DD4BC5"/>
    <w:rsid w:val="00DD52CD"/>
    <w:rsid w:val="00DD5A1B"/>
    <w:rsid w:val="00DD5A2E"/>
    <w:rsid w:val="00DD5C2A"/>
    <w:rsid w:val="00DD5DAF"/>
    <w:rsid w:val="00DD5F60"/>
    <w:rsid w:val="00DD60FA"/>
    <w:rsid w:val="00DD617F"/>
    <w:rsid w:val="00DD61D7"/>
    <w:rsid w:val="00DD6940"/>
    <w:rsid w:val="00DD69C3"/>
    <w:rsid w:val="00DD6A9C"/>
    <w:rsid w:val="00DD6BFD"/>
    <w:rsid w:val="00DD6CEC"/>
    <w:rsid w:val="00DD715C"/>
    <w:rsid w:val="00DD717F"/>
    <w:rsid w:val="00DD73ED"/>
    <w:rsid w:val="00DD76D6"/>
    <w:rsid w:val="00DD7743"/>
    <w:rsid w:val="00DD7CB0"/>
    <w:rsid w:val="00DE02E1"/>
    <w:rsid w:val="00DE03BB"/>
    <w:rsid w:val="00DE03D5"/>
    <w:rsid w:val="00DE0D60"/>
    <w:rsid w:val="00DE0F64"/>
    <w:rsid w:val="00DE0FAB"/>
    <w:rsid w:val="00DE12AC"/>
    <w:rsid w:val="00DE133F"/>
    <w:rsid w:val="00DE17BC"/>
    <w:rsid w:val="00DE18BC"/>
    <w:rsid w:val="00DE1C89"/>
    <w:rsid w:val="00DE214D"/>
    <w:rsid w:val="00DE2238"/>
    <w:rsid w:val="00DE246C"/>
    <w:rsid w:val="00DE25B1"/>
    <w:rsid w:val="00DE2699"/>
    <w:rsid w:val="00DE26B3"/>
    <w:rsid w:val="00DE28E3"/>
    <w:rsid w:val="00DE2B68"/>
    <w:rsid w:val="00DE2BCB"/>
    <w:rsid w:val="00DE2FF3"/>
    <w:rsid w:val="00DE31FE"/>
    <w:rsid w:val="00DE37E7"/>
    <w:rsid w:val="00DE3E0E"/>
    <w:rsid w:val="00DE3E3A"/>
    <w:rsid w:val="00DE3EC3"/>
    <w:rsid w:val="00DE3FD3"/>
    <w:rsid w:val="00DE407A"/>
    <w:rsid w:val="00DE4170"/>
    <w:rsid w:val="00DE41B6"/>
    <w:rsid w:val="00DE4286"/>
    <w:rsid w:val="00DE442E"/>
    <w:rsid w:val="00DE4558"/>
    <w:rsid w:val="00DE4762"/>
    <w:rsid w:val="00DE4A26"/>
    <w:rsid w:val="00DE4AD1"/>
    <w:rsid w:val="00DE4E16"/>
    <w:rsid w:val="00DE53EB"/>
    <w:rsid w:val="00DE5647"/>
    <w:rsid w:val="00DE57AC"/>
    <w:rsid w:val="00DE59D0"/>
    <w:rsid w:val="00DE5EB0"/>
    <w:rsid w:val="00DE70DB"/>
    <w:rsid w:val="00DE7384"/>
    <w:rsid w:val="00DE74B9"/>
    <w:rsid w:val="00DE74CD"/>
    <w:rsid w:val="00DE7692"/>
    <w:rsid w:val="00DE77D4"/>
    <w:rsid w:val="00DE7BEE"/>
    <w:rsid w:val="00DE7BF5"/>
    <w:rsid w:val="00DE7D0E"/>
    <w:rsid w:val="00DE7D2A"/>
    <w:rsid w:val="00DE7D3B"/>
    <w:rsid w:val="00DE7DF5"/>
    <w:rsid w:val="00DE7F99"/>
    <w:rsid w:val="00DF000A"/>
    <w:rsid w:val="00DF0579"/>
    <w:rsid w:val="00DF0616"/>
    <w:rsid w:val="00DF06E9"/>
    <w:rsid w:val="00DF0AB3"/>
    <w:rsid w:val="00DF0ECF"/>
    <w:rsid w:val="00DF1145"/>
    <w:rsid w:val="00DF1BA3"/>
    <w:rsid w:val="00DF20C7"/>
    <w:rsid w:val="00DF23C2"/>
    <w:rsid w:val="00DF27CA"/>
    <w:rsid w:val="00DF2830"/>
    <w:rsid w:val="00DF2861"/>
    <w:rsid w:val="00DF288C"/>
    <w:rsid w:val="00DF297B"/>
    <w:rsid w:val="00DF29DF"/>
    <w:rsid w:val="00DF2E58"/>
    <w:rsid w:val="00DF2F05"/>
    <w:rsid w:val="00DF3684"/>
    <w:rsid w:val="00DF36E3"/>
    <w:rsid w:val="00DF3C43"/>
    <w:rsid w:val="00DF3FDE"/>
    <w:rsid w:val="00DF3FE8"/>
    <w:rsid w:val="00DF40B0"/>
    <w:rsid w:val="00DF424E"/>
    <w:rsid w:val="00DF437E"/>
    <w:rsid w:val="00DF450A"/>
    <w:rsid w:val="00DF46F4"/>
    <w:rsid w:val="00DF4933"/>
    <w:rsid w:val="00DF4B62"/>
    <w:rsid w:val="00DF4C7B"/>
    <w:rsid w:val="00DF506C"/>
    <w:rsid w:val="00DF511D"/>
    <w:rsid w:val="00DF519D"/>
    <w:rsid w:val="00DF5316"/>
    <w:rsid w:val="00DF559D"/>
    <w:rsid w:val="00DF562A"/>
    <w:rsid w:val="00DF59D2"/>
    <w:rsid w:val="00DF5AA5"/>
    <w:rsid w:val="00DF5BF5"/>
    <w:rsid w:val="00DF5CB9"/>
    <w:rsid w:val="00DF5EBF"/>
    <w:rsid w:val="00DF5F15"/>
    <w:rsid w:val="00DF5F20"/>
    <w:rsid w:val="00DF6195"/>
    <w:rsid w:val="00DF67FD"/>
    <w:rsid w:val="00DF6C86"/>
    <w:rsid w:val="00DF6D68"/>
    <w:rsid w:val="00DF6F51"/>
    <w:rsid w:val="00DF7009"/>
    <w:rsid w:val="00DF7036"/>
    <w:rsid w:val="00DF71FB"/>
    <w:rsid w:val="00DF7397"/>
    <w:rsid w:val="00DF7685"/>
    <w:rsid w:val="00DF770E"/>
    <w:rsid w:val="00DF7858"/>
    <w:rsid w:val="00DF7874"/>
    <w:rsid w:val="00E005BC"/>
    <w:rsid w:val="00E0061B"/>
    <w:rsid w:val="00E006C5"/>
    <w:rsid w:val="00E00CC5"/>
    <w:rsid w:val="00E01060"/>
    <w:rsid w:val="00E01426"/>
    <w:rsid w:val="00E0146D"/>
    <w:rsid w:val="00E014A3"/>
    <w:rsid w:val="00E01548"/>
    <w:rsid w:val="00E01573"/>
    <w:rsid w:val="00E019ED"/>
    <w:rsid w:val="00E01A5B"/>
    <w:rsid w:val="00E01D4A"/>
    <w:rsid w:val="00E01F04"/>
    <w:rsid w:val="00E023FA"/>
    <w:rsid w:val="00E02414"/>
    <w:rsid w:val="00E0260C"/>
    <w:rsid w:val="00E028DD"/>
    <w:rsid w:val="00E029FF"/>
    <w:rsid w:val="00E02ADF"/>
    <w:rsid w:val="00E02DD9"/>
    <w:rsid w:val="00E02EB6"/>
    <w:rsid w:val="00E03C14"/>
    <w:rsid w:val="00E03CF3"/>
    <w:rsid w:val="00E03DB1"/>
    <w:rsid w:val="00E03F4A"/>
    <w:rsid w:val="00E041CB"/>
    <w:rsid w:val="00E04645"/>
    <w:rsid w:val="00E04981"/>
    <w:rsid w:val="00E04A6B"/>
    <w:rsid w:val="00E04A6C"/>
    <w:rsid w:val="00E04FE4"/>
    <w:rsid w:val="00E05045"/>
    <w:rsid w:val="00E050A9"/>
    <w:rsid w:val="00E0517E"/>
    <w:rsid w:val="00E05629"/>
    <w:rsid w:val="00E05A33"/>
    <w:rsid w:val="00E05B47"/>
    <w:rsid w:val="00E05B57"/>
    <w:rsid w:val="00E05C72"/>
    <w:rsid w:val="00E05DE0"/>
    <w:rsid w:val="00E06013"/>
    <w:rsid w:val="00E06087"/>
    <w:rsid w:val="00E0617F"/>
    <w:rsid w:val="00E06312"/>
    <w:rsid w:val="00E0639D"/>
    <w:rsid w:val="00E06466"/>
    <w:rsid w:val="00E06713"/>
    <w:rsid w:val="00E06771"/>
    <w:rsid w:val="00E067B5"/>
    <w:rsid w:val="00E06F2E"/>
    <w:rsid w:val="00E0747D"/>
    <w:rsid w:val="00E074F2"/>
    <w:rsid w:val="00E075D8"/>
    <w:rsid w:val="00E07B43"/>
    <w:rsid w:val="00E07F4C"/>
    <w:rsid w:val="00E10055"/>
    <w:rsid w:val="00E1057E"/>
    <w:rsid w:val="00E1079C"/>
    <w:rsid w:val="00E109C9"/>
    <w:rsid w:val="00E10B69"/>
    <w:rsid w:val="00E10F5F"/>
    <w:rsid w:val="00E10FF2"/>
    <w:rsid w:val="00E1106E"/>
    <w:rsid w:val="00E11894"/>
    <w:rsid w:val="00E11C32"/>
    <w:rsid w:val="00E11D66"/>
    <w:rsid w:val="00E1236E"/>
    <w:rsid w:val="00E123BE"/>
    <w:rsid w:val="00E12475"/>
    <w:rsid w:val="00E12492"/>
    <w:rsid w:val="00E12913"/>
    <w:rsid w:val="00E133CD"/>
    <w:rsid w:val="00E13A9B"/>
    <w:rsid w:val="00E13AD0"/>
    <w:rsid w:val="00E13BC5"/>
    <w:rsid w:val="00E13CFB"/>
    <w:rsid w:val="00E13D0F"/>
    <w:rsid w:val="00E13D7C"/>
    <w:rsid w:val="00E13FE7"/>
    <w:rsid w:val="00E140EC"/>
    <w:rsid w:val="00E141FD"/>
    <w:rsid w:val="00E1483F"/>
    <w:rsid w:val="00E14A5C"/>
    <w:rsid w:val="00E14B4B"/>
    <w:rsid w:val="00E14F91"/>
    <w:rsid w:val="00E14FE7"/>
    <w:rsid w:val="00E15084"/>
    <w:rsid w:val="00E150A1"/>
    <w:rsid w:val="00E150D6"/>
    <w:rsid w:val="00E154C9"/>
    <w:rsid w:val="00E15520"/>
    <w:rsid w:val="00E15634"/>
    <w:rsid w:val="00E1566E"/>
    <w:rsid w:val="00E15DC2"/>
    <w:rsid w:val="00E15DEF"/>
    <w:rsid w:val="00E15E9E"/>
    <w:rsid w:val="00E16076"/>
    <w:rsid w:val="00E16257"/>
    <w:rsid w:val="00E164B9"/>
    <w:rsid w:val="00E16751"/>
    <w:rsid w:val="00E16D05"/>
    <w:rsid w:val="00E16D06"/>
    <w:rsid w:val="00E16F8F"/>
    <w:rsid w:val="00E17124"/>
    <w:rsid w:val="00E175C3"/>
    <w:rsid w:val="00E17AE9"/>
    <w:rsid w:val="00E17B2C"/>
    <w:rsid w:val="00E17B6C"/>
    <w:rsid w:val="00E17D11"/>
    <w:rsid w:val="00E17E15"/>
    <w:rsid w:val="00E17E72"/>
    <w:rsid w:val="00E17F9A"/>
    <w:rsid w:val="00E200AC"/>
    <w:rsid w:val="00E200E1"/>
    <w:rsid w:val="00E2082C"/>
    <w:rsid w:val="00E209C4"/>
    <w:rsid w:val="00E20CAA"/>
    <w:rsid w:val="00E20D9B"/>
    <w:rsid w:val="00E211FE"/>
    <w:rsid w:val="00E212C8"/>
    <w:rsid w:val="00E21783"/>
    <w:rsid w:val="00E21BE0"/>
    <w:rsid w:val="00E21CDE"/>
    <w:rsid w:val="00E21D7D"/>
    <w:rsid w:val="00E21FC2"/>
    <w:rsid w:val="00E22112"/>
    <w:rsid w:val="00E22380"/>
    <w:rsid w:val="00E2241A"/>
    <w:rsid w:val="00E2276B"/>
    <w:rsid w:val="00E227E5"/>
    <w:rsid w:val="00E22944"/>
    <w:rsid w:val="00E22F7D"/>
    <w:rsid w:val="00E2394B"/>
    <w:rsid w:val="00E23DC5"/>
    <w:rsid w:val="00E240D4"/>
    <w:rsid w:val="00E24395"/>
    <w:rsid w:val="00E243F4"/>
    <w:rsid w:val="00E24726"/>
    <w:rsid w:val="00E24860"/>
    <w:rsid w:val="00E248F4"/>
    <w:rsid w:val="00E24A37"/>
    <w:rsid w:val="00E24CE6"/>
    <w:rsid w:val="00E24CFA"/>
    <w:rsid w:val="00E24EAD"/>
    <w:rsid w:val="00E250E6"/>
    <w:rsid w:val="00E25306"/>
    <w:rsid w:val="00E25578"/>
    <w:rsid w:val="00E25B30"/>
    <w:rsid w:val="00E26071"/>
    <w:rsid w:val="00E26113"/>
    <w:rsid w:val="00E261E1"/>
    <w:rsid w:val="00E262BF"/>
    <w:rsid w:val="00E262C4"/>
    <w:rsid w:val="00E262DB"/>
    <w:rsid w:val="00E26375"/>
    <w:rsid w:val="00E263BF"/>
    <w:rsid w:val="00E2650A"/>
    <w:rsid w:val="00E266A4"/>
    <w:rsid w:val="00E26716"/>
    <w:rsid w:val="00E26767"/>
    <w:rsid w:val="00E268E7"/>
    <w:rsid w:val="00E26BBD"/>
    <w:rsid w:val="00E26DDF"/>
    <w:rsid w:val="00E26FA8"/>
    <w:rsid w:val="00E2714D"/>
    <w:rsid w:val="00E27320"/>
    <w:rsid w:val="00E27441"/>
    <w:rsid w:val="00E275EF"/>
    <w:rsid w:val="00E276AF"/>
    <w:rsid w:val="00E27A5A"/>
    <w:rsid w:val="00E27ACA"/>
    <w:rsid w:val="00E27BFE"/>
    <w:rsid w:val="00E306ED"/>
    <w:rsid w:val="00E30CE2"/>
    <w:rsid w:val="00E30EB3"/>
    <w:rsid w:val="00E310C7"/>
    <w:rsid w:val="00E312F6"/>
    <w:rsid w:val="00E3158D"/>
    <w:rsid w:val="00E31738"/>
    <w:rsid w:val="00E31916"/>
    <w:rsid w:val="00E319D4"/>
    <w:rsid w:val="00E319ED"/>
    <w:rsid w:val="00E31B2B"/>
    <w:rsid w:val="00E31BA9"/>
    <w:rsid w:val="00E31F4C"/>
    <w:rsid w:val="00E32401"/>
    <w:rsid w:val="00E3242E"/>
    <w:rsid w:val="00E3298F"/>
    <w:rsid w:val="00E32AEA"/>
    <w:rsid w:val="00E32C42"/>
    <w:rsid w:val="00E32D4C"/>
    <w:rsid w:val="00E3310F"/>
    <w:rsid w:val="00E33356"/>
    <w:rsid w:val="00E33B5F"/>
    <w:rsid w:val="00E33D42"/>
    <w:rsid w:val="00E33F2B"/>
    <w:rsid w:val="00E33F4C"/>
    <w:rsid w:val="00E33F5F"/>
    <w:rsid w:val="00E3426E"/>
    <w:rsid w:val="00E34279"/>
    <w:rsid w:val="00E34287"/>
    <w:rsid w:val="00E3434F"/>
    <w:rsid w:val="00E34550"/>
    <w:rsid w:val="00E34652"/>
    <w:rsid w:val="00E349FC"/>
    <w:rsid w:val="00E34B35"/>
    <w:rsid w:val="00E34DCB"/>
    <w:rsid w:val="00E352BA"/>
    <w:rsid w:val="00E35306"/>
    <w:rsid w:val="00E353A0"/>
    <w:rsid w:val="00E353A7"/>
    <w:rsid w:val="00E35847"/>
    <w:rsid w:val="00E35B7C"/>
    <w:rsid w:val="00E35C61"/>
    <w:rsid w:val="00E35CC7"/>
    <w:rsid w:val="00E35D1A"/>
    <w:rsid w:val="00E35F2E"/>
    <w:rsid w:val="00E3644D"/>
    <w:rsid w:val="00E36766"/>
    <w:rsid w:val="00E3690D"/>
    <w:rsid w:val="00E36A68"/>
    <w:rsid w:val="00E36C7A"/>
    <w:rsid w:val="00E36F74"/>
    <w:rsid w:val="00E37160"/>
    <w:rsid w:val="00E37307"/>
    <w:rsid w:val="00E37544"/>
    <w:rsid w:val="00E375B6"/>
    <w:rsid w:val="00E37675"/>
    <w:rsid w:val="00E37E4C"/>
    <w:rsid w:val="00E404E0"/>
    <w:rsid w:val="00E405C7"/>
    <w:rsid w:val="00E4086F"/>
    <w:rsid w:val="00E40890"/>
    <w:rsid w:val="00E40987"/>
    <w:rsid w:val="00E40B45"/>
    <w:rsid w:val="00E40B84"/>
    <w:rsid w:val="00E40CF2"/>
    <w:rsid w:val="00E40D83"/>
    <w:rsid w:val="00E40D93"/>
    <w:rsid w:val="00E40F10"/>
    <w:rsid w:val="00E40FA2"/>
    <w:rsid w:val="00E411A2"/>
    <w:rsid w:val="00E4120C"/>
    <w:rsid w:val="00E4126F"/>
    <w:rsid w:val="00E41451"/>
    <w:rsid w:val="00E419BD"/>
    <w:rsid w:val="00E41D99"/>
    <w:rsid w:val="00E41E11"/>
    <w:rsid w:val="00E42436"/>
    <w:rsid w:val="00E426AC"/>
    <w:rsid w:val="00E427A4"/>
    <w:rsid w:val="00E42B15"/>
    <w:rsid w:val="00E42F5E"/>
    <w:rsid w:val="00E42FA9"/>
    <w:rsid w:val="00E4301B"/>
    <w:rsid w:val="00E4334B"/>
    <w:rsid w:val="00E43457"/>
    <w:rsid w:val="00E4362E"/>
    <w:rsid w:val="00E436E1"/>
    <w:rsid w:val="00E4399E"/>
    <w:rsid w:val="00E43AB6"/>
    <w:rsid w:val="00E443DA"/>
    <w:rsid w:val="00E44776"/>
    <w:rsid w:val="00E44927"/>
    <w:rsid w:val="00E44B48"/>
    <w:rsid w:val="00E4534A"/>
    <w:rsid w:val="00E457C4"/>
    <w:rsid w:val="00E458D1"/>
    <w:rsid w:val="00E461D9"/>
    <w:rsid w:val="00E4691E"/>
    <w:rsid w:val="00E46C49"/>
    <w:rsid w:val="00E46C57"/>
    <w:rsid w:val="00E46D26"/>
    <w:rsid w:val="00E47823"/>
    <w:rsid w:val="00E478AC"/>
    <w:rsid w:val="00E47948"/>
    <w:rsid w:val="00E479AD"/>
    <w:rsid w:val="00E47A91"/>
    <w:rsid w:val="00E47C95"/>
    <w:rsid w:val="00E47DBE"/>
    <w:rsid w:val="00E47E76"/>
    <w:rsid w:val="00E50009"/>
    <w:rsid w:val="00E500B7"/>
    <w:rsid w:val="00E502EC"/>
    <w:rsid w:val="00E503FB"/>
    <w:rsid w:val="00E50594"/>
    <w:rsid w:val="00E509AB"/>
    <w:rsid w:val="00E509C2"/>
    <w:rsid w:val="00E50C0D"/>
    <w:rsid w:val="00E50C82"/>
    <w:rsid w:val="00E51129"/>
    <w:rsid w:val="00E5150E"/>
    <w:rsid w:val="00E51605"/>
    <w:rsid w:val="00E5163E"/>
    <w:rsid w:val="00E51751"/>
    <w:rsid w:val="00E51767"/>
    <w:rsid w:val="00E51EC8"/>
    <w:rsid w:val="00E52260"/>
    <w:rsid w:val="00E523EB"/>
    <w:rsid w:val="00E52445"/>
    <w:rsid w:val="00E52463"/>
    <w:rsid w:val="00E526FD"/>
    <w:rsid w:val="00E52AB2"/>
    <w:rsid w:val="00E5309B"/>
    <w:rsid w:val="00E530A8"/>
    <w:rsid w:val="00E53136"/>
    <w:rsid w:val="00E534AD"/>
    <w:rsid w:val="00E535AC"/>
    <w:rsid w:val="00E5382A"/>
    <w:rsid w:val="00E53926"/>
    <w:rsid w:val="00E53B8B"/>
    <w:rsid w:val="00E53DA1"/>
    <w:rsid w:val="00E53E26"/>
    <w:rsid w:val="00E54063"/>
    <w:rsid w:val="00E5417A"/>
    <w:rsid w:val="00E5458B"/>
    <w:rsid w:val="00E548A5"/>
    <w:rsid w:val="00E5499E"/>
    <w:rsid w:val="00E54A5B"/>
    <w:rsid w:val="00E54AB6"/>
    <w:rsid w:val="00E54AB9"/>
    <w:rsid w:val="00E54BEF"/>
    <w:rsid w:val="00E54E65"/>
    <w:rsid w:val="00E55118"/>
    <w:rsid w:val="00E55358"/>
    <w:rsid w:val="00E559CE"/>
    <w:rsid w:val="00E55AB5"/>
    <w:rsid w:val="00E55CC4"/>
    <w:rsid w:val="00E560E6"/>
    <w:rsid w:val="00E564A3"/>
    <w:rsid w:val="00E56753"/>
    <w:rsid w:val="00E568E4"/>
    <w:rsid w:val="00E56993"/>
    <w:rsid w:val="00E56BB3"/>
    <w:rsid w:val="00E56EA1"/>
    <w:rsid w:val="00E56F4A"/>
    <w:rsid w:val="00E57626"/>
    <w:rsid w:val="00E57AD8"/>
    <w:rsid w:val="00E57F3A"/>
    <w:rsid w:val="00E6017E"/>
    <w:rsid w:val="00E60212"/>
    <w:rsid w:val="00E603D9"/>
    <w:rsid w:val="00E60872"/>
    <w:rsid w:val="00E6099C"/>
    <w:rsid w:val="00E609B6"/>
    <w:rsid w:val="00E60B8D"/>
    <w:rsid w:val="00E60BAC"/>
    <w:rsid w:val="00E60D07"/>
    <w:rsid w:val="00E60D93"/>
    <w:rsid w:val="00E60E3B"/>
    <w:rsid w:val="00E610A8"/>
    <w:rsid w:val="00E611E2"/>
    <w:rsid w:val="00E61421"/>
    <w:rsid w:val="00E61453"/>
    <w:rsid w:val="00E61890"/>
    <w:rsid w:val="00E6199D"/>
    <w:rsid w:val="00E61B8F"/>
    <w:rsid w:val="00E61CC0"/>
    <w:rsid w:val="00E6213D"/>
    <w:rsid w:val="00E623E0"/>
    <w:rsid w:val="00E62625"/>
    <w:rsid w:val="00E62A7D"/>
    <w:rsid w:val="00E63041"/>
    <w:rsid w:val="00E630E3"/>
    <w:rsid w:val="00E6340A"/>
    <w:rsid w:val="00E6374C"/>
    <w:rsid w:val="00E63C50"/>
    <w:rsid w:val="00E63E8A"/>
    <w:rsid w:val="00E63F76"/>
    <w:rsid w:val="00E646F6"/>
    <w:rsid w:val="00E64769"/>
    <w:rsid w:val="00E649CE"/>
    <w:rsid w:val="00E649FB"/>
    <w:rsid w:val="00E64C4D"/>
    <w:rsid w:val="00E64E90"/>
    <w:rsid w:val="00E64ECA"/>
    <w:rsid w:val="00E64ED4"/>
    <w:rsid w:val="00E65078"/>
    <w:rsid w:val="00E65767"/>
    <w:rsid w:val="00E6594E"/>
    <w:rsid w:val="00E659E4"/>
    <w:rsid w:val="00E65AFF"/>
    <w:rsid w:val="00E65DE7"/>
    <w:rsid w:val="00E66300"/>
    <w:rsid w:val="00E663C9"/>
    <w:rsid w:val="00E6686B"/>
    <w:rsid w:val="00E668E9"/>
    <w:rsid w:val="00E669B0"/>
    <w:rsid w:val="00E66A9A"/>
    <w:rsid w:val="00E66B75"/>
    <w:rsid w:val="00E67577"/>
    <w:rsid w:val="00E678EB"/>
    <w:rsid w:val="00E67F2C"/>
    <w:rsid w:val="00E70476"/>
    <w:rsid w:val="00E7063C"/>
    <w:rsid w:val="00E706E9"/>
    <w:rsid w:val="00E7078C"/>
    <w:rsid w:val="00E70796"/>
    <w:rsid w:val="00E70916"/>
    <w:rsid w:val="00E70A23"/>
    <w:rsid w:val="00E70D80"/>
    <w:rsid w:val="00E70ED8"/>
    <w:rsid w:val="00E70F5E"/>
    <w:rsid w:val="00E71018"/>
    <w:rsid w:val="00E71201"/>
    <w:rsid w:val="00E721D7"/>
    <w:rsid w:val="00E7233D"/>
    <w:rsid w:val="00E723FC"/>
    <w:rsid w:val="00E7257B"/>
    <w:rsid w:val="00E72929"/>
    <w:rsid w:val="00E729BC"/>
    <w:rsid w:val="00E72AE9"/>
    <w:rsid w:val="00E72B7D"/>
    <w:rsid w:val="00E7303F"/>
    <w:rsid w:val="00E73B7A"/>
    <w:rsid w:val="00E73B91"/>
    <w:rsid w:val="00E74034"/>
    <w:rsid w:val="00E74057"/>
    <w:rsid w:val="00E745A6"/>
    <w:rsid w:val="00E74681"/>
    <w:rsid w:val="00E7475D"/>
    <w:rsid w:val="00E74765"/>
    <w:rsid w:val="00E74868"/>
    <w:rsid w:val="00E74C94"/>
    <w:rsid w:val="00E74ED0"/>
    <w:rsid w:val="00E75731"/>
    <w:rsid w:val="00E758A5"/>
    <w:rsid w:val="00E75A37"/>
    <w:rsid w:val="00E75E0C"/>
    <w:rsid w:val="00E7604A"/>
    <w:rsid w:val="00E76560"/>
    <w:rsid w:val="00E766B6"/>
    <w:rsid w:val="00E77210"/>
    <w:rsid w:val="00E774D8"/>
    <w:rsid w:val="00E7788D"/>
    <w:rsid w:val="00E77F83"/>
    <w:rsid w:val="00E8007B"/>
    <w:rsid w:val="00E804FA"/>
    <w:rsid w:val="00E80585"/>
    <w:rsid w:val="00E80620"/>
    <w:rsid w:val="00E80A90"/>
    <w:rsid w:val="00E80D82"/>
    <w:rsid w:val="00E80DAA"/>
    <w:rsid w:val="00E80E6A"/>
    <w:rsid w:val="00E81635"/>
    <w:rsid w:val="00E816DD"/>
    <w:rsid w:val="00E819C8"/>
    <w:rsid w:val="00E81B68"/>
    <w:rsid w:val="00E81D08"/>
    <w:rsid w:val="00E81D47"/>
    <w:rsid w:val="00E82275"/>
    <w:rsid w:val="00E822FE"/>
    <w:rsid w:val="00E82332"/>
    <w:rsid w:val="00E82807"/>
    <w:rsid w:val="00E828CB"/>
    <w:rsid w:val="00E82C43"/>
    <w:rsid w:val="00E83221"/>
    <w:rsid w:val="00E8342A"/>
    <w:rsid w:val="00E834C6"/>
    <w:rsid w:val="00E838AC"/>
    <w:rsid w:val="00E83993"/>
    <w:rsid w:val="00E83AC9"/>
    <w:rsid w:val="00E83B0A"/>
    <w:rsid w:val="00E83BC8"/>
    <w:rsid w:val="00E83F39"/>
    <w:rsid w:val="00E8479A"/>
    <w:rsid w:val="00E84D52"/>
    <w:rsid w:val="00E84D99"/>
    <w:rsid w:val="00E84F48"/>
    <w:rsid w:val="00E852CF"/>
    <w:rsid w:val="00E85456"/>
    <w:rsid w:val="00E85538"/>
    <w:rsid w:val="00E85887"/>
    <w:rsid w:val="00E85A43"/>
    <w:rsid w:val="00E85E3D"/>
    <w:rsid w:val="00E85F62"/>
    <w:rsid w:val="00E86065"/>
    <w:rsid w:val="00E862AF"/>
    <w:rsid w:val="00E86356"/>
    <w:rsid w:val="00E865D0"/>
    <w:rsid w:val="00E86BCD"/>
    <w:rsid w:val="00E86C44"/>
    <w:rsid w:val="00E87166"/>
    <w:rsid w:val="00E87432"/>
    <w:rsid w:val="00E87635"/>
    <w:rsid w:val="00E876FC"/>
    <w:rsid w:val="00E877BE"/>
    <w:rsid w:val="00E87A6E"/>
    <w:rsid w:val="00E87B0A"/>
    <w:rsid w:val="00E87D48"/>
    <w:rsid w:val="00E87FCD"/>
    <w:rsid w:val="00E9023C"/>
    <w:rsid w:val="00E90564"/>
    <w:rsid w:val="00E908D2"/>
    <w:rsid w:val="00E90A0B"/>
    <w:rsid w:val="00E90B71"/>
    <w:rsid w:val="00E90D02"/>
    <w:rsid w:val="00E9115B"/>
    <w:rsid w:val="00E912E7"/>
    <w:rsid w:val="00E915D3"/>
    <w:rsid w:val="00E915FC"/>
    <w:rsid w:val="00E9162C"/>
    <w:rsid w:val="00E919D0"/>
    <w:rsid w:val="00E91BE3"/>
    <w:rsid w:val="00E92270"/>
    <w:rsid w:val="00E922B5"/>
    <w:rsid w:val="00E92332"/>
    <w:rsid w:val="00E92558"/>
    <w:rsid w:val="00E9276A"/>
    <w:rsid w:val="00E927B1"/>
    <w:rsid w:val="00E92B97"/>
    <w:rsid w:val="00E92D09"/>
    <w:rsid w:val="00E932E0"/>
    <w:rsid w:val="00E934AA"/>
    <w:rsid w:val="00E93736"/>
    <w:rsid w:val="00E937C4"/>
    <w:rsid w:val="00E93D10"/>
    <w:rsid w:val="00E93EED"/>
    <w:rsid w:val="00E93FBD"/>
    <w:rsid w:val="00E9407E"/>
    <w:rsid w:val="00E941EB"/>
    <w:rsid w:val="00E943B8"/>
    <w:rsid w:val="00E94477"/>
    <w:rsid w:val="00E9454E"/>
    <w:rsid w:val="00E946E9"/>
    <w:rsid w:val="00E949DB"/>
    <w:rsid w:val="00E94A17"/>
    <w:rsid w:val="00E94C20"/>
    <w:rsid w:val="00E94D12"/>
    <w:rsid w:val="00E9511E"/>
    <w:rsid w:val="00E952A8"/>
    <w:rsid w:val="00E95397"/>
    <w:rsid w:val="00E953DB"/>
    <w:rsid w:val="00E9577E"/>
    <w:rsid w:val="00E95906"/>
    <w:rsid w:val="00E95D55"/>
    <w:rsid w:val="00E95E15"/>
    <w:rsid w:val="00E95F62"/>
    <w:rsid w:val="00E963A4"/>
    <w:rsid w:val="00E964AB"/>
    <w:rsid w:val="00E96552"/>
    <w:rsid w:val="00E967F3"/>
    <w:rsid w:val="00E96920"/>
    <w:rsid w:val="00E96C53"/>
    <w:rsid w:val="00E96C71"/>
    <w:rsid w:val="00E96CDD"/>
    <w:rsid w:val="00E97247"/>
    <w:rsid w:val="00E974BB"/>
    <w:rsid w:val="00E97DE5"/>
    <w:rsid w:val="00EA0375"/>
    <w:rsid w:val="00EA0A01"/>
    <w:rsid w:val="00EA0B15"/>
    <w:rsid w:val="00EA0CAE"/>
    <w:rsid w:val="00EA0D82"/>
    <w:rsid w:val="00EA103A"/>
    <w:rsid w:val="00EA103F"/>
    <w:rsid w:val="00EA13A0"/>
    <w:rsid w:val="00EA1629"/>
    <w:rsid w:val="00EA21B5"/>
    <w:rsid w:val="00EA225E"/>
    <w:rsid w:val="00EA2395"/>
    <w:rsid w:val="00EA28E3"/>
    <w:rsid w:val="00EA30F5"/>
    <w:rsid w:val="00EA3230"/>
    <w:rsid w:val="00EA3350"/>
    <w:rsid w:val="00EA36D5"/>
    <w:rsid w:val="00EA386F"/>
    <w:rsid w:val="00EA3A0F"/>
    <w:rsid w:val="00EA3FC5"/>
    <w:rsid w:val="00EA4157"/>
    <w:rsid w:val="00EA475E"/>
    <w:rsid w:val="00EA498A"/>
    <w:rsid w:val="00EA4A21"/>
    <w:rsid w:val="00EA4B90"/>
    <w:rsid w:val="00EA4D33"/>
    <w:rsid w:val="00EA4D35"/>
    <w:rsid w:val="00EA5AD4"/>
    <w:rsid w:val="00EA5B9F"/>
    <w:rsid w:val="00EA6093"/>
    <w:rsid w:val="00EA61BB"/>
    <w:rsid w:val="00EA65C1"/>
    <w:rsid w:val="00EA691C"/>
    <w:rsid w:val="00EA6937"/>
    <w:rsid w:val="00EA6945"/>
    <w:rsid w:val="00EA6AF0"/>
    <w:rsid w:val="00EA6B22"/>
    <w:rsid w:val="00EA6BA7"/>
    <w:rsid w:val="00EA6C42"/>
    <w:rsid w:val="00EA6EA5"/>
    <w:rsid w:val="00EA6FE1"/>
    <w:rsid w:val="00EA7301"/>
    <w:rsid w:val="00EA7342"/>
    <w:rsid w:val="00EA7645"/>
    <w:rsid w:val="00EA7752"/>
    <w:rsid w:val="00EA77F3"/>
    <w:rsid w:val="00EA792E"/>
    <w:rsid w:val="00EA7994"/>
    <w:rsid w:val="00EA79C1"/>
    <w:rsid w:val="00EA7B05"/>
    <w:rsid w:val="00EA7B1A"/>
    <w:rsid w:val="00EA7F69"/>
    <w:rsid w:val="00EA7FA3"/>
    <w:rsid w:val="00EB04C4"/>
    <w:rsid w:val="00EB0565"/>
    <w:rsid w:val="00EB0983"/>
    <w:rsid w:val="00EB09EA"/>
    <w:rsid w:val="00EB135E"/>
    <w:rsid w:val="00EB1483"/>
    <w:rsid w:val="00EB1606"/>
    <w:rsid w:val="00EB164B"/>
    <w:rsid w:val="00EB1ABE"/>
    <w:rsid w:val="00EB1F6F"/>
    <w:rsid w:val="00EB209E"/>
    <w:rsid w:val="00EB2198"/>
    <w:rsid w:val="00EB240F"/>
    <w:rsid w:val="00EB24D4"/>
    <w:rsid w:val="00EB25C0"/>
    <w:rsid w:val="00EB290C"/>
    <w:rsid w:val="00EB2AD9"/>
    <w:rsid w:val="00EB32F5"/>
    <w:rsid w:val="00EB330A"/>
    <w:rsid w:val="00EB33E7"/>
    <w:rsid w:val="00EB3588"/>
    <w:rsid w:val="00EB36AA"/>
    <w:rsid w:val="00EB3C2A"/>
    <w:rsid w:val="00EB3FC5"/>
    <w:rsid w:val="00EB40AC"/>
    <w:rsid w:val="00EB4583"/>
    <w:rsid w:val="00EB4610"/>
    <w:rsid w:val="00EB4716"/>
    <w:rsid w:val="00EB47B9"/>
    <w:rsid w:val="00EB4B2A"/>
    <w:rsid w:val="00EB5087"/>
    <w:rsid w:val="00EB5181"/>
    <w:rsid w:val="00EB5255"/>
    <w:rsid w:val="00EB5290"/>
    <w:rsid w:val="00EB5358"/>
    <w:rsid w:val="00EB5475"/>
    <w:rsid w:val="00EB555C"/>
    <w:rsid w:val="00EB5886"/>
    <w:rsid w:val="00EB5B8C"/>
    <w:rsid w:val="00EB5CD1"/>
    <w:rsid w:val="00EB5D6B"/>
    <w:rsid w:val="00EB6049"/>
    <w:rsid w:val="00EB660B"/>
    <w:rsid w:val="00EB68C8"/>
    <w:rsid w:val="00EB699A"/>
    <w:rsid w:val="00EB6E2F"/>
    <w:rsid w:val="00EB6EC8"/>
    <w:rsid w:val="00EB75AD"/>
    <w:rsid w:val="00EB7929"/>
    <w:rsid w:val="00EB7D87"/>
    <w:rsid w:val="00EB7DA4"/>
    <w:rsid w:val="00EB7FEE"/>
    <w:rsid w:val="00EC012C"/>
    <w:rsid w:val="00EC017D"/>
    <w:rsid w:val="00EC0227"/>
    <w:rsid w:val="00EC0306"/>
    <w:rsid w:val="00EC0591"/>
    <w:rsid w:val="00EC06C2"/>
    <w:rsid w:val="00EC080E"/>
    <w:rsid w:val="00EC0869"/>
    <w:rsid w:val="00EC0A17"/>
    <w:rsid w:val="00EC0CFC"/>
    <w:rsid w:val="00EC0E9F"/>
    <w:rsid w:val="00EC0F8B"/>
    <w:rsid w:val="00EC1261"/>
    <w:rsid w:val="00EC1642"/>
    <w:rsid w:val="00EC1979"/>
    <w:rsid w:val="00EC1CD7"/>
    <w:rsid w:val="00EC1E7B"/>
    <w:rsid w:val="00EC1F5E"/>
    <w:rsid w:val="00EC21F7"/>
    <w:rsid w:val="00EC247E"/>
    <w:rsid w:val="00EC2564"/>
    <w:rsid w:val="00EC2B0A"/>
    <w:rsid w:val="00EC3131"/>
    <w:rsid w:val="00EC3178"/>
    <w:rsid w:val="00EC3755"/>
    <w:rsid w:val="00EC37E4"/>
    <w:rsid w:val="00EC37FD"/>
    <w:rsid w:val="00EC3D74"/>
    <w:rsid w:val="00EC3D82"/>
    <w:rsid w:val="00EC3FF0"/>
    <w:rsid w:val="00EC4153"/>
    <w:rsid w:val="00EC442D"/>
    <w:rsid w:val="00EC444A"/>
    <w:rsid w:val="00EC4689"/>
    <w:rsid w:val="00EC477B"/>
    <w:rsid w:val="00EC47B5"/>
    <w:rsid w:val="00EC4CDF"/>
    <w:rsid w:val="00EC4D5D"/>
    <w:rsid w:val="00EC4E08"/>
    <w:rsid w:val="00EC4E53"/>
    <w:rsid w:val="00EC506E"/>
    <w:rsid w:val="00EC5599"/>
    <w:rsid w:val="00EC5638"/>
    <w:rsid w:val="00EC5914"/>
    <w:rsid w:val="00EC5C8A"/>
    <w:rsid w:val="00EC5DEC"/>
    <w:rsid w:val="00EC5F78"/>
    <w:rsid w:val="00EC64CD"/>
    <w:rsid w:val="00EC6844"/>
    <w:rsid w:val="00EC6855"/>
    <w:rsid w:val="00EC6AE2"/>
    <w:rsid w:val="00EC6C85"/>
    <w:rsid w:val="00EC6CC9"/>
    <w:rsid w:val="00EC6D2C"/>
    <w:rsid w:val="00EC6F5A"/>
    <w:rsid w:val="00EC70E0"/>
    <w:rsid w:val="00EC733C"/>
    <w:rsid w:val="00EC735F"/>
    <w:rsid w:val="00EC7427"/>
    <w:rsid w:val="00EC7821"/>
    <w:rsid w:val="00EC7BB3"/>
    <w:rsid w:val="00EC7DDF"/>
    <w:rsid w:val="00EC7EB2"/>
    <w:rsid w:val="00EC7F75"/>
    <w:rsid w:val="00ED00A4"/>
    <w:rsid w:val="00ED0561"/>
    <w:rsid w:val="00ED0645"/>
    <w:rsid w:val="00ED08F7"/>
    <w:rsid w:val="00ED10EC"/>
    <w:rsid w:val="00ED12AF"/>
    <w:rsid w:val="00ED1AA7"/>
    <w:rsid w:val="00ED21DF"/>
    <w:rsid w:val="00ED28BB"/>
    <w:rsid w:val="00ED2977"/>
    <w:rsid w:val="00ED2C4B"/>
    <w:rsid w:val="00ED30F8"/>
    <w:rsid w:val="00ED323A"/>
    <w:rsid w:val="00ED339D"/>
    <w:rsid w:val="00ED358C"/>
    <w:rsid w:val="00ED3596"/>
    <w:rsid w:val="00ED38FC"/>
    <w:rsid w:val="00ED3C70"/>
    <w:rsid w:val="00ED411C"/>
    <w:rsid w:val="00ED4129"/>
    <w:rsid w:val="00ED44AF"/>
    <w:rsid w:val="00ED45F8"/>
    <w:rsid w:val="00ED4657"/>
    <w:rsid w:val="00ED4ECC"/>
    <w:rsid w:val="00ED4FF3"/>
    <w:rsid w:val="00ED518B"/>
    <w:rsid w:val="00ED55CF"/>
    <w:rsid w:val="00ED587F"/>
    <w:rsid w:val="00ED58F7"/>
    <w:rsid w:val="00ED5986"/>
    <w:rsid w:val="00ED5A32"/>
    <w:rsid w:val="00ED5B4C"/>
    <w:rsid w:val="00ED60F9"/>
    <w:rsid w:val="00ED63B2"/>
    <w:rsid w:val="00ED6A98"/>
    <w:rsid w:val="00ED6E2F"/>
    <w:rsid w:val="00ED714A"/>
    <w:rsid w:val="00ED723B"/>
    <w:rsid w:val="00ED7BE2"/>
    <w:rsid w:val="00ED7DDB"/>
    <w:rsid w:val="00ED7E9C"/>
    <w:rsid w:val="00EE0357"/>
    <w:rsid w:val="00EE05AA"/>
    <w:rsid w:val="00EE05CB"/>
    <w:rsid w:val="00EE06E2"/>
    <w:rsid w:val="00EE0A20"/>
    <w:rsid w:val="00EE0A77"/>
    <w:rsid w:val="00EE0A84"/>
    <w:rsid w:val="00EE0CDC"/>
    <w:rsid w:val="00EE0CF4"/>
    <w:rsid w:val="00EE0CF7"/>
    <w:rsid w:val="00EE0D2E"/>
    <w:rsid w:val="00EE0DCE"/>
    <w:rsid w:val="00EE10BC"/>
    <w:rsid w:val="00EE12BF"/>
    <w:rsid w:val="00EE16D4"/>
    <w:rsid w:val="00EE1828"/>
    <w:rsid w:val="00EE1AAE"/>
    <w:rsid w:val="00EE1E33"/>
    <w:rsid w:val="00EE1E9C"/>
    <w:rsid w:val="00EE1F5A"/>
    <w:rsid w:val="00EE2017"/>
    <w:rsid w:val="00EE2139"/>
    <w:rsid w:val="00EE248C"/>
    <w:rsid w:val="00EE2574"/>
    <w:rsid w:val="00EE2BB8"/>
    <w:rsid w:val="00EE2C87"/>
    <w:rsid w:val="00EE2E50"/>
    <w:rsid w:val="00EE2EE9"/>
    <w:rsid w:val="00EE2FA7"/>
    <w:rsid w:val="00EE3208"/>
    <w:rsid w:val="00EE3231"/>
    <w:rsid w:val="00EE3379"/>
    <w:rsid w:val="00EE3515"/>
    <w:rsid w:val="00EE36E3"/>
    <w:rsid w:val="00EE37EB"/>
    <w:rsid w:val="00EE3B1D"/>
    <w:rsid w:val="00EE3C60"/>
    <w:rsid w:val="00EE3D6E"/>
    <w:rsid w:val="00EE42F2"/>
    <w:rsid w:val="00EE431E"/>
    <w:rsid w:val="00EE435D"/>
    <w:rsid w:val="00EE4646"/>
    <w:rsid w:val="00EE487B"/>
    <w:rsid w:val="00EE4A89"/>
    <w:rsid w:val="00EE501A"/>
    <w:rsid w:val="00EE514D"/>
    <w:rsid w:val="00EE549D"/>
    <w:rsid w:val="00EE54BC"/>
    <w:rsid w:val="00EE5816"/>
    <w:rsid w:val="00EE5BCF"/>
    <w:rsid w:val="00EE5FCE"/>
    <w:rsid w:val="00EE61A2"/>
    <w:rsid w:val="00EE6233"/>
    <w:rsid w:val="00EE63E0"/>
    <w:rsid w:val="00EE670E"/>
    <w:rsid w:val="00EE6792"/>
    <w:rsid w:val="00EE686D"/>
    <w:rsid w:val="00EE6A66"/>
    <w:rsid w:val="00EE6B97"/>
    <w:rsid w:val="00EE6BF2"/>
    <w:rsid w:val="00EE6CF4"/>
    <w:rsid w:val="00EE6DE6"/>
    <w:rsid w:val="00EE6DEC"/>
    <w:rsid w:val="00EE74D1"/>
    <w:rsid w:val="00EE7797"/>
    <w:rsid w:val="00EE7A74"/>
    <w:rsid w:val="00EE7D7F"/>
    <w:rsid w:val="00EE7E63"/>
    <w:rsid w:val="00EF0264"/>
    <w:rsid w:val="00EF0376"/>
    <w:rsid w:val="00EF05AD"/>
    <w:rsid w:val="00EF05CC"/>
    <w:rsid w:val="00EF06D7"/>
    <w:rsid w:val="00EF0754"/>
    <w:rsid w:val="00EF084C"/>
    <w:rsid w:val="00EF08F1"/>
    <w:rsid w:val="00EF0925"/>
    <w:rsid w:val="00EF0A10"/>
    <w:rsid w:val="00EF0D4D"/>
    <w:rsid w:val="00EF1064"/>
    <w:rsid w:val="00EF123F"/>
    <w:rsid w:val="00EF136A"/>
    <w:rsid w:val="00EF157F"/>
    <w:rsid w:val="00EF15B4"/>
    <w:rsid w:val="00EF17B8"/>
    <w:rsid w:val="00EF1CBF"/>
    <w:rsid w:val="00EF1F50"/>
    <w:rsid w:val="00EF1FCE"/>
    <w:rsid w:val="00EF243F"/>
    <w:rsid w:val="00EF24BE"/>
    <w:rsid w:val="00EF2545"/>
    <w:rsid w:val="00EF27DA"/>
    <w:rsid w:val="00EF27E8"/>
    <w:rsid w:val="00EF2AB7"/>
    <w:rsid w:val="00EF2B1D"/>
    <w:rsid w:val="00EF2D2E"/>
    <w:rsid w:val="00EF2D71"/>
    <w:rsid w:val="00EF31BD"/>
    <w:rsid w:val="00EF3422"/>
    <w:rsid w:val="00EF35DE"/>
    <w:rsid w:val="00EF39C2"/>
    <w:rsid w:val="00EF3F23"/>
    <w:rsid w:val="00EF4086"/>
    <w:rsid w:val="00EF43CC"/>
    <w:rsid w:val="00EF4506"/>
    <w:rsid w:val="00EF45C0"/>
    <w:rsid w:val="00EF48D4"/>
    <w:rsid w:val="00EF4B98"/>
    <w:rsid w:val="00EF4BE0"/>
    <w:rsid w:val="00EF4CFC"/>
    <w:rsid w:val="00EF4E43"/>
    <w:rsid w:val="00EF51C0"/>
    <w:rsid w:val="00EF5481"/>
    <w:rsid w:val="00EF5573"/>
    <w:rsid w:val="00EF55C0"/>
    <w:rsid w:val="00EF5CCB"/>
    <w:rsid w:val="00EF5FFA"/>
    <w:rsid w:val="00EF60BB"/>
    <w:rsid w:val="00EF628B"/>
    <w:rsid w:val="00EF62E4"/>
    <w:rsid w:val="00EF6347"/>
    <w:rsid w:val="00EF670F"/>
    <w:rsid w:val="00EF6854"/>
    <w:rsid w:val="00EF69D4"/>
    <w:rsid w:val="00EF6ABF"/>
    <w:rsid w:val="00EF6B4D"/>
    <w:rsid w:val="00EF6C2B"/>
    <w:rsid w:val="00EF6D23"/>
    <w:rsid w:val="00EF6E1E"/>
    <w:rsid w:val="00EF756E"/>
    <w:rsid w:val="00EF7846"/>
    <w:rsid w:val="00EF79FC"/>
    <w:rsid w:val="00EF7DBA"/>
    <w:rsid w:val="00F00021"/>
    <w:rsid w:val="00F0004E"/>
    <w:rsid w:val="00F002BE"/>
    <w:rsid w:val="00F0077F"/>
    <w:rsid w:val="00F00792"/>
    <w:rsid w:val="00F00C97"/>
    <w:rsid w:val="00F01289"/>
    <w:rsid w:val="00F0161C"/>
    <w:rsid w:val="00F01821"/>
    <w:rsid w:val="00F01830"/>
    <w:rsid w:val="00F018DF"/>
    <w:rsid w:val="00F01C83"/>
    <w:rsid w:val="00F0232D"/>
    <w:rsid w:val="00F024E8"/>
    <w:rsid w:val="00F025E8"/>
    <w:rsid w:val="00F02603"/>
    <w:rsid w:val="00F02692"/>
    <w:rsid w:val="00F02797"/>
    <w:rsid w:val="00F02894"/>
    <w:rsid w:val="00F02CC2"/>
    <w:rsid w:val="00F03362"/>
    <w:rsid w:val="00F03AED"/>
    <w:rsid w:val="00F03C4A"/>
    <w:rsid w:val="00F03CB9"/>
    <w:rsid w:val="00F03D10"/>
    <w:rsid w:val="00F03DBA"/>
    <w:rsid w:val="00F03E4F"/>
    <w:rsid w:val="00F04368"/>
    <w:rsid w:val="00F045B9"/>
    <w:rsid w:val="00F04A3C"/>
    <w:rsid w:val="00F0500C"/>
    <w:rsid w:val="00F05167"/>
    <w:rsid w:val="00F0551E"/>
    <w:rsid w:val="00F057BD"/>
    <w:rsid w:val="00F05800"/>
    <w:rsid w:val="00F05837"/>
    <w:rsid w:val="00F058DD"/>
    <w:rsid w:val="00F05A18"/>
    <w:rsid w:val="00F05A33"/>
    <w:rsid w:val="00F05C9B"/>
    <w:rsid w:val="00F060C9"/>
    <w:rsid w:val="00F06219"/>
    <w:rsid w:val="00F0644F"/>
    <w:rsid w:val="00F06ADB"/>
    <w:rsid w:val="00F06AE4"/>
    <w:rsid w:val="00F06D2E"/>
    <w:rsid w:val="00F06DCD"/>
    <w:rsid w:val="00F06FE5"/>
    <w:rsid w:val="00F070DE"/>
    <w:rsid w:val="00F07499"/>
    <w:rsid w:val="00F075AE"/>
    <w:rsid w:val="00F0775E"/>
    <w:rsid w:val="00F077F5"/>
    <w:rsid w:val="00F079C0"/>
    <w:rsid w:val="00F07AD7"/>
    <w:rsid w:val="00F07B07"/>
    <w:rsid w:val="00F07CCB"/>
    <w:rsid w:val="00F07ECE"/>
    <w:rsid w:val="00F103CA"/>
    <w:rsid w:val="00F10532"/>
    <w:rsid w:val="00F10572"/>
    <w:rsid w:val="00F106E3"/>
    <w:rsid w:val="00F107F2"/>
    <w:rsid w:val="00F108EB"/>
    <w:rsid w:val="00F10C9D"/>
    <w:rsid w:val="00F10D06"/>
    <w:rsid w:val="00F11175"/>
    <w:rsid w:val="00F11547"/>
    <w:rsid w:val="00F11989"/>
    <w:rsid w:val="00F11A44"/>
    <w:rsid w:val="00F11A62"/>
    <w:rsid w:val="00F11ADB"/>
    <w:rsid w:val="00F11CED"/>
    <w:rsid w:val="00F12481"/>
    <w:rsid w:val="00F124E8"/>
    <w:rsid w:val="00F12730"/>
    <w:rsid w:val="00F129DF"/>
    <w:rsid w:val="00F129E5"/>
    <w:rsid w:val="00F12AC1"/>
    <w:rsid w:val="00F12D72"/>
    <w:rsid w:val="00F12EFB"/>
    <w:rsid w:val="00F132E7"/>
    <w:rsid w:val="00F132FB"/>
    <w:rsid w:val="00F134D4"/>
    <w:rsid w:val="00F138E8"/>
    <w:rsid w:val="00F13952"/>
    <w:rsid w:val="00F13FE1"/>
    <w:rsid w:val="00F142B9"/>
    <w:rsid w:val="00F143B1"/>
    <w:rsid w:val="00F14D30"/>
    <w:rsid w:val="00F14FBD"/>
    <w:rsid w:val="00F1502E"/>
    <w:rsid w:val="00F1518C"/>
    <w:rsid w:val="00F1528E"/>
    <w:rsid w:val="00F153BC"/>
    <w:rsid w:val="00F154E2"/>
    <w:rsid w:val="00F1569B"/>
    <w:rsid w:val="00F15AA6"/>
    <w:rsid w:val="00F15EAA"/>
    <w:rsid w:val="00F15F5C"/>
    <w:rsid w:val="00F15F9F"/>
    <w:rsid w:val="00F16256"/>
    <w:rsid w:val="00F16387"/>
    <w:rsid w:val="00F165A8"/>
    <w:rsid w:val="00F1666D"/>
    <w:rsid w:val="00F16821"/>
    <w:rsid w:val="00F16962"/>
    <w:rsid w:val="00F16D45"/>
    <w:rsid w:val="00F17831"/>
    <w:rsid w:val="00F17C16"/>
    <w:rsid w:val="00F17E36"/>
    <w:rsid w:val="00F17E61"/>
    <w:rsid w:val="00F2003A"/>
    <w:rsid w:val="00F200E1"/>
    <w:rsid w:val="00F201C0"/>
    <w:rsid w:val="00F2021B"/>
    <w:rsid w:val="00F20619"/>
    <w:rsid w:val="00F20659"/>
    <w:rsid w:val="00F20C40"/>
    <w:rsid w:val="00F20DE9"/>
    <w:rsid w:val="00F20F50"/>
    <w:rsid w:val="00F21239"/>
    <w:rsid w:val="00F213BA"/>
    <w:rsid w:val="00F215BF"/>
    <w:rsid w:val="00F2176E"/>
    <w:rsid w:val="00F21A2D"/>
    <w:rsid w:val="00F21D1E"/>
    <w:rsid w:val="00F21FE4"/>
    <w:rsid w:val="00F22506"/>
    <w:rsid w:val="00F22593"/>
    <w:rsid w:val="00F2263F"/>
    <w:rsid w:val="00F22D57"/>
    <w:rsid w:val="00F2301E"/>
    <w:rsid w:val="00F23266"/>
    <w:rsid w:val="00F232AF"/>
    <w:rsid w:val="00F23337"/>
    <w:rsid w:val="00F23515"/>
    <w:rsid w:val="00F23598"/>
    <w:rsid w:val="00F23744"/>
    <w:rsid w:val="00F23957"/>
    <w:rsid w:val="00F23A17"/>
    <w:rsid w:val="00F23A52"/>
    <w:rsid w:val="00F23AB4"/>
    <w:rsid w:val="00F23D23"/>
    <w:rsid w:val="00F23DEF"/>
    <w:rsid w:val="00F23E29"/>
    <w:rsid w:val="00F23ED2"/>
    <w:rsid w:val="00F24236"/>
    <w:rsid w:val="00F2430A"/>
    <w:rsid w:val="00F24383"/>
    <w:rsid w:val="00F246CA"/>
    <w:rsid w:val="00F2470C"/>
    <w:rsid w:val="00F24856"/>
    <w:rsid w:val="00F24858"/>
    <w:rsid w:val="00F24902"/>
    <w:rsid w:val="00F24AB6"/>
    <w:rsid w:val="00F24B01"/>
    <w:rsid w:val="00F24C7E"/>
    <w:rsid w:val="00F24DE5"/>
    <w:rsid w:val="00F2568E"/>
    <w:rsid w:val="00F25727"/>
    <w:rsid w:val="00F257E7"/>
    <w:rsid w:val="00F25806"/>
    <w:rsid w:val="00F2583E"/>
    <w:rsid w:val="00F25928"/>
    <w:rsid w:val="00F25BF4"/>
    <w:rsid w:val="00F25BF6"/>
    <w:rsid w:val="00F25C81"/>
    <w:rsid w:val="00F25ED8"/>
    <w:rsid w:val="00F26118"/>
    <w:rsid w:val="00F26418"/>
    <w:rsid w:val="00F2657B"/>
    <w:rsid w:val="00F265A4"/>
    <w:rsid w:val="00F26615"/>
    <w:rsid w:val="00F269E1"/>
    <w:rsid w:val="00F26A9F"/>
    <w:rsid w:val="00F27014"/>
    <w:rsid w:val="00F27028"/>
    <w:rsid w:val="00F2702C"/>
    <w:rsid w:val="00F271EB"/>
    <w:rsid w:val="00F272F6"/>
    <w:rsid w:val="00F27BEB"/>
    <w:rsid w:val="00F27DD2"/>
    <w:rsid w:val="00F3062A"/>
    <w:rsid w:val="00F3070F"/>
    <w:rsid w:val="00F3081C"/>
    <w:rsid w:val="00F309CF"/>
    <w:rsid w:val="00F30F89"/>
    <w:rsid w:val="00F31049"/>
    <w:rsid w:val="00F3140E"/>
    <w:rsid w:val="00F3150F"/>
    <w:rsid w:val="00F315D5"/>
    <w:rsid w:val="00F31807"/>
    <w:rsid w:val="00F3192C"/>
    <w:rsid w:val="00F31AD9"/>
    <w:rsid w:val="00F31B2D"/>
    <w:rsid w:val="00F3214F"/>
    <w:rsid w:val="00F323BC"/>
    <w:rsid w:val="00F32459"/>
    <w:rsid w:val="00F32514"/>
    <w:rsid w:val="00F3277E"/>
    <w:rsid w:val="00F32B47"/>
    <w:rsid w:val="00F32D07"/>
    <w:rsid w:val="00F339A2"/>
    <w:rsid w:val="00F33A6C"/>
    <w:rsid w:val="00F33F01"/>
    <w:rsid w:val="00F33FF0"/>
    <w:rsid w:val="00F34042"/>
    <w:rsid w:val="00F3413A"/>
    <w:rsid w:val="00F342AE"/>
    <w:rsid w:val="00F34516"/>
    <w:rsid w:val="00F3462A"/>
    <w:rsid w:val="00F348A1"/>
    <w:rsid w:val="00F348BC"/>
    <w:rsid w:val="00F34A0A"/>
    <w:rsid w:val="00F34AB7"/>
    <w:rsid w:val="00F351E1"/>
    <w:rsid w:val="00F35264"/>
    <w:rsid w:val="00F355F0"/>
    <w:rsid w:val="00F3579B"/>
    <w:rsid w:val="00F357CD"/>
    <w:rsid w:val="00F35C85"/>
    <w:rsid w:val="00F35D0B"/>
    <w:rsid w:val="00F35ECE"/>
    <w:rsid w:val="00F35EDF"/>
    <w:rsid w:val="00F36093"/>
    <w:rsid w:val="00F366C4"/>
    <w:rsid w:val="00F367AD"/>
    <w:rsid w:val="00F367CD"/>
    <w:rsid w:val="00F3697F"/>
    <w:rsid w:val="00F36A0E"/>
    <w:rsid w:val="00F36B76"/>
    <w:rsid w:val="00F36DD0"/>
    <w:rsid w:val="00F36F6B"/>
    <w:rsid w:val="00F3703C"/>
    <w:rsid w:val="00F3755C"/>
    <w:rsid w:val="00F37577"/>
    <w:rsid w:val="00F37B20"/>
    <w:rsid w:val="00F4013D"/>
    <w:rsid w:val="00F40455"/>
    <w:rsid w:val="00F406A4"/>
    <w:rsid w:val="00F406F4"/>
    <w:rsid w:val="00F40BA0"/>
    <w:rsid w:val="00F40BB9"/>
    <w:rsid w:val="00F40E24"/>
    <w:rsid w:val="00F40FB7"/>
    <w:rsid w:val="00F4102D"/>
    <w:rsid w:val="00F4144D"/>
    <w:rsid w:val="00F414A1"/>
    <w:rsid w:val="00F41B81"/>
    <w:rsid w:val="00F41D1B"/>
    <w:rsid w:val="00F41D1D"/>
    <w:rsid w:val="00F42071"/>
    <w:rsid w:val="00F42150"/>
    <w:rsid w:val="00F42250"/>
    <w:rsid w:val="00F42266"/>
    <w:rsid w:val="00F4227B"/>
    <w:rsid w:val="00F42377"/>
    <w:rsid w:val="00F42643"/>
    <w:rsid w:val="00F426B5"/>
    <w:rsid w:val="00F427C7"/>
    <w:rsid w:val="00F42877"/>
    <w:rsid w:val="00F42BD1"/>
    <w:rsid w:val="00F42D74"/>
    <w:rsid w:val="00F42FFE"/>
    <w:rsid w:val="00F431C2"/>
    <w:rsid w:val="00F433FE"/>
    <w:rsid w:val="00F438E5"/>
    <w:rsid w:val="00F4397A"/>
    <w:rsid w:val="00F43E17"/>
    <w:rsid w:val="00F43F25"/>
    <w:rsid w:val="00F442EF"/>
    <w:rsid w:val="00F4448B"/>
    <w:rsid w:val="00F445E4"/>
    <w:rsid w:val="00F445F3"/>
    <w:rsid w:val="00F4476F"/>
    <w:rsid w:val="00F44817"/>
    <w:rsid w:val="00F448D8"/>
    <w:rsid w:val="00F448EC"/>
    <w:rsid w:val="00F45023"/>
    <w:rsid w:val="00F45293"/>
    <w:rsid w:val="00F456F3"/>
    <w:rsid w:val="00F45778"/>
    <w:rsid w:val="00F45838"/>
    <w:rsid w:val="00F4590D"/>
    <w:rsid w:val="00F45E5C"/>
    <w:rsid w:val="00F460F0"/>
    <w:rsid w:val="00F4617E"/>
    <w:rsid w:val="00F46411"/>
    <w:rsid w:val="00F46991"/>
    <w:rsid w:val="00F46E40"/>
    <w:rsid w:val="00F471CC"/>
    <w:rsid w:val="00F47882"/>
    <w:rsid w:val="00F47ABC"/>
    <w:rsid w:val="00F47AD4"/>
    <w:rsid w:val="00F47B0F"/>
    <w:rsid w:val="00F47EFD"/>
    <w:rsid w:val="00F47FB3"/>
    <w:rsid w:val="00F50082"/>
    <w:rsid w:val="00F501B3"/>
    <w:rsid w:val="00F502ED"/>
    <w:rsid w:val="00F506EF"/>
    <w:rsid w:val="00F509D6"/>
    <w:rsid w:val="00F50C28"/>
    <w:rsid w:val="00F50F7A"/>
    <w:rsid w:val="00F511C3"/>
    <w:rsid w:val="00F513A5"/>
    <w:rsid w:val="00F5140D"/>
    <w:rsid w:val="00F515A6"/>
    <w:rsid w:val="00F516FF"/>
    <w:rsid w:val="00F51D15"/>
    <w:rsid w:val="00F51E08"/>
    <w:rsid w:val="00F51E76"/>
    <w:rsid w:val="00F52050"/>
    <w:rsid w:val="00F5228F"/>
    <w:rsid w:val="00F52512"/>
    <w:rsid w:val="00F52536"/>
    <w:rsid w:val="00F52670"/>
    <w:rsid w:val="00F52B72"/>
    <w:rsid w:val="00F52C83"/>
    <w:rsid w:val="00F52CB5"/>
    <w:rsid w:val="00F52E49"/>
    <w:rsid w:val="00F530E5"/>
    <w:rsid w:val="00F53100"/>
    <w:rsid w:val="00F531A5"/>
    <w:rsid w:val="00F53214"/>
    <w:rsid w:val="00F534F2"/>
    <w:rsid w:val="00F539AF"/>
    <w:rsid w:val="00F53C9E"/>
    <w:rsid w:val="00F540D0"/>
    <w:rsid w:val="00F54210"/>
    <w:rsid w:val="00F548FC"/>
    <w:rsid w:val="00F54A76"/>
    <w:rsid w:val="00F54B80"/>
    <w:rsid w:val="00F54BA6"/>
    <w:rsid w:val="00F54E65"/>
    <w:rsid w:val="00F54F46"/>
    <w:rsid w:val="00F552C3"/>
    <w:rsid w:val="00F5569D"/>
    <w:rsid w:val="00F55835"/>
    <w:rsid w:val="00F558C8"/>
    <w:rsid w:val="00F55A91"/>
    <w:rsid w:val="00F55B6D"/>
    <w:rsid w:val="00F55BB0"/>
    <w:rsid w:val="00F560D6"/>
    <w:rsid w:val="00F56177"/>
    <w:rsid w:val="00F56255"/>
    <w:rsid w:val="00F56375"/>
    <w:rsid w:val="00F565A3"/>
    <w:rsid w:val="00F56765"/>
    <w:rsid w:val="00F56953"/>
    <w:rsid w:val="00F56AC3"/>
    <w:rsid w:val="00F56C35"/>
    <w:rsid w:val="00F56D49"/>
    <w:rsid w:val="00F56FAD"/>
    <w:rsid w:val="00F573C4"/>
    <w:rsid w:val="00F573E0"/>
    <w:rsid w:val="00F579AC"/>
    <w:rsid w:val="00F57A9D"/>
    <w:rsid w:val="00F57B87"/>
    <w:rsid w:val="00F57D15"/>
    <w:rsid w:val="00F57DC1"/>
    <w:rsid w:val="00F57F59"/>
    <w:rsid w:val="00F60265"/>
    <w:rsid w:val="00F6033D"/>
    <w:rsid w:val="00F60426"/>
    <w:rsid w:val="00F60433"/>
    <w:rsid w:val="00F604B2"/>
    <w:rsid w:val="00F6068D"/>
    <w:rsid w:val="00F60731"/>
    <w:rsid w:val="00F6095F"/>
    <w:rsid w:val="00F609F6"/>
    <w:rsid w:val="00F60F97"/>
    <w:rsid w:val="00F60FA7"/>
    <w:rsid w:val="00F61004"/>
    <w:rsid w:val="00F610A0"/>
    <w:rsid w:val="00F61116"/>
    <w:rsid w:val="00F6139D"/>
    <w:rsid w:val="00F613F7"/>
    <w:rsid w:val="00F61733"/>
    <w:rsid w:val="00F61AF7"/>
    <w:rsid w:val="00F61B6F"/>
    <w:rsid w:val="00F61D11"/>
    <w:rsid w:val="00F6226E"/>
    <w:rsid w:val="00F62636"/>
    <w:rsid w:val="00F626B3"/>
    <w:rsid w:val="00F629DC"/>
    <w:rsid w:val="00F62A54"/>
    <w:rsid w:val="00F62D25"/>
    <w:rsid w:val="00F63485"/>
    <w:rsid w:val="00F63E5D"/>
    <w:rsid w:val="00F63EED"/>
    <w:rsid w:val="00F6406F"/>
    <w:rsid w:val="00F64318"/>
    <w:rsid w:val="00F64334"/>
    <w:rsid w:val="00F643F4"/>
    <w:rsid w:val="00F64880"/>
    <w:rsid w:val="00F64912"/>
    <w:rsid w:val="00F649F8"/>
    <w:rsid w:val="00F64D5E"/>
    <w:rsid w:val="00F64E1F"/>
    <w:rsid w:val="00F651F1"/>
    <w:rsid w:val="00F65637"/>
    <w:rsid w:val="00F659C5"/>
    <w:rsid w:val="00F65E2E"/>
    <w:rsid w:val="00F66220"/>
    <w:rsid w:val="00F66254"/>
    <w:rsid w:val="00F662B7"/>
    <w:rsid w:val="00F662C4"/>
    <w:rsid w:val="00F664F0"/>
    <w:rsid w:val="00F666A3"/>
    <w:rsid w:val="00F668CC"/>
    <w:rsid w:val="00F67365"/>
    <w:rsid w:val="00F67542"/>
    <w:rsid w:val="00F675B6"/>
    <w:rsid w:val="00F6771E"/>
    <w:rsid w:val="00F67775"/>
    <w:rsid w:val="00F677CC"/>
    <w:rsid w:val="00F67D80"/>
    <w:rsid w:val="00F67EEA"/>
    <w:rsid w:val="00F703B5"/>
    <w:rsid w:val="00F70713"/>
    <w:rsid w:val="00F707D9"/>
    <w:rsid w:val="00F70875"/>
    <w:rsid w:val="00F70CA5"/>
    <w:rsid w:val="00F70E1D"/>
    <w:rsid w:val="00F70E46"/>
    <w:rsid w:val="00F71622"/>
    <w:rsid w:val="00F719C9"/>
    <w:rsid w:val="00F71DE2"/>
    <w:rsid w:val="00F71E0F"/>
    <w:rsid w:val="00F71E83"/>
    <w:rsid w:val="00F71F45"/>
    <w:rsid w:val="00F72130"/>
    <w:rsid w:val="00F72202"/>
    <w:rsid w:val="00F72216"/>
    <w:rsid w:val="00F72262"/>
    <w:rsid w:val="00F72912"/>
    <w:rsid w:val="00F72B98"/>
    <w:rsid w:val="00F7326D"/>
    <w:rsid w:val="00F7332B"/>
    <w:rsid w:val="00F7362A"/>
    <w:rsid w:val="00F736BD"/>
    <w:rsid w:val="00F738A4"/>
    <w:rsid w:val="00F73A20"/>
    <w:rsid w:val="00F73A7C"/>
    <w:rsid w:val="00F73F44"/>
    <w:rsid w:val="00F74125"/>
    <w:rsid w:val="00F7435C"/>
    <w:rsid w:val="00F747A1"/>
    <w:rsid w:val="00F74853"/>
    <w:rsid w:val="00F74977"/>
    <w:rsid w:val="00F749E6"/>
    <w:rsid w:val="00F74C50"/>
    <w:rsid w:val="00F75060"/>
    <w:rsid w:val="00F750E1"/>
    <w:rsid w:val="00F75183"/>
    <w:rsid w:val="00F7524B"/>
    <w:rsid w:val="00F753D4"/>
    <w:rsid w:val="00F75596"/>
    <w:rsid w:val="00F75606"/>
    <w:rsid w:val="00F75839"/>
    <w:rsid w:val="00F75B38"/>
    <w:rsid w:val="00F75E1F"/>
    <w:rsid w:val="00F76028"/>
    <w:rsid w:val="00F76247"/>
    <w:rsid w:val="00F76331"/>
    <w:rsid w:val="00F76585"/>
    <w:rsid w:val="00F767B4"/>
    <w:rsid w:val="00F767B5"/>
    <w:rsid w:val="00F7681F"/>
    <w:rsid w:val="00F768BB"/>
    <w:rsid w:val="00F76E23"/>
    <w:rsid w:val="00F772EE"/>
    <w:rsid w:val="00F776F8"/>
    <w:rsid w:val="00F778F5"/>
    <w:rsid w:val="00F77AE6"/>
    <w:rsid w:val="00F77B77"/>
    <w:rsid w:val="00F77EA7"/>
    <w:rsid w:val="00F80495"/>
    <w:rsid w:val="00F804E1"/>
    <w:rsid w:val="00F806D6"/>
    <w:rsid w:val="00F8095A"/>
    <w:rsid w:val="00F809B9"/>
    <w:rsid w:val="00F809BB"/>
    <w:rsid w:val="00F80A20"/>
    <w:rsid w:val="00F80A6D"/>
    <w:rsid w:val="00F80E29"/>
    <w:rsid w:val="00F810BE"/>
    <w:rsid w:val="00F8143D"/>
    <w:rsid w:val="00F81B39"/>
    <w:rsid w:val="00F81D45"/>
    <w:rsid w:val="00F81DDC"/>
    <w:rsid w:val="00F822E3"/>
    <w:rsid w:val="00F82601"/>
    <w:rsid w:val="00F8294A"/>
    <w:rsid w:val="00F829A0"/>
    <w:rsid w:val="00F829E0"/>
    <w:rsid w:val="00F82C58"/>
    <w:rsid w:val="00F82C83"/>
    <w:rsid w:val="00F82DC1"/>
    <w:rsid w:val="00F83149"/>
    <w:rsid w:val="00F83389"/>
    <w:rsid w:val="00F83576"/>
    <w:rsid w:val="00F83873"/>
    <w:rsid w:val="00F83B16"/>
    <w:rsid w:val="00F84350"/>
    <w:rsid w:val="00F843A4"/>
    <w:rsid w:val="00F8455C"/>
    <w:rsid w:val="00F8455E"/>
    <w:rsid w:val="00F845E8"/>
    <w:rsid w:val="00F8470B"/>
    <w:rsid w:val="00F8478C"/>
    <w:rsid w:val="00F84828"/>
    <w:rsid w:val="00F848AA"/>
    <w:rsid w:val="00F84AB9"/>
    <w:rsid w:val="00F84B9E"/>
    <w:rsid w:val="00F84C9E"/>
    <w:rsid w:val="00F84EC1"/>
    <w:rsid w:val="00F84FA0"/>
    <w:rsid w:val="00F85022"/>
    <w:rsid w:val="00F859BF"/>
    <w:rsid w:val="00F859CD"/>
    <w:rsid w:val="00F85A56"/>
    <w:rsid w:val="00F85F79"/>
    <w:rsid w:val="00F8644E"/>
    <w:rsid w:val="00F8665A"/>
    <w:rsid w:val="00F8688D"/>
    <w:rsid w:val="00F868B9"/>
    <w:rsid w:val="00F86A64"/>
    <w:rsid w:val="00F86D23"/>
    <w:rsid w:val="00F874B3"/>
    <w:rsid w:val="00F875E7"/>
    <w:rsid w:val="00F876E3"/>
    <w:rsid w:val="00F87714"/>
    <w:rsid w:val="00F878D0"/>
    <w:rsid w:val="00F87AFB"/>
    <w:rsid w:val="00F87C79"/>
    <w:rsid w:val="00F87CCD"/>
    <w:rsid w:val="00F87D3C"/>
    <w:rsid w:val="00F87FFB"/>
    <w:rsid w:val="00F901A4"/>
    <w:rsid w:val="00F90296"/>
    <w:rsid w:val="00F906C1"/>
    <w:rsid w:val="00F9099E"/>
    <w:rsid w:val="00F90AA4"/>
    <w:rsid w:val="00F90B5B"/>
    <w:rsid w:val="00F9113D"/>
    <w:rsid w:val="00F9119D"/>
    <w:rsid w:val="00F9151D"/>
    <w:rsid w:val="00F916EE"/>
    <w:rsid w:val="00F9179F"/>
    <w:rsid w:val="00F91B9D"/>
    <w:rsid w:val="00F91D43"/>
    <w:rsid w:val="00F91F2C"/>
    <w:rsid w:val="00F93494"/>
    <w:rsid w:val="00F93865"/>
    <w:rsid w:val="00F938D9"/>
    <w:rsid w:val="00F93AC7"/>
    <w:rsid w:val="00F942C3"/>
    <w:rsid w:val="00F94442"/>
    <w:rsid w:val="00F94516"/>
    <w:rsid w:val="00F94520"/>
    <w:rsid w:val="00F9467C"/>
    <w:rsid w:val="00F94A81"/>
    <w:rsid w:val="00F94A9A"/>
    <w:rsid w:val="00F950FB"/>
    <w:rsid w:val="00F9566B"/>
    <w:rsid w:val="00F95863"/>
    <w:rsid w:val="00F95BC0"/>
    <w:rsid w:val="00F95C5C"/>
    <w:rsid w:val="00F95CAA"/>
    <w:rsid w:val="00F95DB9"/>
    <w:rsid w:val="00F95EBC"/>
    <w:rsid w:val="00F95ED3"/>
    <w:rsid w:val="00F95EFA"/>
    <w:rsid w:val="00F961E7"/>
    <w:rsid w:val="00F9624B"/>
    <w:rsid w:val="00F96401"/>
    <w:rsid w:val="00F9694B"/>
    <w:rsid w:val="00F96B39"/>
    <w:rsid w:val="00F96C66"/>
    <w:rsid w:val="00F96F7B"/>
    <w:rsid w:val="00F971C6"/>
    <w:rsid w:val="00F973D7"/>
    <w:rsid w:val="00F97615"/>
    <w:rsid w:val="00F9761A"/>
    <w:rsid w:val="00F9780F"/>
    <w:rsid w:val="00F978A2"/>
    <w:rsid w:val="00F97FBB"/>
    <w:rsid w:val="00F97FDB"/>
    <w:rsid w:val="00FA0059"/>
    <w:rsid w:val="00FA037A"/>
    <w:rsid w:val="00FA0424"/>
    <w:rsid w:val="00FA0671"/>
    <w:rsid w:val="00FA08A8"/>
    <w:rsid w:val="00FA0929"/>
    <w:rsid w:val="00FA0A93"/>
    <w:rsid w:val="00FA0C6C"/>
    <w:rsid w:val="00FA0E24"/>
    <w:rsid w:val="00FA0F1C"/>
    <w:rsid w:val="00FA0F7A"/>
    <w:rsid w:val="00FA1173"/>
    <w:rsid w:val="00FA12DB"/>
    <w:rsid w:val="00FA13F6"/>
    <w:rsid w:val="00FA14BF"/>
    <w:rsid w:val="00FA178B"/>
    <w:rsid w:val="00FA197A"/>
    <w:rsid w:val="00FA1BE4"/>
    <w:rsid w:val="00FA1D6F"/>
    <w:rsid w:val="00FA1D8D"/>
    <w:rsid w:val="00FA1DB7"/>
    <w:rsid w:val="00FA1E3D"/>
    <w:rsid w:val="00FA1F40"/>
    <w:rsid w:val="00FA2360"/>
    <w:rsid w:val="00FA24C0"/>
    <w:rsid w:val="00FA2B5C"/>
    <w:rsid w:val="00FA2BAE"/>
    <w:rsid w:val="00FA300E"/>
    <w:rsid w:val="00FA3551"/>
    <w:rsid w:val="00FA362A"/>
    <w:rsid w:val="00FA39C2"/>
    <w:rsid w:val="00FA39D4"/>
    <w:rsid w:val="00FA3EF7"/>
    <w:rsid w:val="00FA3F16"/>
    <w:rsid w:val="00FA400B"/>
    <w:rsid w:val="00FA4031"/>
    <w:rsid w:val="00FA4694"/>
    <w:rsid w:val="00FA4A95"/>
    <w:rsid w:val="00FA4BBC"/>
    <w:rsid w:val="00FA4C77"/>
    <w:rsid w:val="00FA4F49"/>
    <w:rsid w:val="00FA55EB"/>
    <w:rsid w:val="00FA5692"/>
    <w:rsid w:val="00FA57E0"/>
    <w:rsid w:val="00FA58C6"/>
    <w:rsid w:val="00FA58F3"/>
    <w:rsid w:val="00FA59AC"/>
    <w:rsid w:val="00FA5BB4"/>
    <w:rsid w:val="00FA5D20"/>
    <w:rsid w:val="00FA5F69"/>
    <w:rsid w:val="00FA61A4"/>
    <w:rsid w:val="00FA61C6"/>
    <w:rsid w:val="00FA623F"/>
    <w:rsid w:val="00FA62CD"/>
    <w:rsid w:val="00FA69AB"/>
    <w:rsid w:val="00FA6AD4"/>
    <w:rsid w:val="00FA6B69"/>
    <w:rsid w:val="00FA6EC4"/>
    <w:rsid w:val="00FA7276"/>
    <w:rsid w:val="00FA7461"/>
    <w:rsid w:val="00FA7816"/>
    <w:rsid w:val="00FA792A"/>
    <w:rsid w:val="00FA7C7F"/>
    <w:rsid w:val="00FA7EA2"/>
    <w:rsid w:val="00FB00BB"/>
    <w:rsid w:val="00FB016B"/>
    <w:rsid w:val="00FB025A"/>
    <w:rsid w:val="00FB072A"/>
    <w:rsid w:val="00FB0DAB"/>
    <w:rsid w:val="00FB0FBC"/>
    <w:rsid w:val="00FB0FD5"/>
    <w:rsid w:val="00FB10B4"/>
    <w:rsid w:val="00FB15B3"/>
    <w:rsid w:val="00FB1844"/>
    <w:rsid w:val="00FB185C"/>
    <w:rsid w:val="00FB1CB3"/>
    <w:rsid w:val="00FB1EBA"/>
    <w:rsid w:val="00FB2053"/>
    <w:rsid w:val="00FB231C"/>
    <w:rsid w:val="00FB2496"/>
    <w:rsid w:val="00FB24FC"/>
    <w:rsid w:val="00FB25C1"/>
    <w:rsid w:val="00FB25CE"/>
    <w:rsid w:val="00FB291E"/>
    <w:rsid w:val="00FB298C"/>
    <w:rsid w:val="00FB2C3E"/>
    <w:rsid w:val="00FB30C7"/>
    <w:rsid w:val="00FB321F"/>
    <w:rsid w:val="00FB3340"/>
    <w:rsid w:val="00FB339A"/>
    <w:rsid w:val="00FB3598"/>
    <w:rsid w:val="00FB3D9E"/>
    <w:rsid w:val="00FB3EEC"/>
    <w:rsid w:val="00FB3FEA"/>
    <w:rsid w:val="00FB442A"/>
    <w:rsid w:val="00FB48D2"/>
    <w:rsid w:val="00FB4B3A"/>
    <w:rsid w:val="00FB4FC8"/>
    <w:rsid w:val="00FB51B7"/>
    <w:rsid w:val="00FB5285"/>
    <w:rsid w:val="00FB53FB"/>
    <w:rsid w:val="00FB54B7"/>
    <w:rsid w:val="00FB5550"/>
    <w:rsid w:val="00FB556D"/>
    <w:rsid w:val="00FB587D"/>
    <w:rsid w:val="00FB5C1B"/>
    <w:rsid w:val="00FB5D3C"/>
    <w:rsid w:val="00FB5E56"/>
    <w:rsid w:val="00FB5FE4"/>
    <w:rsid w:val="00FB6248"/>
    <w:rsid w:val="00FB626E"/>
    <w:rsid w:val="00FB63EF"/>
    <w:rsid w:val="00FB6448"/>
    <w:rsid w:val="00FB6463"/>
    <w:rsid w:val="00FB6592"/>
    <w:rsid w:val="00FB6675"/>
    <w:rsid w:val="00FB6C38"/>
    <w:rsid w:val="00FB6CFA"/>
    <w:rsid w:val="00FB6F02"/>
    <w:rsid w:val="00FB6F4C"/>
    <w:rsid w:val="00FB70FA"/>
    <w:rsid w:val="00FB7151"/>
    <w:rsid w:val="00FB72D8"/>
    <w:rsid w:val="00FB764B"/>
    <w:rsid w:val="00FB7773"/>
    <w:rsid w:val="00FB77B7"/>
    <w:rsid w:val="00FB7835"/>
    <w:rsid w:val="00FB7AB2"/>
    <w:rsid w:val="00FB7E36"/>
    <w:rsid w:val="00FB7EE9"/>
    <w:rsid w:val="00FB7F41"/>
    <w:rsid w:val="00FB7F93"/>
    <w:rsid w:val="00FC036D"/>
    <w:rsid w:val="00FC05C5"/>
    <w:rsid w:val="00FC0745"/>
    <w:rsid w:val="00FC07D6"/>
    <w:rsid w:val="00FC0AB4"/>
    <w:rsid w:val="00FC0B0E"/>
    <w:rsid w:val="00FC0B80"/>
    <w:rsid w:val="00FC0D95"/>
    <w:rsid w:val="00FC1054"/>
    <w:rsid w:val="00FC116B"/>
    <w:rsid w:val="00FC1203"/>
    <w:rsid w:val="00FC1380"/>
    <w:rsid w:val="00FC13BD"/>
    <w:rsid w:val="00FC1588"/>
    <w:rsid w:val="00FC1780"/>
    <w:rsid w:val="00FC1850"/>
    <w:rsid w:val="00FC1987"/>
    <w:rsid w:val="00FC1B4E"/>
    <w:rsid w:val="00FC1EBD"/>
    <w:rsid w:val="00FC20B4"/>
    <w:rsid w:val="00FC20D1"/>
    <w:rsid w:val="00FC2104"/>
    <w:rsid w:val="00FC2473"/>
    <w:rsid w:val="00FC25FD"/>
    <w:rsid w:val="00FC28E4"/>
    <w:rsid w:val="00FC2B0D"/>
    <w:rsid w:val="00FC2DFA"/>
    <w:rsid w:val="00FC2F26"/>
    <w:rsid w:val="00FC33AD"/>
    <w:rsid w:val="00FC344D"/>
    <w:rsid w:val="00FC356D"/>
    <w:rsid w:val="00FC3978"/>
    <w:rsid w:val="00FC3A87"/>
    <w:rsid w:val="00FC3C66"/>
    <w:rsid w:val="00FC3DF4"/>
    <w:rsid w:val="00FC3EDA"/>
    <w:rsid w:val="00FC3EFA"/>
    <w:rsid w:val="00FC3F9B"/>
    <w:rsid w:val="00FC43E0"/>
    <w:rsid w:val="00FC4431"/>
    <w:rsid w:val="00FC44DA"/>
    <w:rsid w:val="00FC4503"/>
    <w:rsid w:val="00FC465F"/>
    <w:rsid w:val="00FC47F0"/>
    <w:rsid w:val="00FC4CBB"/>
    <w:rsid w:val="00FC4D28"/>
    <w:rsid w:val="00FC5260"/>
    <w:rsid w:val="00FC566D"/>
    <w:rsid w:val="00FC5A6D"/>
    <w:rsid w:val="00FC5C06"/>
    <w:rsid w:val="00FC6122"/>
    <w:rsid w:val="00FC6138"/>
    <w:rsid w:val="00FC62B6"/>
    <w:rsid w:val="00FC6630"/>
    <w:rsid w:val="00FC666A"/>
    <w:rsid w:val="00FC6AB5"/>
    <w:rsid w:val="00FC6EC3"/>
    <w:rsid w:val="00FC6F9C"/>
    <w:rsid w:val="00FC708D"/>
    <w:rsid w:val="00FC7193"/>
    <w:rsid w:val="00FC749B"/>
    <w:rsid w:val="00FC754E"/>
    <w:rsid w:val="00FC7581"/>
    <w:rsid w:val="00FC7D29"/>
    <w:rsid w:val="00FC7D2C"/>
    <w:rsid w:val="00FD04A6"/>
    <w:rsid w:val="00FD08D7"/>
    <w:rsid w:val="00FD0938"/>
    <w:rsid w:val="00FD0C79"/>
    <w:rsid w:val="00FD0CC5"/>
    <w:rsid w:val="00FD0F1C"/>
    <w:rsid w:val="00FD0F4A"/>
    <w:rsid w:val="00FD12CF"/>
    <w:rsid w:val="00FD1B0D"/>
    <w:rsid w:val="00FD1D63"/>
    <w:rsid w:val="00FD2009"/>
    <w:rsid w:val="00FD21F0"/>
    <w:rsid w:val="00FD2281"/>
    <w:rsid w:val="00FD255F"/>
    <w:rsid w:val="00FD26B5"/>
    <w:rsid w:val="00FD2977"/>
    <w:rsid w:val="00FD2ACB"/>
    <w:rsid w:val="00FD2B02"/>
    <w:rsid w:val="00FD2E86"/>
    <w:rsid w:val="00FD303D"/>
    <w:rsid w:val="00FD3408"/>
    <w:rsid w:val="00FD346F"/>
    <w:rsid w:val="00FD34D8"/>
    <w:rsid w:val="00FD37EB"/>
    <w:rsid w:val="00FD3A04"/>
    <w:rsid w:val="00FD3AC1"/>
    <w:rsid w:val="00FD4049"/>
    <w:rsid w:val="00FD405A"/>
    <w:rsid w:val="00FD4220"/>
    <w:rsid w:val="00FD425E"/>
    <w:rsid w:val="00FD4574"/>
    <w:rsid w:val="00FD4589"/>
    <w:rsid w:val="00FD504E"/>
    <w:rsid w:val="00FD505C"/>
    <w:rsid w:val="00FD5421"/>
    <w:rsid w:val="00FD546C"/>
    <w:rsid w:val="00FD54AD"/>
    <w:rsid w:val="00FD556B"/>
    <w:rsid w:val="00FD5603"/>
    <w:rsid w:val="00FD5624"/>
    <w:rsid w:val="00FD569C"/>
    <w:rsid w:val="00FD56B1"/>
    <w:rsid w:val="00FD56C2"/>
    <w:rsid w:val="00FD5725"/>
    <w:rsid w:val="00FD585D"/>
    <w:rsid w:val="00FD59A9"/>
    <w:rsid w:val="00FD59DB"/>
    <w:rsid w:val="00FD5B46"/>
    <w:rsid w:val="00FD5C94"/>
    <w:rsid w:val="00FD5E01"/>
    <w:rsid w:val="00FD6CEE"/>
    <w:rsid w:val="00FD7068"/>
    <w:rsid w:val="00FD70A9"/>
    <w:rsid w:val="00FD7508"/>
    <w:rsid w:val="00FD7618"/>
    <w:rsid w:val="00FD766A"/>
    <w:rsid w:val="00FD770C"/>
    <w:rsid w:val="00FD78CE"/>
    <w:rsid w:val="00FD796A"/>
    <w:rsid w:val="00FD7D79"/>
    <w:rsid w:val="00FD7DD8"/>
    <w:rsid w:val="00FD7E85"/>
    <w:rsid w:val="00FD7F1B"/>
    <w:rsid w:val="00FD7F61"/>
    <w:rsid w:val="00FE007C"/>
    <w:rsid w:val="00FE017A"/>
    <w:rsid w:val="00FE0247"/>
    <w:rsid w:val="00FE064E"/>
    <w:rsid w:val="00FE080A"/>
    <w:rsid w:val="00FE0ADC"/>
    <w:rsid w:val="00FE11C1"/>
    <w:rsid w:val="00FE1463"/>
    <w:rsid w:val="00FE151C"/>
    <w:rsid w:val="00FE1678"/>
    <w:rsid w:val="00FE16CB"/>
    <w:rsid w:val="00FE175F"/>
    <w:rsid w:val="00FE18EC"/>
    <w:rsid w:val="00FE192B"/>
    <w:rsid w:val="00FE1D82"/>
    <w:rsid w:val="00FE1F2A"/>
    <w:rsid w:val="00FE218D"/>
    <w:rsid w:val="00FE2444"/>
    <w:rsid w:val="00FE254A"/>
    <w:rsid w:val="00FE26FE"/>
    <w:rsid w:val="00FE27B2"/>
    <w:rsid w:val="00FE2CA8"/>
    <w:rsid w:val="00FE2E35"/>
    <w:rsid w:val="00FE2E93"/>
    <w:rsid w:val="00FE2F12"/>
    <w:rsid w:val="00FE31F5"/>
    <w:rsid w:val="00FE37D5"/>
    <w:rsid w:val="00FE37FC"/>
    <w:rsid w:val="00FE3806"/>
    <w:rsid w:val="00FE3DAE"/>
    <w:rsid w:val="00FE4158"/>
    <w:rsid w:val="00FE4415"/>
    <w:rsid w:val="00FE44CA"/>
    <w:rsid w:val="00FE4916"/>
    <w:rsid w:val="00FE4B22"/>
    <w:rsid w:val="00FE4CEF"/>
    <w:rsid w:val="00FE4D17"/>
    <w:rsid w:val="00FE503F"/>
    <w:rsid w:val="00FE5775"/>
    <w:rsid w:val="00FE59D7"/>
    <w:rsid w:val="00FE6115"/>
    <w:rsid w:val="00FE61AE"/>
    <w:rsid w:val="00FE62ED"/>
    <w:rsid w:val="00FE6678"/>
    <w:rsid w:val="00FE66F2"/>
    <w:rsid w:val="00FE6782"/>
    <w:rsid w:val="00FE67C8"/>
    <w:rsid w:val="00FE6C3A"/>
    <w:rsid w:val="00FE6CFD"/>
    <w:rsid w:val="00FE6F9B"/>
    <w:rsid w:val="00FE7276"/>
    <w:rsid w:val="00FE72E7"/>
    <w:rsid w:val="00FE72EE"/>
    <w:rsid w:val="00FE75AB"/>
    <w:rsid w:val="00FE75D9"/>
    <w:rsid w:val="00FE77BF"/>
    <w:rsid w:val="00FE794E"/>
    <w:rsid w:val="00FE7B93"/>
    <w:rsid w:val="00FE7CB1"/>
    <w:rsid w:val="00FE7D6C"/>
    <w:rsid w:val="00FE7E6F"/>
    <w:rsid w:val="00FF030D"/>
    <w:rsid w:val="00FF0503"/>
    <w:rsid w:val="00FF0614"/>
    <w:rsid w:val="00FF0A88"/>
    <w:rsid w:val="00FF0F52"/>
    <w:rsid w:val="00FF0FCD"/>
    <w:rsid w:val="00FF11C7"/>
    <w:rsid w:val="00FF1285"/>
    <w:rsid w:val="00FF1408"/>
    <w:rsid w:val="00FF1823"/>
    <w:rsid w:val="00FF1A06"/>
    <w:rsid w:val="00FF1A0B"/>
    <w:rsid w:val="00FF1A79"/>
    <w:rsid w:val="00FF1AD6"/>
    <w:rsid w:val="00FF1C9E"/>
    <w:rsid w:val="00FF1D2A"/>
    <w:rsid w:val="00FF1E44"/>
    <w:rsid w:val="00FF1E8D"/>
    <w:rsid w:val="00FF1FC0"/>
    <w:rsid w:val="00FF2416"/>
    <w:rsid w:val="00FF24A9"/>
    <w:rsid w:val="00FF2883"/>
    <w:rsid w:val="00FF2EB5"/>
    <w:rsid w:val="00FF3190"/>
    <w:rsid w:val="00FF31B5"/>
    <w:rsid w:val="00FF389B"/>
    <w:rsid w:val="00FF3C9C"/>
    <w:rsid w:val="00FF3F6E"/>
    <w:rsid w:val="00FF41F4"/>
    <w:rsid w:val="00FF4299"/>
    <w:rsid w:val="00FF4391"/>
    <w:rsid w:val="00FF465C"/>
    <w:rsid w:val="00FF46FB"/>
    <w:rsid w:val="00FF484D"/>
    <w:rsid w:val="00FF48C8"/>
    <w:rsid w:val="00FF4CED"/>
    <w:rsid w:val="00FF504E"/>
    <w:rsid w:val="00FF5AC6"/>
    <w:rsid w:val="00FF5F14"/>
    <w:rsid w:val="00FF616B"/>
    <w:rsid w:val="00FF63A8"/>
    <w:rsid w:val="00FF65AC"/>
    <w:rsid w:val="00FF6689"/>
    <w:rsid w:val="00FF6723"/>
    <w:rsid w:val="00FF6C18"/>
    <w:rsid w:val="00FF6D15"/>
    <w:rsid w:val="00FF6DF4"/>
    <w:rsid w:val="00FF6F8D"/>
    <w:rsid w:val="00FF6FC8"/>
    <w:rsid w:val="00FF74FF"/>
    <w:rsid w:val="00FF75F1"/>
    <w:rsid w:val="00FF76E7"/>
    <w:rsid w:val="00FF772B"/>
    <w:rsid w:val="00FF777A"/>
    <w:rsid w:val="00FF7968"/>
    <w:rsid w:val="00FF79A2"/>
    <w:rsid w:val="04FF3938"/>
    <w:rsid w:val="13FB1EE2"/>
    <w:rsid w:val="14B939D3"/>
    <w:rsid w:val="196D0F1A"/>
    <w:rsid w:val="1A3DB739"/>
    <w:rsid w:val="1B03F825"/>
    <w:rsid w:val="207AFFA3"/>
    <w:rsid w:val="23500390"/>
    <w:rsid w:val="2B148E9F"/>
    <w:rsid w:val="2DF19654"/>
    <w:rsid w:val="31C457AA"/>
    <w:rsid w:val="31F6EB0A"/>
    <w:rsid w:val="33DFACCD"/>
    <w:rsid w:val="34AF8F39"/>
    <w:rsid w:val="3C08C5A6"/>
    <w:rsid w:val="3D0F87CD"/>
    <w:rsid w:val="3EFACCFC"/>
    <w:rsid w:val="40018204"/>
    <w:rsid w:val="4130C560"/>
    <w:rsid w:val="443A33D5"/>
    <w:rsid w:val="4D793D50"/>
    <w:rsid w:val="5189381E"/>
    <w:rsid w:val="5711F831"/>
    <w:rsid w:val="5ECFE4FD"/>
    <w:rsid w:val="6F4B24B3"/>
    <w:rsid w:val="7018D451"/>
    <w:rsid w:val="79A0C561"/>
    <w:rsid w:val="7ED8EB7D"/>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A9221BE"/>
  <w15:docId w15:val="{61247C14-F804-468F-8D85-422998CCD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HAnsi" w:hAnsi="Verdana" w:cstheme="minorBidi"/>
        <w:sz w:val="18"/>
        <w:szCs w:val="18"/>
        <w:lang w:val="en-GB" w:eastAsia="en-US" w:bidi="ar-SA"/>
      </w:rPr>
    </w:rPrDefault>
    <w:pPrDefault>
      <w:pPr>
        <w:spacing w:line="240" w:lineRule="atLeast"/>
      </w:pPr>
    </w:pPrDefault>
  </w:docDefaults>
  <w:latentStyles w:defLockedState="0" w:defUIPriority="99" w:defSemiHidden="0" w:defUnhideWhenUsed="0" w:defQFormat="0" w:count="377">
    <w:lsdException w:name="Normal" w:uiPriority="0" w:qFormat="1"/>
    <w:lsdException w:name="heading 1" w:uiPriority="1" w:qFormat="1"/>
    <w:lsdException w:name="heading 2" w:uiPriority="1" w:qFormat="1"/>
    <w:lsdException w:name="heading 3" w:semiHidden="1" w:uiPriority="1" w:qFormat="1"/>
    <w:lsdException w:name="heading 4" w:uiPriority="1" w:qFormat="1"/>
    <w:lsdException w:name="heading 5" w:semiHidden="1" w:uiPriority="1" w:qFormat="1"/>
    <w:lsdException w:name="heading 6" w:semiHidden="1"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8" w:unhideWhenUsed="1" w:qFormat="1"/>
    <w:lsdException w:name="annotation text" w:semiHidden="1" w:unhideWhenUsed="1"/>
    <w:lsdException w:name="header" w:uiPriority="10" w:unhideWhenUsed="1"/>
    <w:lsdException w:name="footer" w:uiPriority="10" w:unhideWhenUsed="1" w:qFormat="1"/>
    <w:lsdException w:name="index heading" w:semiHidden="1" w:unhideWhenUsed="1"/>
    <w:lsdException w:name="caption" w:uiPriority="3" w:unhideWhenUsed="1" w:qFormat="1"/>
    <w:lsdException w:name="table of figures" w:semiHidden="1" w:unhideWhenUsed="1"/>
    <w:lsdException w:name="envelope address" w:semiHidden="1" w:unhideWhenUsed="1"/>
    <w:lsdException w:name="envelope return" w:semiHidden="1" w:unhideWhenUsed="1"/>
    <w:lsdException w:name="footnote reference" w:uiPriority="8" w:unhideWhenUsed="1"/>
    <w:lsdException w:name="annotation reference" w:semiHidden="1" w:unhideWhenUsed="1"/>
    <w:lsdException w:name="line number" w:semiHidden="1" w:unhideWhenUsed="1"/>
    <w:lsdException w:name="page number" w:semiHidden="1" w:uiPriority="1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unhideWhenUsed="1" w:qFormat="1"/>
    <w:lsdException w:name="List Number" w:uiPriority="3" w:qFormat="1"/>
    <w:lsdException w:name="List 2" w:semiHidden="1" w:unhideWhenUsed="1"/>
    <w:lsdException w:name="List 3" w:semiHidden="1" w:unhideWhenUsed="1"/>
    <w:lsdException w:name="List 4" w:semiHidden="1"/>
    <w:lsdException w:name="List 5" w:semiHidden="1"/>
    <w:lsdException w:name="List Bullet 2" w:uiPriority="3" w:unhideWhenUsed="1" w:qFormat="1"/>
    <w:lsdException w:name="List Bullet 3" w:semiHidden="1" w:uiPriority="3" w:unhideWhenUsed="1"/>
    <w:lsdException w:name="List Bullet 4" w:semiHidden="1" w:unhideWhenUsed="1"/>
    <w:lsdException w:name="List Bullet 5" w:semiHidden="1" w:unhideWhenUsed="1"/>
    <w:lsdException w:name="List Number 2" w:uiPriority="3"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uiPriority="10"/>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D346F"/>
    <w:pPr>
      <w:spacing w:after="170"/>
    </w:pPr>
    <w:rPr>
      <w:lang w:val="en-AU"/>
    </w:rPr>
  </w:style>
  <w:style w:type="paragraph" w:styleId="Heading1">
    <w:name w:val="heading 1"/>
    <w:aliases w:val="1.Heading 1"/>
    <w:basedOn w:val="Normal"/>
    <w:next w:val="Normal"/>
    <w:link w:val="Heading1Char"/>
    <w:uiPriority w:val="1"/>
    <w:qFormat/>
    <w:rsid w:val="009E2F33"/>
    <w:pPr>
      <w:keepNext/>
      <w:keepLines/>
      <w:pageBreakBefore/>
      <w:numPr>
        <w:numId w:val="100"/>
      </w:numPr>
      <w:spacing w:after="480" w:line="720" w:lineRule="atLeast"/>
      <w:contextualSpacing/>
      <w:outlineLvl w:val="0"/>
    </w:pPr>
    <w:rPr>
      <w:rFonts w:eastAsiaTheme="majorEastAsia" w:cstheme="majorBidi"/>
      <w:bCs/>
      <w:sz w:val="60"/>
      <w:szCs w:val="28"/>
    </w:rPr>
  </w:style>
  <w:style w:type="paragraph" w:styleId="Heading2">
    <w:name w:val="heading 2"/>
    <w:basedOn w:val="Normal"/>
    <w:next w:val="Normal"/>
    <w:link w:val="Heading2Char"/>
    <w:uiPriority w:val="1"/>
    <w:qFormat/>
    <w:rsid w:val="00BD2356"/>
    <w:pPr>
      <w:keepNext/>
      <w:keepLines/>
      <w:numPr>
        <w:ilvl w:val="1"/>
        <w:numId w:val="100"/>
      </w:numPr>
      <w:spacing w:before="240" w:after="0"/>
      <w:outlineLvl w:val="1"/>
    </w:pPr>
    <w:rPr>
      <w:rFonts w:eastAsiaTheme="majorEastAsia" w:cstheme="majorBidi"/>
      <w:b/>
      <w:bCs/>
      <w:szCs w:val="26"/>
    </w:rPr>
  </w:style>
  <w:style w:type="paragraph" w:styleId="Heading3">
    <w:name w:val="heading 3"/>
    <w:basedOn w:val="Normal"/>
    <w:next w:val="Normal"/>
    <w:link w:val="Heading3Char"/>
    <w:uiPriority w:val="1"/>
    <w:qFormat/>
    <w:rsid w:val="000A471E"/>
    <w:pPr>
      <w:keepNext/>
      <w:keepLines/>
      <w:numPr>
        <w:ilvl w:val="2"/>
        <w:numId w:val="100"/>
      </w:numPr>
      <w:spacing w:after="0"/>
      <w:outlineLvl w:val="2"/>
    </w:pPr>
    <w:rPr>
      <w:rFonts w:eastAsiaTheme="majorEastAsia" w:cstheme="majorBidi"/>
      <w:b/>
      <w:bCs/>
    </w:rPr>
  </w:style>
  <w:style w:type="paragraph" w:styleId="Heading4">
    <w:name w:val="heading 4"/>
    <w:basedOn w:val="Normal"/>
    <w:next w:val="Normal"/>
    <w:link w:val="Heading4Char"/>
    <w:uiPriority w:val="1"/>
    <w:qFormat/>
    <w:rsid w:val="001959F7"/>
    <w:pPr>
      <w:keepNext/>
      <w:keepLines/>
      <w:numPr>
        <w:ilvl w:val="3"/>
        <w:numId w:val="100"/>
      </w:numPr>
      <w:tabs>
        <w:tab w:val="left" w:pos="340"/>
      </w:tabs>
      <w:spacing w:after="0"/>
      <w:outlineLvl w:val="3"/>
    </w:pPr>
    <w:rPr>
      <w:rFonts w:eastAsiaTheme="majorEastAsia" w:cstheme="majorBidi"/>
      <w:b/>
      <w:bCs/>
      <w:iCs/>
    </w:rPr>
  </w:style>
  <w:style w:type="paragraph" w:styleId="Heading5">
    <w:name w:val="heading 5"/>
    <w:basedOn w:val="Normal"/>
    <w:next w:val="Normal"/>
    <w:link w:val="Heading5Char"/>
    <w:uiPriority w:val="1"/>
    <w:qFormat/>
    <w:rsid w:val="00F9113D"/>
    <w:pPr>
      <w:keepNext/>
      <w:keepLines/>
      <w:numPr>
        <w:ilvl w:val="4"/>
        <w:numId w:val="100"/>
      </w:numPr>
      <w:spacing w:after="0"/>
      <w:outlineLvl w:val="4"/>
    </w:pPr>
    <w:rPr>
      <w:rFonts w:eastAsiaTheme="majorEastAsia" w:cstheme="majorBidi"/>
      <w:b/>
    </w:rPr>
  </w:style>
  <w:style w:type="paragraph" w:styleId="Heading6">
    <w:name w:val="heading 6"/>
    <w:basedOn w:val="Normal"/>
    <w:next w:val="Normal"/>
    <w:link w:val="Heading6Char"/>
    <w:uiPriority w:val="1"/>
    <w:semiHidden/>
    <w:qFormat/>
    <w:rsid w:val="00F9113D"/>
    <w:pPr>
      <w:keepNext/>
      <w:keepLines/>
      <w:numPr>
        <w:ilvl w:val="5"/>
        <w:numId w:val="100"/>
      </w:numPr>
      <w:spacing w:after="0"/>
      <w:outlineLvl w:val="5"/>
    </w:pPr>
    <w:rPr>
      <w:rFonts w:eastAsiaTheme="majorEastAsia" w:cstheme="majorBidi"/>
      <w:b/>
      <w:iCs/>
    </w:rPr>
  </w:style>
  <w:style w:type="paragraph" w:styleId="Heading7">
    <w:name w:val="heading 7"/>
    <w:basedOn w:val="Normal"/>
    <w:next w:val="Normal"/>
    <w:link w:val="Heading7Char"/>
    <w:uiPriority w:val="1"/>
    <w:semiHidden/>
    <w:qFormat/>
    <w:rsid w:val="00F9113D"/>
    <w:pPr>
      <w:keepNext/>
      <w:keepLines/>
      <w:numPr>
        <w:ilvl w:val="6"/>
        <w:numId w:val="100"/>
      </w:numPr>
      <w:spacing w:after="0"/>
      <w:outlineLvl w:val="6"/>
    </w:pPr>
    <w:rPr>
      <w:rFonts w:eastAsiaTheme="majorEastAsia" w:cstheme="majorBidi"/>
      <w:b/>
      <w:iCs/>
    </w:rPr>
  </w:style>
  <w:style w:type="paragraph" w:styleId="Heading8">
    <w:name w:val="heading 8"/>
    <w:basedOn w:val="Normal"/>
    <w:next w:val="Normal"/>
    <w:link w:val="Heading8Char"/>
    <w:uiPriority w:val="1"/>
    <w:semiHidden/>
    <w:qFormat/>
    <w:rsid w:val="00F9113D"/>
    <w:pPr>
      <w:keepNext/>
      <w:keepLines/>
      <w:numPr>
        <w:ilvl w:val="7"/>
        <w:numId w:val="100"/>
      </w:numPr>
      <w:spacing w:after="0"/>
      <w:outlineLvl w:val="7"/>
    </w:pPr>
    <w:rPr>
      <w:rFonts w:eastAsiaTheme="majorEastAsia" w:cstheme="majorBidi"/>
      <w:b/>
      <w:szCs w:val="20"/>
    </w:rPr>
  </w:style>
  <w:style w:type="paragraph" w:styleId="Heading9">
    <w:name w:val="heading 9"/>
    <w:basedOn w:val="Normal"/>
    <w:next w:val="Normal"/>
    <w:link w:val="Heading9Char"/>
    <w:uiPriority w:val="1"/>
    <w:semiHidden/>
    <w:qFormat/>
    <w:rsid w:val="00F9113D"/>
    <w:pPr>
      <w:keepNext/>
      <w:keepLines/>
      <w:numPr>
        <w:ilvl w:val="8"/>
        <w:numId w:val="100"/>
      </w:numPr>
      <w:spacing w:after="0"/>
      <w:outlineLvl w:val="8"/>
    </w:pPr>
    <w:rPr>
      <w:rFonts w:eastAsiaTheme="majorEastAsia"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Heading 1 Char"/>
    <w:basedOn w:val="DefaultParagraphFont"/>
    <w:link w:val="Heading1"/>
    <w:uiPriority w:val="1"/>
    <w:rsid w:val="009E2F33"/>
    <w:rPr>
      <w:rFonts w:eastAsiaTheme="majorEastAsia" w:cstheme="majorBidi"/>
      <w:bCs/>
      <w:sz w:val="60"/>
      <w:szCs w:val="28"/>
      <w:lang w:val="en-AU"/>
    </w:rPr>
  </w:style>
  <w:style w:type="character" w:customStyle="1" w:styleId="Heading2Char">
    <w:name w:val="Heading 2 Char"/>
    <w:basedOn w:val="DefaultParagraphFont"/>
    <w:link w:val="Heading2"/>
    <w:uiPriority w:val="1"/>
    <w:rsid w:val="00BD2356"/>
    <w:rPr>
      <w:rFonts w:eastAsiaTheme="majorEastAsia" w:cstheme="majorBidi"/>
      <w:b/>
      <w:bCs/>
      <w:szCs w:val="26"/>
      <w:lang w:val="en-AU"/>
    </w:rPr>
  </w:style>
  <w:style w:type="table" w:styleId="TableGrid">
    <w:name w:val="Table Grid"/>
    <w:basedOn w:val="TableNormal"/>
    <w:rsid w:val="00D93FF0"/>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styleId="Header">
    <w:name w:val="header"/>
    <w:link w:val="HeaderChar"/>
    <w:uiPriority w:val="10"/>
    <w:semiHidden/>
    <w:rsid w:val="000116B0"/>
    <w:pPr>
      <w:tabs>
        <w:tab w:val="center" w:pos="4513"/>
        <w:tab w:val="right" w:pos="9026"/>
      </w:tabs>
      <w:spacing w:line="240" w:lineRule="auto"/>
    </w:pPr>
    <w:rPr>
      <w:sz w:val="14"/>
      <w:lang w:val="en-AU"/>
    </w:rPr>
  </w:style>
  <w:style w:type="character" w:customStyle="1" w:styleId="HeaderChar">
    <w:name w:val="Header Char"/>
    <w:basedOn w:val="DefaultParagraphFont"/>
    <w:link w:val="Header"/>
    <w:uiPriority w:val="10"/>
    <w:semiHidden/>
    <w:rsid w:val="000116B0"/>
    <w:rPr>
      <w:sz w:val="14"/>
      <w:lang w:val="en-AU"/>
    </w:rPr>
  </w:style>
  <w:style w:type="paragraph" w:styleId="Footer">
    <w:name w:val="footer"/>
    <w:basedOn w:val="Normal"/>
    <w:link w:val="FooterChar"/>
    <w:uiPriority w:val="10"/>
    <w:semiHidden/>
    <w:qFormat/>
    <w:rsid w:val="00F9113D"/>
    <w:pPr>
      <w:tabs>
        <w:tab w:val="right" w:pos="7371"/>
      </w:tabs>
      <w:spacing w:after="0" w:line="200" w:lineRule="atLeast"/>
    </w:pPr>
    <w:rPr>
      <w:sz w:val="16"/>
    </w:rPr>
  </w:style>
  <w:style w:type="character" w:customStyle="1" w:styleId="FooterChar">
    <w:name w:val="Footer Char"/>
    <w:basedOn w:val="DefaultParagraphFont"/>
    <w:link w:val="Footer"/>
    <w:uiPriority w:val="10"/>
    <w:semiHidden/>
    <w:rsid w:val="00F9113D"/>
    <w:rPr>
      <w:sz w:val="16"/>
    </w:rPr>
  </w:style>
  <w:style w:type="paragraph" w:styleId="BalloonText">
    <w:name w:val="Balloon Text"/>
    <w:basedOn w:val="Normal"/>
    <w:link w:val="BalloonTextChar"/>
    <w:uiPriority w:val="99"/>
    <w:semiHidden/>
    <w:rsid w:val="00F9113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113D"/>
    <w:rPr>
      <w:rFonts w:ascii="Tahoma" w:hAnsi="Tahoma" w:cs="Tahoma"/>
      <w:sz w:val="16"/>
      <w:szCs w:val="16"/>
    </w:rPr>
  </w:style>
  <w:style w:type="paragraph" w:customStyle="1" w:styleId="Subject">
    <w:name w:val="Subject"/>
    <w:basedOn w:val="Normal"/>
    <w:uiPriority w:val="6"/>
    <w:semiHidden/>
    <w:qFormat/>
    <w:rsid w:val="00F9113D"/>
    <w:pPr>
      <w:spacing w:after="0"/>
    </w:pPr>
    <w:rPr>
      <w:b/>
    </w:rPr>
  </w:style>
  <w:style w:type="character" w:styleId="PlaceholderText">
    <w:name w:val="Placeholder Text"/>
    <w:basedOn w:val="DefaultParagraphFont"/>
    <w:uiPriority w:val="10"/>
    <w:semiHidden/>
    <w:rsid w:val="00F9113D"/>
    <w:rPr>
      <w:color w:val="808080"/>
      <w:lang w:val="en-AU"/>
    </w:rPr>
  </w:style>
  <w:style w:type="paragraph" w:styleId="ListBullet">
    <w:name w:val="List Bullet"/>
    <w:basedOn w:val="Normal"/>
    <w:uiPriority w:val="3"/>
    <w:qFormat/>
    <w:rsid w:val="00D97513"/>
    <w:pPr>
      <w:numPr>
        <w:numId w:val="97"/>
      </w:numPr>
      <w:contextualSpacing/>
    </w:pPr>
    <w:rPr>
      <w:szCs w:val="17"/>
    </w:rPr>
  </w:style>
  <w:style w:type="paragraph" w:styleId="ListBullet2">
    <w:name w:val="List Bullet 2"/>
    <w:basedOn w:val="Normal"/>
    <w:uiPriority w:val="3"/>
    <w:rsid w:val="00CC7525"/>
    <w:pPr>
      <w:numPr>
        <w:numId w:val="13"/>
      </w:numPr>
      <w:contextualSpacing/>
    </w:pPr>
    <w:rPr>
      <w:szCs w:val="17"/>
    </w:rPr>
  </w:style>
  <w:style w:type="paragraph" w:styleId="ListNumber">
    <w:name w:val="List Number"/>
    <w:basedOn w:val="Normal"/>
    <w:uiPriority w:val="3"/>
    <w:qFormat/>
    <w:rsid w:val="007F7A8C"/>
    <w:pPr>
      <w:spacing w:after="0"/>
      <w:contextualSpacing/>
    </w:pPr>
    <w:rPr>
      <w:szCs w:val="17"/>
    </w:rPr>
  </w:style>
  <w:style w:type="paragraph" w:styleId="ListNumber2">
    <w:name w:val="List Number 2"/>
    <w:basedOn w:val="Normal"/>
    <w:uiPriority w:val="3"/>
    <w:qFormat/>
    <w:rsid w:val="007F7A8C"/>
    <w:pPr>
      <w:spacing w:after="0"/>
      <w:ind w:left="680" w:hanging="340"/>
      <w:contextualSpacing/>
    </w:pPr>
  </w:style>
  <w:style w:type="character" w:customStyle="1" w:styleId="Heading3Char">
    <w:name w:val="Heading 3 Char"/>
    <w:basedOn w:val="DefaultParagraphFont"/>
    <w:link w:val="Heading3"/>
    <w:uiPriority w:val="1"/>
    <w:rsid w:val="000A471E"/>
    <w:rPr>
      <w:rFonts w:eastAsiaTheme="majorEastAsia" w:cstheme="majorBidi"/>
      <w:b/>
      <w:bCs/>
      <w:lang w:val="en-AU"/>
    </w:rPr>
  </w:style>
  <w:style w:type="character" w:customStyle="1" w:styleId="Heading4Char">
    <w:name w:val="Heading 4 Char"/>
    <w:basedOn w:val="DefaultParagraphFont"/>
    <w:link w:val="Heading4"/>
    <w:uiPriority w:val="1"/>
    <w:rsid w:val="001959F7"/>
    <w:rPr>
      <w:rFonts w:eastAsiaTheme="majorEastAsia" w:cstheme="majorBidi"/>
      <w:b/>
      <w:bCs/>
      <w:iCs/>
      <w:lang w:val="en-AU"/>
    </w:rPr>
  </w:style>
  <w:style w:type="paragraph" w:styleId="FootnoteText">
    <w:name w:val="footnote text"/>
    <w:aliases w:val="Footnote Text Char1 Char,Footnote Text Char Char1 Char,Footnote Text Char Char Char Char Char1,Char Char,Footnote Text Char Char Char,Footnote Text Char Char Char Char,fn,FT,ft,SD Footnote Text,Footnote Text AG,(NECG) Footnote Text"/>
    <w:basedOn w:val="Normal"/>
    <w:link w:val="FootnoteTextChar"/>
    <w:uiPriority w:val="8"/>
    <w:qFormat/>
    <w:rsid w:val="00F9113D"/>
    <w:pPr>
      <w:spacing w:after="0" w:line="240" w:lineRule="auto"/>
    </w:pPr>
    <w:rPr>
      <w:sz w:val="16"/>
      <w:szCs w:val="20"/>
    </w:rPr>
  </w:style>
  <w:style w:type="character" w:customStyle="1" w:styleId="FootnoteTextChar">
    <w:name w:val="Footnote Text Char"/>
    <w:aliases w:val="Footnote Text Char1 Char Char,Footnote Text Char Char1 Char Char,Footnote Text Char Char Char Char Char1 Char,Char Char Char,Footnote Text Char Char Char Char1,Footnote Text Char Char Char Char Char,fn Char,FT Char,ft Char"/>
    <w:basedOn w:val="DefaultParagraphFont"/>
    <w:link w:val="FootnoteText"/>
    <w:uiPriority w:val="8"/>
    <w:rsid w:val="00F9113D"/>
    <w:rPr>
      <w:sz w:val="16"/>
      <w:szCs w:val="20"/>
    </w:rPr>
  </w:style>
  <w:style w:type="paragraph" w:customStyle="1" w:styleId="Documenttitle">
    <w:name w:val="Document title"/>
    <w:next w:val="Documentsubtitle"/>
    <w:uiPriority w:val="7"/>
    <w:rsid w:val="007C4146"/>
    <w:pPr>
      <w:spacing w:line="440" w:lineRule="atLeast"/>
    </w:pPr>
    <w:rPr>
      <w:rFonts w:eastAsiaTheme="majorEastAsia" w:cstheme="majorBidi"/>
      <w:b/>
      <w:bCs/>
      <w:color w:val="000000" w:themeColor="text1"/>
      <w:sz w:val="32"/>
      <w:szCs w:val="28"/>
      <w:lang w:val="en-AU"/>
    </w:rPr>
  </w:style>
  <w:style w:type="paragraph" w:customStyle="1" w:styleId="Subheading">
    <w:name w:val="Subheading"/>
    <w:basedOn w:val="Normal"/>
    <w:next w:val="Normal"/>
    <w:uiPriority w:val="6"/>
    <w:semiHidden/>
    <w:qFormat/>
    <w:rsid w:val="00F9113D"/>
    <w:pPr>
      <w:spacing w:after="0"/>
    </w:pPr>
    <w:rPr>
      <w:rFonts w:eastAsiaTheme="majorEastAsia" w:cstheme="majorBidi"/>
      <w:b/>
      <w:bCs/>
      <w:iCs/>
      <w:color w:val="000000" w:themeColor="text1"/>
    </w:rPr>
  </w:style>
  <w:style w:type="character" w:styleId="FootnoteReference">
    <w:name w:val="footnote reference"/>
    <w:aliases w:val="fr,(NECG) Footnote Reference,Ref,de nota al pie"/>
    <w:basedOn w:val="DefaultParagraphFont"/>
    <w:uiPriority w:val="8"/>
    <w:rsid w:val="00F9113D"/>
    <w:rPr>
      <w:vertAlign w:val="superscript"/>
      <w:lang w:val="en-AU"/>
    </w:rPr>
  </w:style>
  <w:style w:type="paragraph" w:customStyle="1" w:styleId="Sectionintro">
    <w:name w:val="Section intro"/>
    <w:basedOn w:val="Normal"/>
    <w:next w:val="Normal"/>
    <w:uiPriority w:val="2"/>
    <w:qFormat/>
    <w:rsid w:val="00F9113D"/>
    <w:pPr>
      <w:spacing w:after="360" w:line="360" w:lineRule="atLeast"/>
      <w:contextualSpacing/>
    </w:pPr>
    <w:rPr>
      <w:sz w:val="28"/>
    </w:rPr>
  </w:style>
  <w:style w:type="paragraph" w:customStyle="1" w:styleId="Documentdate">
    <w:name w:val="Document date"/>
    <w:uiPriority w:val="7"/>
    <w:rsid w:val="00F9113D"/>
    <w:rPr>
      <w:lang w:val="en-AU"/>
    </w:rPr>
  </w:style>
  <w:style w:type="paragraph" w:customStyle="1" w:styleId="Heading1un-numbered">
    <w:name w:val="Heading 1 (un-numbered)"/>
    <w:basedOn w:val="Normal"/>
    <w:next w:val="Normal"/>
    <w:uiPriority w:val="2"/>
    <w:qFormat/>
    <w:rsid w:val="00F9113D"/>
    <w:pPr>
      <w:keepNext/>
      <w:keepLines/>
      <w:pageBreakBefore/>
      <w:spacing w:after="480" w:line="720" w:lineRule="atLeast"/>
      <w:outlineLvl w:val="0"/>
    </w:pPr>
    <w:rPr>
      <w:sz w:val="60"/>
    </w:rPr>
  </w:style>
  <w:style w:type="paragraph" w:customStyle="1" w:styleId="PulloutBlue">
    <w:name w:val="Pullout Blue"/>
    <w:basedOn w:val="Normal"/>
    <w:next w:val="Normal"/>
    <w:uiPriority w:val="6"/>
    <w:rsid w:val="00F9113D"/>
    <w:pPr>
      <w:spacing w:after="0" w:line="360" w:lineRule="atLeast"/>
    </w:pPr>
    <w:rPr>
      <w:color w:val="62B5E5" w:themeColor="accent3"/>
      <w:sz w:val="28"/>
    </w:rPr>
  </w:style>
  <w:style w:type="paragraph" w:customStyle="1" w:styleId="Contacttext">
    <w:name w:val="Contact text"/>
    <w:basedOn w:val="Normal"/>
    <w:uiPriority w:val="7"/>
    <w:semiHidden/>
    <w:rsid w:val="00F9113D"/>
    <w:pPr>
      <w:spacing w:after="0"/>
    </w:pPr>
  </w:style>
  <w:style w:type="paragraph" w:customStyle="1" w:styleId="Contactus">
    <w:name w:val="Contact us"/>
    <w:basedOn w:val="Contacttext"/>
    <w:next w:val="Contacttext"/>
    <w:uiPriority w:val="7"/>
    <w:semiHidden/>
    <w:rsid w:val="00F9113D"/>
    <w:pPr>
      <w:spacing w:after="240" w:line="340" w:lineRule="atLeast"/>
    </w:pPr>
    <w:rPr>
      <w:sz w:val="28"/>
    </w:rPr>
  </w:style>
  <w:style w:type="paragraph" w:styleId="Caption">
    <w:name w:val="caption"/>
    <w:basedOn w:val="Normal"/>
    <w:next w:val="Normal"/>
    <w:link w:val="CaptionChar"/>
    <w:uiPriority w:val="3"/>
    <w:qFormat/>
    <w:rsid w:val="008A6A9F"/>
    <w:pPr>
      <w:keepNext/>
      <w:keepLines/>
      <w:spacing w:before="240" w:after="240"/>
    </w:pPr>
    <w:rPr>
      <w:iCs/>
      <w:sz w:val="17"/>
    </w:rPr>
  </w:style>
  <w:style w:type="character" w:styleId="Hyperlink">
    <w:name w:val="Hyperlink"/>
    <w:basedOn w:val="DefaultParagraphFont"/>
    <w:uiPriority w:val="99"/>
    <w:rsid w:val="00F9113D"/>
    <w:rPr>
      <w:color w:val="00A3E0" w:themeColor="hyperlink"/>
      <w:u w:val="single"/>
      <w:lang w:val="en-AU"/>
    </w:rPr>
  </w:style>
  <w:style w:type="paragraph" w:customStyle="1" w:styleId="PulloutGreen">
    <w:name w:val="Pullout Green"/>
    <w:basedOn w:val="PulloutBlue"/>
    <w:next w:val="Normal"/>
    <w:uiPriority w:val="6"/>
    <w:rsid w:val="00F9113D"/>
    <w:rPr>
      <w:color w:val="86BC25" w:themeColor="accent1"/>
    </w:rPr>
  </w:style>
  <w:style w:type="paragraph" w:customStyle="1" w:styleId="QuotesourceBlue">
    <w:name w:val="Quote source Blue"/>
    <w:basedOn w:val="Normal"/>
    <w:next w:val="Normal"/>
    <w:uiPriority w:val="6"/>
    <w:rsid w:val="00F9113D"/>
    <w:pPr>
      <w:spacing w:after="0" w:line="200" w:lineRule="atLeast"/>
      <w:contextualSpacing/>
    </w:pPr>
    <w:rPr>
      <w:b/>
      <w:color w:val="62B5E5" w:themeColor="accent3"/>
      <w:sz w:val="17"/>
    </w:rPr>
  </w:style>
  <w:style w:type="paragraph" w:customStyle="1" w:styleId="QuotesourceGreen">
    <w:name w:val="Quote source Green"/>
    <w:basedOn w:val="QuotesourceBlue"/>
    <w:next w:val="Normal"/>
    <w:uiPriority w:val="6"/>
    <w:rsid w:val="00F9113D"/>
    <w:rPr>
      <w:color w:val="86BC25" w:themeColor="accent1"/>
    </w:rPr>
  </w:style>
  <w:style w:type="paragraph" w:customStyle="1" w:styleId="Paneltext">
    <w:name w:val="Panel text"/>
    <w:basedOn w:val="Normal"/>
    <w:uiPriority w:val="6"/>
    <w:rsid w:val="00F9113D"/>
    <w:pPr>
      <w:spacing w:after="0"/>
    </w:pPr>
    <w:rPr>
      <w:color w:val="FFFFFF"/>
      <w:sz w:val="17"/>
    </w:rPr>
  </w:style>
  <w:style w:type="paragraph" w:customStyle="1" w:styleId="Paneltitle">
    <w:name w:val="Panel title"/>
    <w:basedOn w:val="Paneltext"/>
    <w:next w:val="Paneltext"/>
    <w:uiPriority w:val="6"/>
    <w:rsid w:val="00F9113D"/>
    <w:pPr>
      <w:spacing w:line="360" w:lineRule="atLeast"/>
    </w:pPr>
    <w:rPr>
      <w:b/>
      <w:sz w:val="28"/>
    </w:rPr>
  </w:style>
  <w:style w:type="paragraph" w:customStyle="1" w:styleId="Formoreinfocalloutwhite8512ptPullOutStyles">
    <w:name w:val="For more info call out (white 8.5/12pt) (Pull Out Styles)"/>
    <w:basedOn w:val="Normal"/>
    <w:uiPriority w:val="99"/>
    <w:semiHidden/>
    <w:rsid w:val="00F9113D"/>
    <w:pPr>
      <w:tabs>
        <w:tab w:val="left" w:pos="283"/>
        <w:tab w:val="left" w:pos="567"/>
      </w:tabs>
      <w:suppressAutoHyphens/>
      <w:autoSpaceDE w:val="0"/>
      <w:autoSpaceDN w:val="0"/>
      <w:adjustRightInd w:val="0"/>
      <w:textAlignment w:val="center"/>
    </w:pPr>
    <w:rPr>
      <w:rFonts w:ascii="OpenSans-Bold" w:hAnsi="OpenSans-Bold" w:cs="OpenSans-Bold"/>
      <w:b/>
      <w:bCs/>
      <w:color w:val="FFFFFF"/>
      <w:spacing w:val="-2"/>
      <w:sz w:val="17"/>
      <w:szCs w:val="17"/>
    </w:rPr>
  </w:style>
  <w:style w:type="paragraph" w:customStyle="1" w:styleId="Documentsubtitle">
    <w:name w:val="Document subtitle"/>
    <w:basedOn w:val="Normal"/>
    <w:uiPriority w:val="7"/>
    <w:rsid w:val="007C4146"/>
    <w:pPr>
      <w:spacing w:after="120" w:line="440" w:lineRule="atLeast"/>
    </w:pPr>
    <w:rPr>
      <w:sz w:val="28"/>
    </w:rPr>
  </w:style>
  <w:style w:type="paragraph" w:customStyle="1" w:styleId="Contentstitle">
    <w:name w:val="Contents title"/>
    <w:basedOn w:val="Heading1un-numbered"/>
    <w:next w:val="Normal"/>
    <w:uiPriority w:val="7"/>
    <w:semiHidden/>
    <w:rsid w:val="00F9113D"/>
  </w:style>
  <w:style w:type="paragraph" w:styleId="TOC1">
    <w:name w:val="toc 1"/>
    <w:basedOn w:val="Normal"/>
    <w:next w:val="Normal"/>
    <w:uiPriority w:val="39"/>
    <w:rsid w:val="00271D10"/>
    <w:pPr>
      <w:tabs>
        <w:tab w:val="left" w:pos="567"/>
        <w:tab w:val="right" w:pos="8959"/>
      </w:tabs>
      <w:spacing w:after="120" w:line="320" w:lineRule="atLeast"/>
      <w:ind w:left="567" w:right="567" w:hanging="567"/>
    </w:pPr>
  </w:style>
  <w:style w:type="paragraph" w:customStyle="1" w:styleId="Quotetext">
    <w:name w:val="Quote text"/>
    <w:basedOn w:val="PulloutBlue"/>
    <w:uiPriority w:val="6"/>
    <w:rsid w:val="00F9113D"/>
    <w:pPr>
      <w:spacing w:line="720" w:lineRule="atLeast"/>
    </w:pPr>
    <w:rPr>
      <w:color w:val="FFFFFF"/>
      <w:sz w:val="60"/>
    </w:rPr>
  </w:style>
  <w:style w:type="paragraph" w:customStyle="1" w:styleId="Legaltext">
    <w:name w:val="Legal text"/>
    <w:basedOn w:val="Normal"/>
    <w:uiPriority w:val="7"/>
    <w:semiHidden/>
    <w:qFormat/>
    <w:rsid w:val="00F9113D"/>
    <w:pPr>
      <w:spacing w:after="0" w:line="180" w:lineRule="atLeast"/>
    </w:pPr>
    <w:rPr>
      <w:sz w:val="14"/>
    </w:rPr>
  </w:style>
  <w:style w:type="table" w:customStyle="1" w:styleId="Deloittetable">
    <w:name w:val="Deloitte table"/>
    <w:basedOn w:val="TableNormal"/>
    <w:uiPriority w:val="99"/>
    <w:rsid w:val="00D93FF0"/>
    <w:rPr>
      <w:sz w:val="17"/>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paragraph" w:customStyle="1" w:styleId="TabletextLeft">
    <w:name w:val="Table text Left"/>
    <w:basedOn w:val="Normal"/>
    <w:uiPriority w:val="5"/>
    <w:rsid w:val="00D93FF0"/>
    <w:pPr>
      <w:spacing w:after="0" w:line="200" w:lineRule="atLeast"/>
      <w:ind w:right="57"/>
    </w:pPr>
    <w:rPr>
      <w:sz w:val="17"/>
    </w:rPr>
  </w:style>
  <w:style w:type="paragraph" w:customStyle="1" w:styleId="TableHeadingLeft">
    <w:name w:val="Table Heading Left"/>
    <w:basedOn w:val="TabletextLeft"/>
    <w:uiPriority w:val="5"/>
    <w:rsid w:val="00F9113D"/>
    <w:rPr>
      <w:b/>
      <w:color w:val="62B5E5" w:themeColor="accent3"/>
    </w:rPr>
  </w:style>
  <w:style w:type="paragraph" w:customStyle="1" w:styleId="Source">
    <w:name w:val="Source"/>
    <w:basedOn w:val="Caption"/>
    <w:next w:val="Normal"/>
    <w:uiPriority w:val="6"/>
    <w:rsid w:val="00B5479F"/>
    <w:pPr>
      <w:keepNext w:val="0"/>
      <w:keepLines w:val="0"/>
      <w:spacing w:before="120"/>
    </w:pPr>
    <w:rPr>
      <w:sz w:val="14"/>
    </w:rPr>
  </w:style>
  <w:style w:type="paragraph" w:customStyle="1" w:styleId="Tablebullets">
    <w:name w:val="Table bullets"/>
    <w:basedOn w:val="TabletextLeft"/>
    <w:uiPriority w:val="5"/>
    <w:rsid w:val="00F9113D"/>
    <w:pPr>
      <w:framePr w:hSpace="180" w:wrap="around" w:vAnchor="text" w:hAnchor="text" w:y="1"/>
      <w:numPr>
        <w:numId w:val="7"/>
      </w:numPr>
      <w:suppressOverlap/>
    </w:pPr>
  </w:style>
  <w:style w:type="paragraph" w:customStyle="1" w:styleId="Tablenumbered">
    <w:name w:val="Table numbered"/>
    <w:basedOn w:val="TabletextLeft"/>
    <w:uiPriority w:val="5"/>
    <w:rsid w:val="00F9113D"/>
    <w:pPr>
      <w:framePr w:hSpace="180" w:wrap="around" w:vAnchor="text" w:hAnchor="text" w:y="1"/>
      <w:numPr>
        <w:numId w:val="8"/>
      </w:numPr>
      <w:suppressOverlap/>
    </w:pPr>
  </w:style>
  <w:style w:type="paragraph" w:customStyle="1" w:styleId="Charttitle">
    <w:name w:val="Chart title"/>
    <w:uiPriority w:val="7"/>
    <w:rsid w:val="00F9113D"/>
    <w:pPr>
      <w:spacing w:before="120" w:after="120"/>
    </w:pPr>
    <w:rPr>
      <w:rFonts w:eastAsiaTheme="majorEastAsia" w:cstheme="majorBidi"/>
      <w:b/>
      <w:bCs/>
      <w:color w:val="62B5E5" w:themeColor="accent3"/>
      <w:szCs w:val="26"/>
      <w:lang w:val="en-AU"/>
    </w:rPr>
  </w:style>
  <w:style w:type="paragraph" w:styleId="Bibliography">
    <w:name w:val="Bibliography"/>
    <w:basedOn w:val="Normal"/>
    <w:next w:val="Normal"/>
    <w:uiPriority w:val="99"/>
    <w:semiHidden/>
    <w:rsid w:val="00F9113D"/>
  </w:style>
  <w:style w:type="paragraph" w:styleId="BlockText">
    <w:name w:val="Block Text"/>
    <w:basedOn w:val="Normal"/>
    <w:uiPriority w:val="99"/>
    <w:semiHidden/>
    <w:rsid w:val="00F9113D"/>
    <w:pPr>
      <w:pBdr>
        <w:top w:val="single" w:sz="2" w:space="10" w:color="86BC25" w:themeColor="accent1" w:frame="1"/>
        <w:left w:val="single" w:sz="2" w:space="10" w:color="86BC25" w:themeColor="accent1" w:frame="1"/>
        <w:bottom w:val="single" w:sz="2" w:space="10" w:color="86BC25" w:themeColor="accent1" w:frame="1"/>
        <w:right w:val="single" w:sz="2" w:space="10" w:color="86BC25" w:themeColor="accent1" w:frame="1"/>
      </w:pBdr>
      <w:ind w:left="1152" w:right="1152"/>
    </w:pPr>
    <w:rPr>
      <w:rFonts w:eastAsiaTheme="minorEastAsia"/>
      <w:i/>
      <w:iCs/>
      <w:color w:val="86BC25" w:themeColor="accent1"/>
    </w:rPr>
  </w:style>
  <w:style w:type="paragraph" w:styleId="BodyText">
    <w:name w:val="Body Text"/>
    <w:basedOn w:val="Normal"/>
    <w:link w:val="BodyTextChar"/>
    <w:semiHidden/>
    <w:rsid w:val="00F9113D"/>
    <w:pPr>
      <w:spacing w:after="240"/>
    </w:pPr>
  </w:style>
  <w:style w:type="character" w:customStyle="1" w:styleId="BodyTextChar">
    <w:name w:val="Body Text Char"/>
    <w:basedOn w:val="DefaultParagraphFont"/>
    <w:link w:val="BodyText"/>
    <w:semiHidden/>
    <w:rsid w:val="00D24870"/>
  </w:style>
  <w:style w:type="paragraph" w:styleId="BodyText2">
    <w:name w:val="Body Text 2"/>
    <w:basedOn w:val="Normal"/>
    <w:link w:val="BodyText2Char"/>
    <w:uiPriority w:val="99"/>
    <w:semiHidden/>
    <w:rsid w:val="00F9113D"/>
    <w:pPr>
      <w:spacing w:after="120" w:line="480" w:lineRule="auto"/>
    </w:pPr>
  </w:style>
  <w:style w:type="character" w:customStyle="1" w:styleId="BodyText2Char">
    <w:name w:val="Body Text 2 Char"/>
    <w:basedOn w:val="DefaultParagraphFont"/>
    <w:link w:val="BodyText2"/>
    <w:uiPriority w:val="99"/>
    <w:semiHidden/>
    <w:rsid w:val="00F9113D"/>
  </w:style>
  <w:style w:type="paragraph" w:styleId="BodyText3">
    <w:name w:val="Body Text 3"/>
    <w:basedOn w:val="Normal"/>
    <w:link w:val="BodyText3Char"/>
    <w:uiPriority w:val="99"/>
    <w:semiHidden/>
    <w:rsid w:val="00F9113D"/>
    <w:pPr>
      <w:spacing w:after="120"/>
    </w:pPr>
    <w:rPr>
      <w:sz w:val="16"/>
      <w:szCs w:val="16"/>
    </w:rPr>
  </w:style>
  <w:style w:type="character" w:customStyle="1" w:styleId="BodyText3Char">
    <w:name w:val="Body Text 3 Char"/>
    <w:basedOn w:val="DefaultParagraphFont"/>
    <w:link w:val="BodyText3"/>
    <w:uiPriority w:val="99"/>
    <w:semiHidden/>
    <w:rsid w:val="00F9113D"/>
    <w:rPr>
      <w:sz w:val="16"/>
      <w:szCs w:val="16"/>
    </w:rPr>
  </w:style>
  <w:style w:type="paragraph" w:styleId="BodyTextFirstIndent">
    <w:name w:val="Body Text First Indent"/>
    <w:basedOn w:val="BodyText"/>
    <w:link w:val="BodyTextFirstIndentChar"/>
    <w:uiPriority w:val="99"/>
    <w:semiHidden/>
    <w:rsid w:val="00F9113D"/>
    <w:pPr>
      <w:ind w:firstLine="360"/>
    </w:pPr>
  </w:style>
  <w:style w:type="character" w:customStyle="1" w:styleId="BodyTextFirstIndentChar">
    <w:name w:val="Body Text First Indent Char"/>
    <w:basedOn w:val="BodyTextChar"/>
    <w:link w:val="BodyTextFirstIndent"/>
    <w:uiPriority w:val="99"/>
    <w:semiHidden/>
    <w:rsid w:val="00F9113D"/>
  </w:style>
  <w:style w:type="paragraph" w:styleId="BodyTextIndent">
    <w:name w:val="Body Text Indent"/>
    <w:basedOn w:val="Normal"/>
    <w:link w:val="BodyTextIndentChar"/>
    <w:uiPriority w:val="99"/>
    <w:semiHidden/>
    <w:rsid w:val="00F9113D"/>
    <w:pPr>
      <w:spacing w:after="120"/>
      <w:ind w:left="283"/>
    </w:pPr>
  </w:style>
  <w:style w:type="character" w:customStyle="1" w:styleId="BodyTextIndentChar">
    <w:name w:val="Body Text Indent Char"/>
    <w:basedOn w:val="DefaultParagraphFont"/>
    <w:link w:val="BodyTextIndent"/>
    <w:uiPriority w:val="99"/>
    <w:semiHidden/>
    <w:rsid w:val="00F9113D"/>
  </w:style>
  <w:style w:type="paragraph" w:styleId="BodyTextFirstIndent2">
    <w:name w:val="Body Text First Indent 2"/>
    <w:basedOn w:val="BodyTextIndent"/>
    <w:link w:val="BodyTextFirstIndent2Char"/>
    <w:uiPriority w:val="99"/>
    <w:semiHidden/>
    <w:rsid w:val="00F9113D"/>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F9113D"/>
  </w:style>
  <w:style w:type="paragraph" w:styleId="BodyTextIndent2">
    <w:name w:val="Body Text Indent 2"/>
    <w:basedOn w:val="Normal"/>
    <w:link w:val="BodyTextIndent2Char"/>
    <w:uiPriority w:val="99"/>
    <w:semiHidden/>
    <w:rsid w:val="00F9113D"/>
    <w:pPr>
      <w:spacing w:after="120" w:line="480" w:lineRule="auto"/>
      <w:ind w:left="283"/>
    </w:pPr>
  </w:style>
  <w:style w:type="character" w:customStyle="1" w:styleId="BodyTextIndent2Char">
    <w:name w:val="Body Text Indent 2 Char"/>
    <w:basedOn w:val="DefaultParagraphFont"/>
    <w:link w:val="BodyTextIndent2"/>
    <w:uiPriority w:val="99"/>
    <w:semiHidden/>
    <w:rsid w:val="00F9113D"/>
  </w:style>
  <w:style w:type="paragraph" w:styleId="BodyTextIndent3">
    <w:name w:val="Body Text Indent 3"/>
    <w:basedOn w:val="Normal"/>
    <w:link w:val="BodyTextIndent3Char"/>
    <w:uiPriority w:val="99"/>
    <w:semiHidden/>
    <w:rsid w:val="00F9113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9113D"/>
    <w:rPr>
      <w:sz w:val="16"/>
      <w:szCs w:val="16"/>
    </w:rPr>
  </w:style>
  <w:style w:type="character" w:styleId="BookTitle">
    <w:name w:val="Book Title"/>
    <w:basedOn w:val="DefaultParagraphFont"/>
    <w:uiPriority w:val="99"/>
    <w:semiHidden/>
    <w:qFormat/>
    <w:rsid w:val="00F9113D"/>
    <w:rPr>
      <w:b/>
      <w:bCs/>
      <w:smallCaps/>
      <w:spacing w:val="5"/>
      <w:lang w:val="en-AU"/>
    </w:rPr>
  </w:style>
  <w:style w:type="paragraph" w:styleId="Closing">
    <w:name w:val="Closing"/>
    <w:basedOn w:val="Normal"/>
    <w:link w:val="ClosingChar"/>
    <w:uiPriority w:val="99"/>
    <w:semiHidden/>
    <w:rsid w:val="00F9113D"/>
    <w:pPr>
      <w:spacing w:line="240" w:lineRule="auto"/>
      <w:ind w:left="4252"/>
    </w:pPr>
  </w:style>
  <w:style w:type="character" w:customStyle="1" w:styleId="ClosingChar">
    <w:name w:val="Closing Char"/>
    <w:basedOn w:val="DefaultParagraphFont"/>
    <w:link w:val="Closing"/>
    <w:uiPriority w:val="99"/>
    <w:semiHidden/>
    <w:rsid w:val="00F9113D"/>
  </w:style>
  <w:style w:type="table" w:styleId="ColorfulGrid">
    <w:name w:val="Colorful Grid"/>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7F5CF" w:themeFill="accent1" w:themeFillTint="33"/>
    </w:tcPr>
    <w:tblStylePr w:type="firstRow">
      <w:rPr>
        <w:b/>
        <w:bCs/>
      </w:rPr>
      <w:tblPr/>
      <w:tcPr>
        <w:shd w:val="clear" w:color="auto" w:fill="D0EC9F" w:themeFill="accent1" w:themeFillTint="66"/>
      </w:tcPr>
    </w:tblStylePr>
    <w:tblStylePr w:type="lastRow">
      <w:rPr>
        <w:b/>
        <w:bCs/>
        <w:color w:val="000000" w:themeColor="text1"/>
      </w:rPr>
      <w:tblPr/>
      <w:tcPr>
        <w:shd w:val="clear" w:color="auto" w:fill="D0EC9F" w:themeFill="accent1" w:themeFillTint="66"/>
      </w:tcPr>
    </w:tblStylePr>
    <w:tblStylePr w:type="firstCol">
      <w:rPr>
        <w:color w:val="FFFFFF" w:themeColor="background1"/>
      </w:rPr>
      <w:tblPr/>
      <w:tcPr>
        <w:shd w:val="clear" w:color="auto" w:fill="638C1B" w:themeFill="accent1" w:themeFillShade="BF"/>
      </w:tcPr>
    </w:tblStylePr>
    <w:tblStylePr w:type="lastCol">
      <w:rPr>
        <w:color w:val="FFFFFF" w:themeColor="background1"/>
      </w:rPr>
      <w:tblPr/>
      <w:tcPr>
        <w:shd w:val="clear" w:color="auto" w:fill="638C1B" w:themeFill="accent1" w:themeFillShade="BF"/>
      </w:tc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ColorfulGrid-Accent2">
    <w:name w:val="Colorful Grid Accent 2"/>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1FCD7" w:themeFill="accent2" w:themeFillTint="33"/>
    </w:tcPr>
    <w:tblStylePr w:type="firstRow">
      <w:rPr>
        <w:b/>
        <w:bCs/>
      </w:rPr>
      <w:tblPr/>
      <w:tcPr>
        <w:shd w:val="clear" w:color="auto" w:fill="64F9B0" w:themeFill="accent2" w:themeFillTint="66"/>
      </w:tcPr>
    </w:tblStylePr>
    <w:tblStylePr w:type="lastRow">
      <w:rPr>
        <w:b/>
        <w:bCs/>
        <w:color w:val="000000" w:themeColor="text1"/>
      </w:rPr>
      <w:tblPr/>
      <w:tcPr>
        <w:shd w:val="clear" w:color="auto" w:fill="64F9B0" w:themeFill="accent2" w:themeFillTint="66"/>
      </w:tcPr>
    </w:tblStylePr>
    <w:tblStylePr w:type="firstCol">
      <w:rPr>
        <w:color w:val="FFFFFF" w:themeColor="background1"/>
      </w:rPr>
      <w:tblPr/>
      <w:tcPr>
        <w:shd w:val="clear" w:color="auto" w:fill="034F29" w:themeFill="accent2" w:themeFillShade="BF"/>
      </w:tcPr>
    </w:tblStylePr>
    <w:tblStylePr w:type="lastCol">
      <w:rPr>
        <w:color w:val="FFFFFF" w:themeColor="background1"/>
      </w:rPr>
      <w:tblPr/>
      <w:tcPr>
        <w:shd w:val="clear" w:color="auto" w:fill="034F29" w:themeFill="accent2" w:themeFillShade="BF"/>
      </w:tc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ColorfulGrid-Accent3">
    <w:name w:val="Colorful Grid Accent 3"/>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FF0F9" w:themeFill="accent3" w:themeFillTint="33"/>
    </w:tcPr>
    <w:tblStylePr w:type="firstRow">
      <w:rPr>
        <w:b/>
        <w:bCs/>
      </w:rPr>
      <w:tblPr/>
      <w:tcPr>
        <w:shd w:val="clear" w:color="auto" w:fill="C0E1F4" w:themeFill="accent3" w:themeFillTint="66"/>
      </w:tcPr>
    </w:tblStylePr>
    <w:tblStylePr w:type="lastRow">
      <w:rPr>
        <w:b/>
        <w:bCs/>
        <w:color w:val="000000" w:themeColor="text1"/>
      </w:rPr>
      <w:tblPr/>
      <w:tcPr>
        <w:shd w:val="clear" w:color="auto" w:fill="C0E1F4" w:themeFill="accent3" w:themeFillTint="66"/>
      </w:tcPr>
    </w:tblStylePr>
    <w:tblStylePr w:type="firstCol">
      <w:rPr>
        <w:color w:val="FFFFFF" w:themeColor="background1"/>
      </w:rPr>
      <w:tblPr/>
      <w:tcPr>
        <w:shd w:val="clear" w:color="auto" w:fill="2291D1" w:themeFill="accent3" w:themeFillShade="BF"/>
      </w:tcPr>
    </w:tblStylePr>
    <w:tblStylePr w:type="lastCol">
      <w:rPr>
        <w:color w:val="FFFFFF" w:themeColor="background1"/>
      </w:rPr>
      <w:tblPr/>
      <w:tcPr>
        <w:shd w:val="clear" w:color="auto" w:fill="2291D1" w:themeFill="accent3" w:themeFillShade="BF"/>
      </w:tc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ColorfulGrid-Accent4">
    <w:name w:val="Colorful Grid Accent 4"/>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AEC7FE" w:themeFill="accent4" w:themeFillTint="33"/>
    </w:tcPr>
    <w:tblStylePr w:type="firstRow">
      <w:rPr>
        <w:b/>
        <w:bCs/>
      </w:rPr>
      <w:tblPr/>
      <w:tcPr>
        <w:shd w:val="clear" w:color="auto" w:fill="5E8FFD" w:themeFill="accent4" w:themeFillTint="66"/>
      </w:tcPr>
    </w:tblStylePr>
    <w:tblStylePr w:type="lastRow">
      <w:rPr>
        <w:b/>
        <w:bCs/>
        <w:color w:val="000000" w:themeColor="text1"/>
      </w:rPr>
      <w:tblPr/>
      <w:tcPr>
        <w:shd w:val="clear" w:color="auto" w:fill="5E8FFD" w:themeFill="accent4" w:themeFillTint="66"/>
      </w:tcPr>
    </w:tblStylePr>
    <w:tblStylePr w:type="firstCol">
      <w:rPr>
        <w:color w:val="FFFFFF" w:themeColor="background1"/>
      </w:rPr>
      <w:tblPr/>
      <w:tcPr>
        <w:shd w:val="clear" w:color="auto" w:fill="00184E" w:themeFill="accent4" w:themeFillShade="BF"/>
      </w:tcPr>
    </w:tblStylePr>
    <w:tblStylePr w:type="lastCol">
      <w:rPr>
        <w:color w:val="FFFFFF" w:themeColor="background1"/>
      </w:rPr>
      <w:tblPr/>
      <w:tcPr>
        <w:shd w:val="clear" w:color="auto" w:fill="00184E" w:themeFill="accent4" w:themeFillShade="BF"/>
      </w:tc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ColorfulGrid-Accent5">
    <w:name w:val="Colorful Grid Accent 5"/>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AF7FF" w:themeFill="accent5" w:themeFillTint="33"/>
    </w:tcPr>
    <w:tblStylePr w:type="firstRow">
      <w:rPr>
        <w:b/>
        <w:bCs/>
      </w:rPr>
      <w:tblPr/>
      <w:tcPr>
        <w:shd w:val="clear" w:color="auto" w:fill="76EFFF" w:themeFill="accent5" w:themeFillTint="66"/>
      </w:tcPr>
    </w:tblStylePr>
    <w:tblStylePr w:type="lastRow">
      <w:rPr>
        <w:b/>
        <w:bCs/>
        <w:color w:val="000000" w:themeColor="text1"/>
      </w:rPr>
      <w:tblPr/>
      <w:tcPr>
        <w:shd w:val="clear" w:color="auto" w:fill="76EFFF" w:themeFill="accent5" w:themeFillTint="66"/>
      </w:tcPr>
    </w:tblStylePr>
    <w:tblStylePr w:type="firstCol">
      <w:rPr>
        <w:color w:val="FFFFFF" w:themeColor="background1"/>
      </w:rPr>
      <w:tblPr/>
      <w:tcPr>
        <w:shd w:val="clear" w:color="auto" w:fill="00707E" w:themeFill="accent5" w:themeFillShade="BF"/>
      </w:tcPr>
    </w:tblStylePr>
    <w:tblStylePr w:type="lastCol">
      <w:rPr>
        <w:color w:val="FFFFFF" w:themeColor="background1"/>
      </w:rPr>
      <w:tblPr/>
      <w:tcPr>
        <w:shd w:val="clear" w:color="auto" w:fill="00707E" w:themeFill="accent5" w:themeFillShade="BF"/>
      </w:tc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ColorfulGrid-Accent6">
    <w:name w:val="Colorful Grid Accent 6"/>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3E3E4" w:themeFill="accent6" w:themeFillTint="33"/>
    </w:tcPr>
    <w:tblStylePr w:type="firstRow">
      <w:rPr>
        <w:b/>
        <w:bCs/>
      </w:rPr>
      <w:tblPr/>
      <w:tcPr>
        <w:shd w:val="clear" w:color="auto" w:fill="C7C8CA" w:themeFill="accent6" w:themeFillTint="66"/>
      </w:tcPr>
    </w:tblStylePr>
    <w:tblStylePr w:type="lastRow">
      <w:rPr>
        <w:b/>
        <w:bCs/>
        <w:color w:val="000000" w:themeColor="text1"/>
      </w:rPr>
      <w:tblPr/>
      <w:tcPr>
        <w:shd w:val="clear" w:color="auto" w:fill="C7C8CA" w:themeFill="accent6" w:themeFillTint="66"/>
      </w:tcPr>
    </w:tblStylePr>
    <w:tblStylePr w:type="firstCol">
      <w:rPr>
        <w:color w:val="FFFFFF" w:themeColor="background1"/>
      </w:rPr>
      <w:tblPr/>
      <w:tcPr>
        <w:shd w:val="clear" w:color="auto" w:fill="57595C" w:themeFill="accent6" w:themeFillShade="BF"/>
      </w:tcPr>
    </w:tblStylePr>
    <w:tblStylePr w:type="lastCol">
      <w:rPr>
        <w:color w:val="FFFFFF" w:themeColor="background1"/>
      </w:rPr>
      <w:tblPr/>
      <w:tcPr>
        <w:shd w:val="clear" w:color="auto" w:fill="57595C" w:themeFill="accent6" w:themeFillShade="BF"/>
      </w:tc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ColorfulList">
    <w:name w:val="Colorful List"/>
    <w:basedOn w:val="TableNormal"/>
    <w:uiPriority w:val="72"/>
    <w:rsid w:val="00F9113D"/>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F9113D"/>
    <w:pPr>
      <w:spacing w:line="240" w:lineRule="auto"/>
    </w:pPr>
    <w:rPr>
      <w:color w:val="000000" w:themeColor="text1"/>
    </w:rPr>
    <w:tblPr>
      <w:tblStyleRowBandSize w:val="1"/>
      <w:tblStyleColBandSize w:val="1"/>
    </w:tblPr>
    <w:tcPr>
      <w:shd w:val="clear" w:color="auto" w:fill="F3FAE7" w:themeFill="accen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3C3" w:themeFill="accent1" w:themeFillTint="3F"/>
      </w:tcPr>
    </w:tblStylePr>
    <w:tblStylePr w:type="band1Horz">
      <w:tblPr/>
      <w:tcPr>
        <w:shd w:val="clear" w:color="auto" w:fill="E7F5CF" w:themeFill="accent1" w:themeFillTint="33"/>
      </w:tcPr>
    </w:tblStylePr>
  </w:style>
  <w:style w:type="table" w:styleId="ColorfulList-Accent2">
    <w:name w:val="Colorful List Accent 2"/>
    <w:basedOn w:val="TableNormal"/>
    <w:uiPriority w:val="72"/>
    <w:rsid w:val="00F9113D"/>
    <w:pPr>
      <w:spacing w:line="240" w:lineRule="auto"/>
    </w:pPr>
    <w:rPr>
      <w:color w:val="000000" w:themeColor="text1"/>
    </w:rPr>
    <w:tblPr>
      <w:tblStyleRowBandSize w:val="1"/>
      <w:tblStyleColBandSize w:val="1"/>
    </w:tblPr>
    <w:tcPr>
      <w:shd w:val="clear" w:color="auto" w:fill="D9FDEB" w:themeFill="accent2"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FBCE" w:themeFill="accent2" w:themeFillTint="3F"/>
      </w:tcPr>
    </w:tblStylePr>
    <w:tblStylePr w:type="band1Horz">
      <w:tblPr/>
      <w:tcPr>
        <w:shd w:val="clear" w:color="auto" w:fill="B1FCD7" w:themeFill="accent2" w:themeFillTint="33"/>
      </w:tcPr>
    </w:tblStylePr>
  </w:style>
  <w:style w:type="table" w:styleId="ColorfulList-Accent3">
    <w:name w:val="Colorful List Accent 3"/>
    <w:basedOn w:val="TableNormal"/>
    <w:uiPriority w:val="72"/>
    <w:rsid w:val="00F9113D"/>
    <w:pPr>
      <w:spacing w:line="240" w:lineRule="auto"/>
    </w:pPr>
    <w:rPr>
      <w:color w:val="000000" w:themeColor="text1"/>
    </w:rPr>
    <w:tblPr>
      <w:tblStyleRowBandSize w:val="1"/>
      <w:tblStyleColBandSize w:val="1"/>
    </w:tblPr>
    <w:tcPr>
      <w:shd w:val="clear" w:color="auto" w:fill="EFF7FC" w:themeFill="accent3" w:themeFillTint="19"/>
    </w:tcPr>
    <w:tblStylePr w:type="firstRow">
      <w:rPr>
        <w:b/>
        <w:bCs/>
        <w:color w:val="FFFFFF" w:themeColor="background1"/>
      </w:rPr>
      <w:tblPr/>
      <w:tcPr>
        <w:tcBorders>
          <w:bottom w:val="single" w:sz="12" w:space="0" w:color="FFFFFF" w:themeColor="background1"/>
        </w:tcBorders>
        <w:shd w:val="clear" w:color="auto" w:fill="001A53" w:themeFill="accent4" w:themeFillShade="CC"/>
      </w:tcPr>
    </w:tblStylePr>
    <w:tblStylePr w:type="lastRow">
      <w:rPr>
        <w:b/>
        <w:bCs/>
        <w:color w:val="001A5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CF8" w:themeFill="accent3" w:themeFillTint="3F"/>
      </w:tcPr>
    </w:tblStylePr>
    <w:tblStylePr w:type="band1Horz">
      <w:tblPr/>
      <w:tcPr>
        <w:shd w:val="clear" w:color="auto" w:fill="DFF0F9" w:themeFill="accent3" w:themeFillTint="33"/>
      </w:tcPr>
    </w:tblStylePr>
  </w:style>
  <w:style w:type="table" w:styleId="ColorfulList-Accent4">
    <w:name w:val="Colorful List Accent 4"/>
    <w:basedOn w:val="TableNormal"/>
    <w:uiPriority w:val="72"/>
    <w:rsid w:val="00F9113D"/>
    <w:pPr>
      <w:spacing w:line="240" w:lineRule="auto"/>
    </w:pPr>
    <w:rPr>
      <w:color w:val="000000" w:themeColor="text1"/>
    </w:rPr>
    <w:tblPr>
      <w:tblStyleRowBandSize w:val="1"/>
      <w:tblStyleColBandSize w:val="1"/>
    </w:tblPr>
    <w:tcPr>
      <w:shd w:val="clear" w:color="auto" w:fill="D7E3FE" w:themeFill="accent4" w:themeFillTint="19"/>
    </w:tcPr>
    <w:tblStylePr w:type="firstRow">
      <w:rPr>
        <w:b/>
        <w:bCs/>
        <w:color w:val="FFFFFF" w:themeColor="background1"/>
      </w:rPr>
      <w:tblPr/>
      <w:tcPr>
        <w:tcBorders>
          <w:bottom w:val="single" w:sz="12" w:space="0" w:color="FFFFFF" w:themeColor="background1"/>
        </w:tcBorders>
        <w:shd w:val="clear" w:color="auto" w:fill="299ADB" w:themeFill="accent3" w:themeFillShade="CC"/>
      </w:tcPr>
    </w:tblStylePr>
    <w:tblStylePr w:type="lastRow">
      <w:rPr>
        <w:b/>
        <w:bCs/>
        <w:color w:val="299AD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BB9FE" w:themeFill="accent4" w:themeFillTint="3F"/>
      </w:tcPr>
    </w:tblStylePr>
    <w:tblStylePr w:type="band1Horz">
      <w:tblPr/>
      <w:tcPr>
        <w:shd w:val="clear" w:color="auto" w:fill="AEC7FE" w:themeFill="accent4" w:themeFillTint="33"/>
      </w:tcPr>
    </w:tblStylePr>
  </w:style>
  <w:style w:type="table" w:styleId="ColorfulList-Accent5">
    <w:name w:val="Colorful List Accent 5"/>
    <w:basedOn w:val="TableNormal"/>
    <w:uiPriority w:val="72"/>
    <w:rsid w:val="00F9113D"/>
    <w:pPr>
      <w:spacing w:line="240" w:lineRule="auto"/>
    </w:pPr>
    <w:rPr>
      <w:color w:val="000000" w:themeColor="text1"/>
    </w:rPr>
    <w:tblPr>
      <w:tblStyleRowBandSize w:val="1"/>
      <w:tblStyleColBandSize w:val="1"/>
    </w:tblPr>
    <w:tcPr>
      <w:shd w:val="clear" w:color="auto" w:fill="DDFBFF" w:themeFill="accent5" w:themeFillTint="19"/>
    </w:tcPr>
    <w:tblStylePr w:type="firstRow">
      <w:rPr>
        <w:b/>
        <w:bCs/>
        <w:color w:val="FFFFFF" w:themeColor="background1"/>
      </w:rPr>
      <w:tblPr/>
      <w:tcPr>
        <w:tcBorders>
          <w:bottom w:val="single" w:sz="12" w:space="0" w:color="FFFFFF" w:themeColor="background1"/>
        </w:tcBorders>
        <w:shd w:val="clear" w:color="auto" w:fill="5D5F62" w:themeFill="accent6" w:themeFillShade="CC"/>
      </w:tcPr>
    </w:tblStylePr>
    <w:tblStylePr w:type="lastRow">
      <w:rPr>
        <w:b/>
        <w:bCs/>
        <w:color w:val="5D5F6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5FF" w:themeFill="accent5" w:themeFillTint="3F"/>
      </w:tcPr>
    </w:tblStylePr>
    <w:tblStylePr w:type="band1Horz">
      <w:tblPr/>
      <w:tcPr>
        <w:shd w:val="clear" w:color="auto" w:fill="BAF7FF" w:themeFill="accent5" w:themeFillTint="33"/>
      </w:tcPr>
    </w:tblStylePr>
  </w:style>
  <w:style w:type="table" w:styleId="ColorfulList-Accent6">
    <w:name w:val="Colorful List Accent 6"/>
    <w:basedOn w:val="TableNormal"/>
    <w:uiPriority w:val="72"/>
    <w:rsid w:val="00F9113D"/>
    <w:pPr>
      <w:spacing w:line="240" w:lineRule="auto"/>
    </w:pPr>
    <w:rPr>
      <w:color w:val="000000" w:themeColor="text1"/>
    </w:rPr>
    <w:tblPr>
      <w:tblStyleRowBandSize w:val="1"/>
      <w:tblStyleColBandSize w:val="1"/>
    </w:tblPr>
    <w:tcPr>
      <w:shd w:val="clear" w:color="auto" w:fill="F1F1F2" w:themeFill="accent6" w:themeFillTint="19"/>
    </w:tcPr>
    <w:tblStylePr w:type="firstRow">
      <w:rPr>
        <w:b/>
        <w:bCs/>
        <w:color w:val="FFFFFF" w:themeColor="background1"/>
      </w:rPr>
      <w:tblPr/>
      <w:tcPr>
        <w:tcBorders>
          <w:bottom w:val="single" w:sz="12" w:space="0" w:color="FFFFFF" w:themeColor="background1"/>
        </w:tcBorders>
        <w:shd w:val="clear" w:color="auto" w:fill="007887" w:themeFill="accent5" w:themeFillShade="CC"/>
      </w:tcPr>
    </w:tblStylePr>
    <w:tblStylePr w:type="lastRow">
      <w:rPr>
        <w:b/>
        <w:bCs/>
        <w:color w:val="00788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DDE" w:themeFill="accent6" w:themeFillTint="3F"/>
      </w:tcPr>
    </w:tblStylePr>
    <w:tblStylePr w:type="band1Horz">
      <w:tblPr/>
      <w:tcPr>
        <w:shd w:val="clear" w:color="auto" w:fill="E3E3E4" w:themeFill="accent6" w:themeFillTint="33"/>
      </w:tcPr>
    </w:tblStylePr>
  </w:style>
  <w:style w:type="table" w:styleId="ColorfulShading">
    <w:name w:val="Colorful Shading"/>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86BC25" w:themeColor="accent1"/>
        <w:bottom w:val="single" w:sz="4" w:space="0" w:color="86BC25" w:themeColor="accent1"/>
        <w:right w:val="single" w:sz="4" w:space="0" w:color="86BC25" w:themeColor="accent1"/>
        <w:insideH w:val="single" w:sz="4" w:space="0" w:color="FFFFFF" w:themeColor="background1"/>
        <w:insideV w:val="single" w:sz="4" w:space="0" w:color="FFFFFF" w:themeColor="background1"/>
      </w:tblBorders>
    </w:tblPr>
    <w:tcPr>
      <w:shd w:val="clear" w:color="auto" w:fill="F3FAE7" w:themeFill="accen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07016" w:themeFill="accent1" w:themeFillShade="99"/>
      </w:tcPr>
    </w:tblStylePr>
    <w:tblStylePr w:type="firstCol">
      <w:rPr>
        <w:color w:val="FFFFFF" w:themeColor="background1"/>
      </w:rPr>
      <w:tblPr/>
      <w:tcPr>
        <w:tcBorders>
          <w:top w:val="nil"/>
          <w:left w:val="nil"/>
          <w:bottom w:val="nil"/>
          <w:right w:val="nil"/>
          <w:insideH w:val="single" w:sz="4" w:space="0" w:color="507016" w:themeColor="accent1" w:themeShade="99"/>
          <w:insideV w:val="nil"/>
        </w:tcBorders>
        <w:shd w:val="clear" w:color="auto" w:fill="50701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07016" w:themeFill="accent1" w:themeFillShade="99"/>
      </w:tcPr>
    </w:tblStylePr>
    <w:tblStylePr w:type="band1Vert">
      <w:tblPr/>
      <w:tcPr>
        <w:shd w:val="clear" w:color="auto" w:fill="D0EC9F" w:themeFill="accent1" w:themeFillTint="66"/>
      </w:tcPr>
    </w:tblStylePr>
    <w:tblStylePr w:type="band1Horz">
      <w:tblPr/>
      <w:tcPr>
        <w:shd w:val="clear" w:color="auto" w:fill="C5E78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046A38" w:themeColor="accent2"/>
        <w:bottom w:val="single" w:sz="4" w:space="0" w:color="046A38" w:themeColor="accent2"/>
        <w:right w:val="single" w:sz="4" w:space="0" w:color="046A38" w:themeColor="accent2"/>
        <w:insideH w:val="single" w:sz="4" w:space="0" w:color="FFFFFF" w:themeColor="background1"/>
        <w:insideV w:val="single" w:sz="4" w:space="0" w:color="FFFFFF" w:themeColor="background1"/>
      </w:tblBorders>
    </w:tblPr>
    <w:tcPr>
      <w:shd w:val="clear" w:color="auto" w:fill="D9FDEB" w:themeFill="accent2"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23F21" w:themeFill="accent2" w:themeFillShade="99"/>
      </w:tcPr>
    </w:tblStylePr>
    <w:tblStylePr w:type="firstCol">
      <w:rPr>
        <w:color w:val="FFFFFF" w:themeColor="background1"/>
      </w:rPr>
      <w:tblPr/>
      <w:tcPr>
        <w:tcBorders>
          <w:top w:val="nil"/>
          <w:left w:val="nil"/>
          <w:bottom w:val="nil"/>
          <w:right w:val="nil"/>
          <w:insideH w:val="single" w:sz="4" w:space="0" w:color="023F21" w:themeColor="accent2" w:themeShade="99"/>
          <w:insideV w:val="nil"/>
        </w:tcBorders>
        <w:shd w:val="clear" w:color="auto" w:fill="023F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23F21" w:themeFill="accent2" w:themeFillShade="99"/>
      </w:tcPr>
    </w:tblStylePr>
    <w:tblStylePr w:type="band1Vert">
      <w:tblPr/>
      <w:tcPr>
        <w:shd w:val="clear" w:color="auto" w:fill="64F9B0" w:themeFill="accent2" w:themeFillTint="66"/>
      </w:tcPr>
    </w:tblStylePr>
    <w:tblStylePr w:type="band1Horz">
      <w:tblPr/>
      <w:tcPr>
        <w:shd w:val="clear" w:color="auto" w:fill="3EF7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F9113D"/>
    <w:pPr>
      <w:spacing w:line="240" w:lineRule="auto"/>
    </w:pPr>
    <w:rPr>
      <w:color w:val="000000" w:themeColor="text1"/>
    </w:rPr>
    <w:tblPr>
      <w:tblStyleRowBandSize w:val="1"/>
      <w:tblStyleColBandSize w:val="1"/>
      <w:tblBorders>
        <w:top w:val="single" w:sz="24" w:space="0" w:color="012169" w:themeColor="accent4"/>
        <w:left w:val="single" w:sz="4" w:space="0" w:color="62B5E5" w:themeColor="accent3"/>
        <w:bottom w:val="single" w:sz="4" w:space="0" w:color="62B5E5" w:themeColor="accent3"/>
        <w:right w:val="single" w:sz="4" w:space="0" w:color="62B5E5" w:themeColor="accent3"/>
        <w:insideH w:val="single" w:sz="4" w:space="0" w:color="FFFFFF" w:themeColor="background1"/>
        <w:insideV w:val="single" w:sz="4" w:space="0" w:color="FFFFFF" w:themeColor="background1"/>
      </w:tblBorders>
    </w:tblPr>
    <w:tcPr>
      <w:shd w:val="clear" w:color="auto" w:fill="EFF7FC" w:themeFill="accent3" w:themeFillTint="19"/>
    </w:tcPr>
    <w:tblStylePr w:type="firstRow">
      <w:rPr>
        <w:b/>
        <w:bCs/>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74A8" w:themeFill="accent3" w:themeFillShade="99"/>
      </w:tcPr>
    </w:tblStylePr>
    <w:tblStylePr w:type="firstCol">
      <w:rPr>
        <w:color w:val="FFFFFF" w:themeColor="background1"/>
      </w:rPr>
      <w:tblPr/>
      <w:tcPr>
        <w:tcBorders>
          <w:top w:val="nil"/>
          <w:left w:val="nil"/>
          <w:bottom w:val="nil"/>
          <w:right w:val="nil"/>
          <w:insideH w:val="single" w:sz="4" w:space="0" w:color="1C74A8" w:themeColor="accent3" w:themeShade="99"/>
          <w:insideV w:val="nil"/>
        </w:tcBorders>
        <w:shd w:val="clear" w:color="auto" w:fill="1C74A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C74A8" w:themeFill="accent3" w:themeFillShade="99"/>
      </w:tcPr>
    </w:tblStylePr>
    <w:tblStylePr w:type="band1Vert">
      <w:tblPr/>
      <w:tcPr>
        <w:shd w:val="clear" w:color="auto" w:fill="C0E1F4" w:themeFill="accent3" w:themeFillTint="66"/>
      </w:tcPr>
    </w:tblStylePr>
    <w:tblStylePr w:type="band1Horz">
      <w:tblPr/>
      <w:tcPr>
        <w:shd w:val="clear" w:color="auto" w:fill="B0D9F2" w:themeFill="accent3" w:themeFillTint="7F"/>
      </w:tcPr>
    </w:tblStylePr>
  </w:style>
  <w:style w:type="table" w:styleId="ColorfulShading-Accent4">
    <w:name w:val="Colorful Shading Accent 4"/>
    <w:basedOn w:val="TableNormal"/>
    <w:uiPriority w:val="71"/>
    <w:rsid w:val="00F9113D"/>
    <w:pPr>
      <w:spacing w:line="240" w:lineRule="auto"/>
    </w:pPr>
    <w:rPr>
      <w:color w:val="000000" w:themeColor="text1"/>
    </w:rPr>
    <w:tblPr>
      <w:tblStyleRowBandSize w:val="1"/>
      <w:tblStyleColBandSize w:val="1"/>
      <w:tblBorders>
        <w:top w:val="single" w:sz="24" w:space="0" w:color="62B5E5" w:themeColor="accent3"/>
        <w:left w:val="single" w:sz="4" w:space="0" w:color="012169" w:themeColor="accent4"/>
        <w:bottom w:val="single" w:sz="4" w:space="0" w:color="012169" w:themeColor="accent4"/>
        <w:right w:val="single" w:sz="4" w:space="0" w:color="012169" w:themeColor="accent4"/>
        <w:insideH w:val="single" w:sz="4" w:space="0" w:color="FFFFFF" w:themeColor="background1"/>
        <w:insideV w:val="single" w:sz="4" w:space="0" w:color="FFFFFF" w:themeColor="background1"/>
      </w:tblBorders>
    </w:tblPr>
    <w:tcPr>
      <w:shd w:val="clear" w:color="auto" w:fill="D7E3FE" w:themeFill="accent4" w:themeFillTint="19"/>
    </w:tcPr>
    <w:tblStylePr w:type="firstRow">
      <w:rPr>
        <w:b/>
        <w:bCs/>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33E" w:themeFill="accent4" w:themeFillShade="99"/>
      </w:tcPr>
    </w:tblStylePr>
    <w:tblStylePr w:type="firstCol">
      <w:rPr>
        <w:color w:val="FFFFFF" w:themeColor="background1"/>
      </w:rPr>
      <w:tblPr/>
      <w:tcPr>
        <w:tcBorders>
          <w:top w:val="nil"/>
          <w:left w:val="nil"/>
          <w:bottom w:val="nil"/>
          <w:right w:val="nil"/>
          <w:insideH w:val="single" w:sz="4" w:space="0" w:color="00133E" w:themeColor="accent4" w:themeShade="99"/>
          <w:insideV w:val="nil"/>
        </w:tcBorders>
        <w:shd w:val="clear" w:color="auto" w:fill="00133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33E" w:themeFill="accent4" w:themeFillShade="99"/>
      </w:tcPr>
    </w:tblStylePr>
    <w:tblStylePr w:type="band1Vert">
      <w:tblPr/>
      <w:tcPr>
        <w:shd w:val="clear" w:color="auto" w:fill="5E8FFD" w:themeFill="accent4" w:themeFillTint="66"/>
      </w:tcPr>
    </w:tblStylePr>
    <w:tblStylePr w:type="band1Horz">
      <w:tblPr/>
      <w:tcPr>
        <w:shd w:val="clear" w:color="auto" w:fill="3773F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F9113D"/>
    <w:pPr>
      <w:spacing w:line="240" w:lineRule="auto"/>
    </w:pPr>
    <w:rPr>
      <w:color w:val="000000" w:themeColor="text1"/>
    </w:rPr>
    <w:tblPr>
      <w:tblStyleRowBandSize w:val="1"/>
      <w:tblStyleColBandSize w:val="1"/>
      <w:tblBorders>
        <w:top w:val="single" w:sz="24" w:space="0" w:color="75787B" w:themeColor="accent6"/>
        <w:left w:val="single" w:sz="4" w:space="0" w:color="0097A9" w:themeColor="accent5"/>
        <w:bottom w:val="single" w:sz="4" w:space="0" w:color="0097A9" w:themeColor="accent5"/>
        <w:right w:val="single" w:sz="4" w:space="0" w:color="0097A9" w:themeColor="accent5"/>
        <w:insideH w:val="single" w:sz="4" w:space="0" w:color="FFFFFF" w:themeColor="background1"/>
        <w:insideV w:val="single" w:sz="4" w:space="0" w:color="FFFFFF" w:themeColor="background1"/>
      </w:tblBorders>
    </w:tblPr>
    <w:tcPr>
      <w:shd w:val="clear" w:color="auto" w:fill="DDFBFF" w:themeFill="accent5" w:themeFillTint="19"/>
    </w:tcPr>
    <w:tblStylePr w:type="firstRow">
      <w:rPr>
        <w:b/>
        <w:bCs/>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A65" w:themeFill="accent5" w:themeFillShade="99"/>
      </w:tcPr>
    </w:tblStylePr>
    <w:tblStylePr w:type="firstCol">
      <w:rPr>
        <w:color w:val="FFFFFF" w:themeColor="background1"/>
      </w:rPr>
      <w:tblPr/>
      <w:tcPr>
        <w:tcBorders>
          <w:top w:val="nil"/>
          <w:left w:val="nil"/>
          <w:bottom w:val="nil"/>
          <w:right w:val="nil"/>
          <w:insideH w:val="single" w:sz="4" w:space="0" w:color="005A65" w:themeColor="accent5" w:themeShade="99"/>
          <w:insideV w:val="nil"/>
        </w:tcBorders>
        <w:shd w:val="clear" w:color="auto" w:fill="005A6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A65" w:themeFill="accent5" w:themeFillShade="99"/>
      </w:tcPr>
    </w:tblStylePr>
    <w:tblStylePr w:type="band1Vert">
      <w:tblPr/>
      <w:tcPr>
        <w:shd w:val="clear" w:color="auto" w:fill="76EFFF" w:themeFill="accent5" w:themeFillTint="66"/>
      </w:tcPr>
    </w:tblStylePr>
    <w:tblStylePr w:type="band1Horz">
      <w:tblPr/>
      <w:tcPr>
        <w:shd w:val="clear" w:color="auto" w:fill="55EC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F9113D"/>
    <w:pPr>
      <w:spacing w:line="240" w:lineRule="auto"/>
    </w:pPr>
    <w:rPr>
      <w:color w:val="000000" w:themeColor="text1"/>
    </w:rPr>
    <w:tblPr>
      <w:tblStyleRowBandSize w:val="1"/>
      <w:tblStyleColBandSize w:val="1"/>
      <w:tblBorders>
        <w:top w:val="single" w:sz="24" w:space="0" w:color="0097A9" w:themeColor="accent5"/>
        <w:left w:val="single" w:sz="4" w:space="0" w:color="75787B" w:themeColor="accent6"/>
        <w:bottom w:val="single" w:sz="4" w:space="0" w:color="75787B" w:themeColor="accent6"/>
        <w:right w:val="single" w:sz="4" w:space="0" w:color="75787B" w:themeColor="accent6"/>
        <w:insideH w:val="single" w:sz="4" w:space="0" w:color="FFFFFF" w:themeColor="background1"/>
        <w:insideV w:val="single" w:sz="4" w:space="0" w:color="FFFFFF" w:themeColor="background1"/>
      </w:tblBorders>
    </w:tblPr>
    <w:tcPr>
      <w:shd w:val="clear" w:color="auto" w:fill="F1F1F2" w:themeFill="accent6" w:themeFillTint="19"/>
    </w:tcPr>
    <w:tblStylePr w:type="firstRow">
      <w:rPr>
        <w:b/>
        <w:bCs/>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4749" w:themeFill="accent6" w:themeFillShade="99"/>
      </w:tcPr>
    </w:tblStylePr>
    <w:tblStylePr w:type="firstCol">
      <w:rPr>
        <w:color w:val="FFFFFF" w:themeColor="background1"/>
      </w:rPr>
      <w:tblPr/>
      <w:tcPr>
        <w:tcBorders>
          <w:top w:val="nil"/>
          <w:left w:val="nil"/>
          <w:bottom w:val="nil"/>
          <w:right w:val="nil"/>
          <w:insideH w:val="single" w:sz="4" w:space="0" w:color="464749" w:themeColor="accent6" w:themeShade="99"/>
          <w:insideV w:val="nil"/>
        </w:tcBorders>
        <w:shd w:val="clear" w:color="auto" w:fill="46474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64749" w:themeFill="accent6" w:themeFillShade="99"/>
      </w:tcPr>
    </w:tblStylePr>
    <w:tblStylePr w:type="band1Vert">
      <w:tblPr/>
      <w:tcPr>
        <w:shd w:val="clear" w:color="auto" w:fill="C7C8CA" w:themeFill="accent6" w:themeFillTint="66"/>
      </w:tcPr>
    </w:tblStylePr>
    <w:tblStylePr w:type="band1Horz">
      <w:tblPr/>
      <w:tcPr>
        <w:shd w:val="clear" w:color="auto" w:fill="B9BBBD"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rsid w:val="00F9113D"/>
    <w:rPr>
      <w:sz w:val="16"/>
      <w:szCs w:val="16"/>
      <w:lang w:val="en-AU"/>
    </w:rPr>
  </w:style>
  <w:style w:type="paragraph" w:styleId="CommentText">
    <w:name w:val="annotation text"/>
    <w:basedOn w:val="Normal"/>
    <w:link w:val="CommentTextChar"/>
    <w:uiPriority w:val="99"/>
    <w:rsid w:val="00F9113D"/>
    <w:pPr>
      <w:spacing w:line="240" w:lineRule="auto"/>
    </w:pPr>
    <w:rPr>
      <w:sz w:val="20"/>
      <w:szCs w:val="20"/>
    </w:rPr>
  </w:style>
  <w:style w:type="character" w:customStyle="1" w:styleId="CommentTextChar">
    <w:name w:val="Comment Text Char"/>
    <w:basedOn w:val="DefaultParagraphFont"/>
    <w:link w:val="CommentText"/>
    <w:uiPriority w:val="99"/>
    <w:semiHidden/>
    <w:rsid w:val="00F9113D"/>
    <w:rPr>
      <w:sz w:val="20"/>
      <w:szCs w:val="20"/>
    </w:rPr>
  </w:style>
  <w:style w:type="paragraph" w:styleId="CommentSubject">
    <w:name w:val="annotation subject"/>
    <w:basedOn w:val="CommentText"/>
    <w:next w:val="CommentText"/>
    <w:link w:val="CommentSubjectChar"/>
    <w:uiPriority w:val="99"/>
    <w:semiHidden/>
    <w:rsid w:val="00F9113D"/>
    <w:rPr>
      <w:b/>
      <w:bCs/>
    </w:rPr>
  </w:style>
  <w:style w:type="character" w:customStyle="1" w:styleId="CommentSubjectChar">
    <w:name w:val="Comment Subject Char"/>
    <w:basedOn w:val="CommentTextChar"/>
    <w:link w:val="CommentSubject"/>
    <w:uiPriority w:val="99"/>
    <w:semiHidden/>
    <w:rsid w:val="00F9113D"/>
    <w:rPr>
      <w:b/>
      <w:bCs/>
      <w:sz w:val="20"/>
      <w:szCs w:val="20"/>
    </w:rPr>
  </w:style>
  <w:style w:type="table" w:styleId="DarkList">
    <w:name w:val="Dark List"/>
    <w:basedOn w:val="TableNormal"/>
    <w:uiPriority w:val="70"/>
    <w:rsid w:val="00F9113D"/>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F9113D"/>
    <w:pPr>
      <w:spacing w:line="240" w:lineRule="auto"/>
    </w:pPr>
    <w:rPr>
      <w:color w:val="FFFFFF" w:themeColor="background1"/>
    </w:rPr>
    <w:tblPr>
      <w:tblStyleRowBandSize w:val="1"/>
      <w:tblStyleColBandSize w:val="1"/>
    </w:tblPr>
    <w:tcPr>
      <w:shd w:val="clear" w:color="auto" w:fill="86BC2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5D1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38C1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38C1B" w:themeFill="accent1" w:themeFillShade="BF"/>
      </w:tcPr>
    </w:tblStylePr>
    <w:tblStylePr w:type="band1Vert">
      <w:tblPr/>
      <w:tcPr>
        <w:tcBorders>
          <w:top w:val="nil"/>
          <w:left w:val="nil"/>
          <w:bottom w:val="nil"/>
          <w:right w:val="nil"/>
          <w:insideH w:val="nil"/>
          <w:insideV w:val="nil"/>
        </w:tcBorders>
        <w:shd w:val="clear" w:color="auto" w:fill="638C1B" w:themeFill="accent1" w:themeFillShade="BF"/>
      </w:tcPr>
    </w:tblStylePr>
    <w:tblStylePr w:type="band1Horz">
      <w:tblPr/>
      <w:tcPr>
        <w:tcBorders>
          <w:top w:val="nil"/>
          <w:left w:val="nil"/>
          <w:bottom w:val="nil"/>
          <w:right w:val="nil"/>
          <w:insideH w:val="nil"/>
          <w:insideV w:val="nil"/>
        </w:tcBorders>
        <w:shd w:val="clear" w:color="auto" w:fill="638C1B" w:themeFill="accent1" w:themeFillShade="BF"/>
      </w:tcPr>
    </w:tblStylePr>
  </w:style>
  <w:style w:type="table" w:styleId="DarkList-Accent2">
    <w:name w:val="Dark List Accent 2"/>
    <w:basedOn w:val="TableNormal"/>
    <w:uiPriority w:val="70"/>
    <w:rsid w:val="00F9113D"/>
    <w:pPr>
      <w:spacing w:line="240" w:lineRule="auto"/>
    </w:pPr>
    <w:rPr>
      <w:color w:val="FFFFFF" w:themeColor="background1"/>
    </w:rPr>
    <w:tblPr>
      <w:tblStyleRowBandSize w:val="1"/>
      <w:tblStyleColBandSize w:val="1"/>
    </w:tblPr>
    <w:tcPr>
      <w:shd w:val="clear" w:color="auto" w:fill="046A3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34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34F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34F29" w:themeFill="accent2" w:themeFillShade="BF"/>
      </w:tcPr>
    </w:tblStylePr>
    <w:tblStylePr w:type="band1Vert">
      <w:tblPr/>
      <w:tcPr>
        <w:tcBorders>
          <w:top w:val="nil"/>
          <w:left w:val="nil"/>
          <w:bottom w:val="nil"/>
          <w:right w:val="nil"/>
          <w:insideH w:val="nil"/>
          <w:insideV w:val="nil"/>
        </w:tcBorders>
        <w:shd w:val="clear" w:color="auto" w:fill="034F29" w:themeFill="accent2" w:themeFillShade="BF"/>
      </w:tcPr>
    </w:tblStylePr>
    <w:tblStylePr w:type="band1Horz">
      <w:tblPr/>
      <w:tcPr>
        <w:tcBorders>
          <w:top w:val="nil"/>
          <w:left w:val="nil"/>
          <w:bottom w:val="nil"/>
          <w:right w:val="nil"/>
          <w:insideH w:val="nil"/>
          <w:insideV w:val="nil"/>
        </w:tcBorders>
        <w:shd w:val="clear" w:color="auto" w:fill="034F29" w:themeFill="accent2" w:themeFillShade="BF"/>
      </w:tcPr>
    </w:tblStylePr>
  </w:style>
  <w:style w:type="table" w:styleId="DarkList-Accent3">
    <w:name w:val="Dark List Accent 3"/>
    <w:basedOn w:val="TableNormal"/>
    <w:uiPriority w:val="70"/>
    <w:rsid w:val="00F9113D"/>
    <w:pPr>
      <w:spacing w:line="240" w:lineRule="auto"/>
    </w:pPr>
    <w:rPr>
      <w:color w:val="FFFFFF" w:themeColor="background1"/>
    </w:rPr>
    <w:tblPr>
      <w:tblStyleRowBandSize w:val="1"/>
      <w:tblStyleColBandSize w:val="1"/>
    </w:tblPr>
    <w:tcPr>
      <w:shd w:val="clear" w:color="auto" w:fill="62B5E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760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291D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291D1" w:themeFill="accent3" w:themeFillShade="BF"/>
      </w:tcPr>
    </w:tblStylePr>
    <w:tblStylePr w:type="band1Vert">
      <w:tblPr/>
      <w:tcPr>
        <w:tcBorders>
          <w:top w:val="nil"/>
          <w:left w:val="nil"/>
          <w:bottom w:val="nil"/>
          <w:right w:val="nil"/>
          <w:insideH w:val="nil"/>
          <w:insideV w:val="nil"/>
        </w:tcBorders>
        <w:shd w:val="clear" w:color="auto" w:fill="2291D1" w:themeFill="accent3" w:themeFillShade="BF"/>
      </w:tcPr>
    </w:tblStylePr>
    <w:tblStylePr w:type="band1Horz">
      <w:tblPr/>
      <w:tcPr>
        <w:tcBorders>
          <w:top w:val="nil"/>
          <w:left w:val="nil"/>
          <w:bottom w:val="nil"/>
          <w:right w:val="nil"/>
          <w:insideH w:val="nil"/>
          <w:insideV w:val="nil"/>
        </w:tcBorders>
        <w:shd w:val="clear" w:color="auto" w:fill="2291D1" w:themeFill="accent3" w:themeFillShade="BF"/>
      </w:tcPr>
    </w:tblStylePr>
  </w:style>
  <w:style w:type="table" w:styleId="DarkList-Accent4">
    <w:name w:val="Dark List Accent 4"/>
    <w:basedOn w:val="TableNormal"/>
    <w:uiPriority w:val="70"/>
    <w:rsid w:val="00F9113D"/>
    <w:pPr>
      <w:spacing w:line="240" w:lineRule="auto"/>
    </w:pPr>
    <w:rPr>
      <w:color w:val="FFFFFF" w:themeColor="background1"/>
    </w:rPr>
    <w:tblPr>
      <w:tblStyleRowBandSize w:val="1"/>
      <w:tblStyleColBandSize w:val="1"/>
    </w:tblPr>
    <w:tcPr>
      <w:shd w:val="clear" w:color="auto" w:fill="01216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0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18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184E" w:themeFill="accent4" w:themeFillShade="BF"/>
      </w:tcPr>
    </w:tblStylePr>
    <w:tblStylePr w:type="band1Vert">
      <w:tblPr/>
      <w:tcPr>
        <w:tcBorders>
          <w:top w:val="nil"/>
          <w:left w:val="nil"/>
          <w:bottom w:val="nil"/>
          <w:right w:val="nil"/>
          <w:insideH w:val="nil"/>
          <w:insideV w:val="nil"/>
        </w:tcBorders>
        <w:shd w:val="clear" w:color="auto" w:fill="00184E" w:themeFill="accent4" w:themeFillShade="BF"/>
      </w:tcPr>
    </w:tblStylePr>
    <w:tblStylePr w:type="band1Horz">
      <w:tblPr/>
      <w:tcPr>
        <w:tcBorders>
          <w:top w:val="nil"/>
          <w:left w:val="nil"/>
          <w:bottom w:val="nil"/>
          <w:right w:val="nil"/>
          <w:insideH w:val="nil"/>
          <w:insideV w:val="nil"/>
        </w:tcBorders>
        <w:shd w:val="clear" w:color="auto" w:fill="00184E" w:themeFill="accent4" w:themeFillShade="BF"/>
      </w:tcPr>
    </w:tblStylePr>
  </w:style>
  <w:style w:type="table" w:styleId="DarkList-Accent5">
    <w:name w:val="Dark List Accent 5"/>
    <w:basedOn w:val="TableNormal"/>
    <w:uiPriority w:val="70"/>
    <w:rsid w:val="00F9113D"/>
    <w:pPr>
      <w:spacing w:line="240" w:lineRule="auto"/>
    </w:pPr>
    <w:rPr>
      <w:color w:val="FFFFFF" w:themeColor="background1"/>
    </w:rPr>
    <w:tblPr>
      <w:tblStyleRowBandSize w:val="1"/>
      <w:tblStyleColBandSize w:val="1"/>
    </w:tblPr>
    <w:tcPr>
      <w:shd w:val="clear" w:color="auto" w:fill="0097A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A5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07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07E" w:themeFill="accent5" w:themeFillShade="BF"/>
      </w:tcPr>
    </w:tblStylePr>
    <w:tblStylePr w:type="band1Vert">
      <w:tblPr/>
      <w:tcPr>
        <w:tcBorders>
          <w:top w:val="nil"/>
          <w:left w:val="nil"/>
          <w:bottom w:val="nil"/>
          <w:right w:val="nil"/>
          <w:insideH w:val="nil"/>
          <w:insideV w:val="nil"/>
        </w:tcBorders>
        <w:shd w:val="clear" w:color="auto" w:fill="00707E" w:themeFill="accent5" w:themeFillShade="BF"/>
      </w:tcPr>
    </w:tblStylePr>
    <w:tblStylePr w:type="band1Horz">
      <w:tblPr/>
      <w:tcPr>
        <w:tcBorders>
          <w:top w:val="nil"/>
          <w:left w:val="nil"/>
          <w:bottom w:val="nil"/>
          <w:right w:val="nil"/>
          <w:insideH w:val="nil"/>
          <w:insideV w:val="nil"/>
        </w:tcBorders>
        <w:shd w:val="clear" w:color="auto" w:fill="00707E" w:themeFill="accent5" w:themeFillShade="BF"/>
      </w:tcPr>
    </w:tblStylePr>
  </w:style>
  <w:style w:type="table" w:styleId="DarkList-Accent6">
    <w:name w:val="Dark List Accent 6"/>
    <w:basedOn w:val="TableNormal"/>
    <w:uiPriority w:val="70"/>
    <w:rsid w:val="00F9113D"/>
    <w:pPr>
      <w:spacing w:line="240" w:lineRule="auto"/>
    </w:pPr>
    <w:rPr>
      <w:color w:val="FFFFFF" w:themeColor="background1"/>
    </w:rPr>
    <w:tblPr>
      <w:tblStyleRowBandSize w:val="1"/>
      <w:tblStyleColBandSize w:val="1"/>
    </w:tblPr>
    <w:tcPr>
      <w:shd w:val="clear" w:color="auto" w:fill="75787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3B3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7595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7595C" w:themeFill="accent6" w:themeFillShade="BF"/>
      </w:tcPr>
    </w:tblStylePr>
    <w:tblStylePr w:type="band1Vert">
      <w:tblPr/>
      <w:tcPr>
        <w:tcBorders>
          <w:top w:val="nil"/>
          <w:left w:val="nil"/>
          <w:bottom w:val="nil"/>
          <w:right w:val="nil"/>
          <w:insideH w:val="nil"/>
          <w:insideV w:val="nil"/>
        </w:tcBorders>
        <w:shd w:val="clear" w:color="auto" w:fill="57595C" w:themeFill="accent6" w:themeFillShade="BF"/>
      </w:tcPr>
    </w:tblStylePr>
    <w:tblStylePr w:type="band1Horz">
      <w:tblPr/>
      <w:tcPr>
        <w:tcBorders>
          <w:top w:val="nil"/>
          <w:left w:val="nil"/>
          <w:bottom w:val="nil"/>
          <w:right w:val="nil"/>
          <w:insideH w:val="nil"/>
          <w:insideV w:val="nil"/>
        </w:tcBorders>
        <w:shd w:val="clear" w:color="auto" w:fill="57595C" w:themeFill="accent6" w:themeFillShade="BF"/>
      </w:tcPr>
    </w:tblStylePr>
  </w:style>
  <w:style w:type="paragraph" w:styleId="Date">
    <w:name w:val="Date"/>
    <w:basedOn w:val="Normal"/>
    <w:next w:val="Normal"/>
    <w:link w:val="DateChar"/>
    <w:uiPriority w:val="99"/>
    <w:semiHidden/>
    <w:rsid w:val="00F9113D"/>
  </w:style>
  <w:style w:type="character" w:customStyle="1" w:styleId="DateChar">
    <w:name w:val="Date Char"/>
    <w:basedOn w:val="DefaultParagraphFont"/>
    <w:link w:val="Date"/>
    <w:uiPriority w:val="99"/>
    <w:semiHidden/>
    <w:rsid w:val="00F9113D"/>
  </w:style>
  <w:style w:type="paragraph" w:styleId="DocumentMap">
    <w:name w:val="Document Map"/>
    <w:basedOn w:val="Normal"/>
    <w:link w:val="DocumentMapChar"/>
    <w:uiPriority w:val="99"/>
    <w:semiHidden/>
    <w:rsid w:val="00F9113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9113D"/>
    <w:rPr>
      <w:rFonts w:ascii="Tahoma" w:hAnsi="Tahoma" w:cs="Tahoma"/>
      <w:sz w:val="16"/>
      <w:szCs w:val="16"/>
    </w:rPr>
  </w:style>
  <w:style w:type="paragraph" w:styleId="E-mailSignature">
    <w:name w:val="E-mail Signature"/>
    <w:basedOn w:val="Normal"/>
    <w:link w:val="E-mailSignatureChar"/>
    <w:uiPriority w:val="99"/>
    <w:semiHidden/>
    <w:rsid w:val="00F9113D"/>
    <w:pPr>
      <w:spacing w:line="240" w:lineRule="auto"/>
    </w:pPr>
  </w:style>
  <w:style w:type="character" w:customStyle="1" w:styleId="E-mailSignatureChar">
    <w:name w:val="E-mail Signature Char"/>
    <w:basedOn w:val="DefaultParagraphFont"/>
    <w:link w:val="E-mailSignature"/>
    <w:uiPriority w:val="99"/>
    <w:semiHidden/>
    <w:rsid w:val="00F9113D"/>
  </w:style>
  <w:style w:type="character" w:styleId="Emphasis">
    <w:name w:val="Emphasis"/>
    <w:basedOn w:val="DefaultParagraphFont"/>
    <w:uiPriority w:val="20"/>
    <w:qFormat/>
    <w:rsid w:val="00DF06E9"/>
    <w:rPr>
      <w:b/>
      <w:i w:val="0"/>
      <w:iCs/>
      <w:color w:val="44546A" w:themeColor="text2"/>
      <w:lang w:val="en-AU"/>
    </w:rPr>
  </w:style>
  <w:style w:type="character" w:styleId="EndnoteReference">
    <w:name w:val="endnote reference"/>
    <w:basedOn w:val="DefaultParagraphFont"/>
    <w:uiPriority w:val="99"/>
    <w:semiHidden/>
    <w:rsid w:val="00F9113D"/>
    <w:rPr>
      <w:vertAlign w:val="superscript"/>
      <w:lang w:val="en-AU"/>
    </w:rPr>
  </w:style>
  <w:style w:type="paragraph" w:styleId="EndnoteText">
    <w:name w:val="endnote text"/>
    <w:basedOn w:val="Normal"/>
    <w:link w:val="EndnoteTextChar"/>
    <w:uiPriority w:val="99"/>
    <w:semiHidden/>
    <w:rsid w:val="00F9113D"/>
    <w:pPr>
      <w:spacing w:line="240" w:lineRule="auto"/>
    </w:pPr>
    <w:rPr>
      <w:sz w:val="20"/>
      <w:szCs w:val="20"/>
    </w:rPr>
  </w:style>
  <w:style w:type="character" w:customStyle="1" w:styleId="EndnoteTextChar">
    <w:name w:val="Endnote Text Char"/>
    <w:basedOn w:val="DefaultParagraphFont"/>
    <w:link w:val="EndnoteText"/>
    <w:uiPriority w:val="99"/>
    <w:semiHidden/>
    <w:rsid w:val="00F9113D"/>
    <w:rPr>
      <w:sz w:val="20"/>
      <w:szCs w:val="20"/>
    </w:rPr>
  </w:style>
  <w:style w:type="paragraph" w:styleId="EnvelopeAddress">
    <w:name w:val="envelope address"/>
    <w:basedOn w:val="Normal"/>
    <w:uiPriority w:val="99"/>
    <w:semiHidden/>
    <w:rsid w:val="00F9113D"/>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F9113D"/>
    <w:pPr>
      <w:spacing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rsid w:val="00F9113D"/>
    <w:rPr>
      <w:color w:val="53565A"/>
      <w:u w:val="single"/>
      <w:lang w:val="en-AU"/>
    </w:rPr>
  </w:style>
  <w:style w:type="character" w:customStyle="1" w:styleId="Heading5Char">
    <w:name w:val="Heading 5 Char"/>
    <w:basedOn w:val="DefaultParagraphFont"/>
    <w:link w:val="Heading5"/>
    <w:uiPriority w:val="1"/>
    <w:rsid w:val="00C50447"/>
    <w:rPr>
      <w:rFonts w:eastAsiaTheme="majorEastAsia" w:cstheme="majorBidi"/>
      <w:b/>
      <w:lang w:val="en-AU"/>
    </w:rPr>
  </w:style>
  <w:style w:type="character" w:customStyle="1" w:styleId="Heading6Char">
    <w:name w:val="Heading 6 Char"/>
    <w:basedOn w:val="DefaultParagraphFont"/>
    <w:link w:val="Heading6"/>
    <w:uiPriority w:val="1"/>
    <w:semiHidden/>
    <w:rsid w:val="00F9113D"/>
    <w:rPr>
      <w:rFonts w:eastAsiaTheme="majorEastAsia" w:cstheme="majorBidi"/>
      <w:b/>
      <w:iCs/>
      <w:lang w:val="en-AU"/>
    </w:rPr>
  </w:style>
  <w:style w:type="character" w:customStyle="1" w:styleId="Heading7Char">
    <w:name w:val="Heading 7 Char"/>
    <w:basedOn w:val="DefaultParagraphFont"/>
    <w:link w:val="Heading7"/>
    <w:uiPriority w:val="1"/>
    <w:semiHidden/>
    <w:rsid w:val="00F9113D"/>
    <w:rPr>
      <w:rFonts w:eastAsiaTheme="majorEastAsia" w:cstheme="majorBidi"/>
      <w:b/>
      <w:iCs/>
      <w:lang w:val="en-AU"/>
    </w:rPr>
  </w:style>
  <w:style w:type="character" w:customStyle="1" w:styleId="Heading8Char">
    <w:name w:val="Heading 8 Char"/>
    <w:basedOn w:val="DefaultParagraphFont"/>
    <w:link w:val="Heading8"/>
    <w:uiPriority w:val="1"/>
    <w:semiHidden/>
    <w:rsid w:val="00F9113D"/>
    <w:rPr>
      <w:rFonts w:eastAsiaTheme="majorEastAsia" w:cstheme="majorBidi"/>
      <w:b/>
      <w:szCs w:val="20"/>
      <w:lang w:val="en-AU"/>
    </w:rPr>
  </w:style>
  <w:style w:type="character" w:customStyle="1" w:styleId="Heading9Char">
    <w:name w:val="Heading 9 Char"/>
    <w:basedOn w:val="DefaultParagraphFont"/>
    <w:link w:val="Heading9"/>
    <w:uiPriority w:val="1"/>
    <w:semiHidden/>
    <w:rsid w:val="00F9113D"/>
    <w:rPr>
      <w:rFonts w:eastAsiaTheme="majorEastAsia" w:cstheme="majorBidi"/>
      <w:b/>
      <w:iCs/>
      <w:szCs w:val="20"/>
      <w:lang w:val="en-AU"/>
    </w:rPr>
  </w:style>
  <w:style w:type="character" w:styleId="HTMLAcronym">
    <w:name w:val="HTML Acronym"/>
    <w:basedOn w:val="DefaultParagraphFont"/>
    <w:uiPriority w:val="99"/>
    <w:semiHidden/>
    <w:rsid w:val="00F9113D"/>
    <w:rPr>
      <w:lang w:val="en-AU"/>
    </w:rPr>
  </w:style>
  <w:style w:type="paragraph" w:styleId="HTMLAddress">
    <w:name w:val="HTML Address"/>
    <w:basedOn w:val="Normal"/>
    <w:link w:val="HTMLAddressChar"/>
    <w:uiPriority w:val="99"/>
    <w:semiHidden/>
    <w:rsid w:val="00F9113D"/>
    <w:pPr>
      <w:spacing w:line="240" w:lineRule="auto"/>
    </w:pPr>
    <w:rPr>
      <w:i/>
      <w:iCs/>
    </w:rPr>
  </w:style>
  <w:style w:type="character" w:customStyle="1" w:styleId="HTMLAddressChar">
    <w:name w:val="HTML Address Char"/>
    <w:basedOn w:val="DefaultParagraphFont"/>
    <w:link w:val="HTMLAddress"/>
    <w:uiPriority w:val="99"/>
    <w:semiHidden/>
    <w:rsid w:val="00F9113D"/>
    <w:rPr>
      <w:i/>
      <w:iCs/>
    </w:rPr>
  </w:style>
  <w:style w:type="character" w:styleId="HTMLCite">
    <w:name w:val="HTML Cite"/>
    <w:basedOn w:val="DefaultParagraphFont"/>
    <w:uiPriority w:val="99"/>
    <w:semiHidden/>
    <w:rsid w:val="00F9113D"/>
    <w:rPr>
      <w:i/>
      <w:iCs/>
      <w:lang w:val="en-AU"/>
    </w:rPr>
  </w:style>
  <w:style w:type="character" w:styleId="HTMLCode">
    <w:name w:val="HTML Code"/>
    <w:basedOn w:val="DefaultParagraphFont"/>
    <w:uiPriority w:val="99"/>
    <w:semiHidden/>
    <w:rsid w:val="00F9113D"/>
    <w:rPr>
      <w:rFonts w:ascii="Consolas" w:hAnsi="Consolas"/>
      <w:sz w:val="20"/>
      <w:szCs w:val="20"/>
      <w:lang w:val="en-AU"/>
    </w:rPr>
  </w:style>
  <w:style w:type="character" w:styleId="HTMLDefinition">
    <w:name w:val="HTML Definition"/>
    <w:basedOn w:val="DefaultParagraphFont"/>
    <w:uiPriority w:val="99"/>
    <w:semiHidden/>
    <w:rsid w:val="00F9113D"/>
    <w:rPr>
      <w:i/>
      <w:iCs/>
      <w:lang w:val="en-AU"/>
    </w:rPr>
  </w:style>
  <w:style w:type="character" w:styleId="HTMLKeyboard">
    <w:name w:val="HTML Keyboard"/>
    <w:basedOn w:val="DefaultParagraphFont"/>
    <w:uiPriority w:val="99"/>
    <w:semiHidden/>
    <w:rsid w:val="00F9113D"/>
    <w:rPr>
      <w:rFonts w:ascii="Consolas" w:hAnsi="Consolas"/>
      <w:sz w:val="20"/>
      <w:szCs w:val="20"/>
      <w:lang w:val="en-AU"/>
    </w:rPr>
  </w:style>
  <w:style w:type="paragraph" w:styleId="HTMLPreformatted">
    <w:name w:val="HTML Preformatted"/>
    <w:basedOn w:val="Normal"/>
    <w:link w:val="HTMLPreformattedChar"/>
    <w:uiPriority w:val="99"/>
    <w:semiHidden/>
    <w:rsid w:val="00F9113D"/>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9113D"/>
    <w:rPr>
      <w:rFonts w:ascii="Consolas" w:hAnsi="Consolas"/>
      <w:sz w:val="20"/>
      <w:szCs w:val="20"/>
    </w:rPr>
  </w:style>
  <w:style w:type="character" w:styleId="HTMLSample">
    <w:name w:val="HTML Sample"/>
    <w:basedOn w:val="DefaultParagraphFont"/>
    <w:uiPriority w:val="99"/>
    <w:semiHidden/>
    <w:rsid w:val="00F9113D"/>
    <w:rPr>
      <w:rFonts w:ascii="Consolas" w:hAnsi="Consolas"/>
      <w:sz w:val="24"/>
      <w:szCs w:val="24"/>
      <w:lang w:val="en-AU"/>
    </w:rPr>
  </w:style>
  <w:style w:type="character" w:styleId="HTMLTypewriter">
    <w:name w:val="HTML Typewriter"/>
    <w:basedOn w:val="DefaultParagraphFont"/>
    <w:uiPriority w:val="99"/>
    <w:semiHidden/>
    <w:rsid w:val="00F9113D"/>
    <w:rPr>
      <w:rFonts w:ascii="Consolas" w:hAnsi="Consolas"/>
      <w:sz w:val="20"/>
      <w:szCs w:val="20"/>
      <w:lang w:val="en-AU"/>
    </w:rPr>
  </w:style>
  <w:style w:type="character" w:styleId="HTMLVariable">
    <w:name w:val="HTML Variable"/>
    <w:basedOn w:val="DefaultParagraphFont"/>
    <w:uiPriority w:val="99"/>
    <w:semiHidden/>
    <w:rsid w:val="00F9113D"/>
    <w:rPr>
      <w:i/>
      <w:iCs/>
      <w:lang w:val="en-AU"/>
    </w:rPr>
  </w:style>
  <w:style w:type="paragraph" w:styleId="Index1">
    <w:name w:val="index 1"/>
    <w:basedOn w:val="Normal"/>
    <w:next w:val="Normal"/>
    <w:autoRedefine/>
    <w:uiPriority w:val="99"/>
    <w:semiHidden/>
    <w:rsid w:val="00F9113D"/>
    <w:pPr>
      <w:spacing w:line="240" w:lineRule="auto"/>
      <w:ind w:left="180" w:hanging="180"/>
    </w:pPr>
  </w:style>
  <w:style w:type="paragraph" w:styleId="Index2">
    <w:name w:val="index 2"/>
    <w:basedOn w:val="Normal"/>
    <w:next w:val="Normal"/>
    <w:autoRedefine/>
    <w:uiPriority w:val="99"/>
    <w:semiHidden/>
    <w:rsid w:val="00F9113D"/>
    <w:pPr>
      <w:spacing w:line="240" w:lineRule="auto"/>
      <w:ind w:left="360" w:hanging="180"/>
    </w:pPr>
  </w:style>
  <w:style w:type="paragraph" w:styleId="Index3">
    <w:name w:val="index 3"/>
    <w:basedOn w:val="Normal"/>
    <w:next w:val="Normal"/>
    <w:autoRedefine/>
    <w:uiPriority w:val="99"/>
    <w:semiHidden/>
    <w:rsid w:val="00F9113D"/>
    <w:pPr>
      <w:spacing w:line="240" w:lineRule="auto"/>
      <w:ind w:left="540" w:hanging="180"/>
    </w:pPr>
  </w:style>
  <w:style w:type="paragraph" w:styleId="Index4">
    <w:name w:val="index 4"/>
    <w:basedOn w:val="Normal"/>
    <w:next w:val="Normal"/>
    <w:autoRedefine/>
    <w:uiPriority w:val="99"/>
    <w:semiHidden/>
    <w:rsid w:val="00F9113D"/>
    <w:pPr>
      <w:spacing w:line="240" w:lineRule="auto"/>
      <w:ind w:left="720" w:hanging="180"/>
    </w:pPr>
  </w:style>
  <w:style w:type="paragraph" w:styleId="Index5">
    <w:name w:val="index 5"/>
    <w:basedOn w:val="Normal"/>
    <w:next w:val="Normal"/>
    <w:autoRedefine/>
    <w:uiPriority w:val="99"/>
    <w:semiHidden/>
    <w:rsid w:val="00F9113D"/>
    <w:pPr>
      <w:spacing w:line="240" w:lineRule="auto"/>
      <w:ind w:left="900" w:hanging="180"/>
    </w:pPr>
  </w:style>
  <w:style w:type="paragraph" w:styleId="Index6">
    <w:name w:val="index 6"/>
    <w:basedOn w:val="Normal"/>
    <w:next w:val="Normal"/>
    <w:autoRedefine/>
    <w:uiPriority w:val="99"/>
    <w:semiHidden/>
    <w:rsid w:val="00F9113D"/>
    <w:pPr>
      <w:spacing w:line="240" w:lineRule="auto"/>
      <w:ind w:left="1080" w:hanging="180"/>
    </w:pPr>
  </w:style>
  <w:style w:type="paragraph" w:styleId="Index7">
    <w:name w:val="index 7"/>
    <w:basedOn w:val="Normal"/>
    <w:next w:val="Normal"/>
    <w:autoRedefine/>
    <w:uiPriority w:val="99"/>
    <w:semiHidden/>
    <w:rsid w:val="00F9113D"/>
    <w:pPr>
      <w:spacing w:line="240" w:lineRule="auto"/>
      <w:ind w:left="1260" w:hanging="180"/>
    </w:pPr>
  </w:style>
  <w:style w:type="paragraph" w:styleId="Index8">
    <w:name w:val="index 8"/>
    <w:basedOn w:val="Normal"/>
    <w:next w:val="Normal"/>
    <w:autoRedefine/>
    <w:uiPriority w:val="99"/>
    <w:semiHidden/>
    <w:rsid w:val="00F9113D"/>
    <w:pPr>
      <w:spacing w:line="240" w:lineRule="auto"/>
      <w:ind w:left="1440" w:hanging="180"/>
    </w:pPr>
  </w:style>
  <w:style w:type="paragraph" w:styleId="Index9">
    <w:name w:val="index 9"/>
    <w:basedOn w:val="Normal"/>
    <w:next w:val="Normal"/>
    <w:autoRedefine/>
    <w:uiPriority w:val="99"/>
    <w:semiHidden/>
    <w:rsid w:val="00F9113D"/>
    <w:pPr>
      <w:spacing w:line="240" w:lineRule="auto"/>
      <w:ind w:left="1620" w:hanging="180"/>
    </w:pPr>
  </w:style>
  <w:style w:type="paragraph" w:styleId="IndexHeading">
    <w:name w:val="index heading"/>
    <w:basedOn w:val="Normal"/>
    <w:next w:val="Index1"/>
    <w:uiPriority w:val="99"/>
    <w:semiHidden/>
    <w:rsid w:val="00F9113D"/>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F9113D"/>
    <w:rPr>
      <w:b/>
      <w:bCs/>
      <w:i/>
      <w:iCs/>
      <w:color w:val="86BC25" w:themeColor="accent1"/>
      <w:lang w:val="en-AU"/>
    </w:rPr>
  </w:style>
  <w:style w:type="paragraph" w:styleId="IntenseQuote">
    <w:name w:val="Intense Quote"/>
    <w:basedOn w:val="Normal"/>
    <w:next w:val="Normal"/>
    <w:link w:val="IntenseQuoteChar"/>
    <w:uiPriority w:val="30"/>
    <w:semiHidden/>
    <w:rsid w:val="00F9113D"/>
    <w:pPr>
      <w:pBdr>
        <w:bottom w:val="single" w:sz="4" w:space="4" w:color="86BC25" w:themeColor="accent1"/>
      </w:pBdr>
      <w:spacing w:before="200" w:after="280"/>
      <w:ind w:left="936" w:right="936"/>
    </w:pPr>
    <w:rPr>
      <w:b/>
      <w:bCs/>
      <w:i/>
      <w:iCs/>
      <w:color w:val="86BC25" w:themeColor="accent1"/>
    </w:rPr>
  </w:style>
  <w:style w:type="character" w:customStyle="1" w:styleId="IntenseQuoteChar">
    <w:name w:val="Intense Quote Char"/>
    <w:basedOn w:val="DefaultParagraphFont"/>
    <w:link w:val="IntenseQuote"/>
    <w:uiPriority w:val="30"/>
    <w:semiHidden/>
    <w:rsid w:val="00F9113D"/>
    <w:rPr>
      <w:b/>
      <w:bCs/>
      <w:i/>
      <w:iCs/>
      <w:color w:val="86BC25" w:themeColor="accent1"/>
    </w:rPr>
  </w:style>
  <w:style w:type="character" w:styleId="IntenseReference">
    <w:name w:val="Intense Reference"/>
    <w:basedOn w:val="DefaultParagraphFont"/>
    <w:uiPriority w:val="99"/>
    <w:semiHidden/>
    <w:qFormat/>
    <w:rsid w:val="00F9113D"/>
    <w:rPr>
      <w:b/>
      <w:bCs/>
      <w:smallCaps/>
      <w:color w:val="046A38" w:themeColor="accent2"/>
      <w:spacing w:val="5"/>
      <w:u w:val="single"/>
      <w:lang w:val="en-AU"/>
    </w:rPr>
  </w:style>
  <w:style w:type="table" w:styleId="LightGrid">
    <w:name w:val="Light Grid"/>
    <w:basedOn w:val="TableNormal"/>
    <w:uiPriority w:val="62"/>
    <w:rsid w:val="00F9113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F9113D"/>
    <w:pPr>
      <w:spacing w:line="240" w:lineRule="auto"/>
    </w:p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18" w:space="0" w:color="86BC25" w:themeColor="accent1"/>
          <w:right w:val="single" w:sz="8" w:space="0" w:color="86BC25" w:themeColor="accent1"/>
          <w:insideH w:val="nil"/>
          <w:insideV w:val="single" w:sz="8" w:space="0" w:color="86BC2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insideH w:val="nil"/>
          <w:insideV w:val="single" w:sz="8" w:space="0" w:color="86BC2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shd w:val="clear" w:color="auto" w:fill="E2F3C3" w:themeFill="accent1" w:themeFillTint="3F"/>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shd w:val="clear" w:color="auto" w:fill="E2F3C3" w:themeFill="accent1" w:themeFillTint="3F"/>
      </w:tcPr>
    </w:tblStylePr>
    <w:tblStylePr w:type="band2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tcPr>
    </w:tblStylePr>
  </w:style>
  <w:style w:type="table" w:styleId="LightGrid-Accent2">
    <w:name w:val="Light Grid Accent 2"/>
    <w:basedOn w:val="TableNormal"/>
    <w:uiPriority w:val="62"/>
    <w:rsid w:val="00F9113D"/>
    <w:pPr>
      <w:spacing w:line="240" w:lineRule="auto"/>
    </w:p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18" w:space="0" w:color="046A38" w:themeColor="accent2"/>
          <w:right w:val="single" w:sz="8" w:space="0" w:color="046A38" w:themeColor="accent2"/>
          <w:insideH w:val="nil"/>
          <w:insideV w:val="single" w:sz="8" w:space="0" w:color="046A3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insideH w:val="nil"/>
          <w:insideV w:val="single" w:sz="8" w:space="0" w:color="046A3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shd w:val="clear" w:color="auto" w:fill="9FFBCE" w:themeFill="accent2" w:themeFillTint="3F"/>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shd w:val="clear" w:color="auto" w:fill="9FFBCE" w:themeFill="accent2" w:themeFillTint="3F"/>
      </w:tcPr>
    </w:tblStylePr>
    <w:tblStylePr w:type="band2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tcPr>
    </w:tblStylePr>
  </w:style>
  <w:style w:type="table" w:styleId="LightGrid-Accent3">
    <w:name w:val="Light Grid Accent 3"/>
    <w:basedOn w:val="TableNormal"/>
    <w:uiPriority w:val="62"/>
    <w:rsid w:val="00F9113D"/>
    <w:pPr>
      <w:spacing w:line="240" w:lineRule="auto"/>
    </w:p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18" w:space="0" w:color="62B5E5" w:themeColor="accent3"/>
          <w:right w:val="single" w:sz="8" w:space="0" w:color="62B5E5" w:themeColor="accent3"/>
          <w:insideH w:val="nil"/>
          <w:insideV w:val="single" w:sz="8" w:space="0" w:color="62B5E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insideH w:val="nil"/>
          <w:insideV w:val="single" w:sz="8" w:space="0" w:color="62B5E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shd w:val="clear" w:color="auto" w:fill="D8ECF8" w:themeFill="accent3" w:themeFillTint="3F"/>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shd w:val="clear" w:color="auto" w:fill="D8ECF8" w:themeFill="accent3" w:themeFillTint="3F"/>
      </w:tcPr>
    </w:tblStylePr>
    <w:tblStylePr w:type="band2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tcPr>
    </w:tblStylePr>
  </w:style>
  <w:style w:type="table" w:styleId="LightGrid-Accent4">
    <w:name w:val="Light Grid Accent 4"/>
    <w:basedOn w:val="TableNormal"/>
    <w:uiPriority w:val="62"/>
    <w:rsid w:val="00F9113D"/>
    <w:pPr>
      <w:spacing w:line="240" w:lineRule="auto"/>
    </w:p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18" w:space="0" w:color="012169" w:themeColor="accent4"/>
          <w:right w:val="single" w:sz="8" w:space="0" w:color="012169" w:themeColor="accent4"/>
          <w:insideH w:val="nil"/>
          <w:insideV w:val="single" w:sz="8" w:space="0" w:color="01216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insideH w:val="nil"/>
          <w:insideV w:val="single" w:sz="8" w:space="0" w:color="01216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shd w:val="clear" w:color="auto" w:fill="9BB9FE" w:themeFill="accent4" w:themeFillTint="3F"/>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shd w:val="clear" w:color="auto" w:fill="9BB9FE" w:themeFill="accent4" w:themeFillTint="3F"/>
      </w:tcPr>
    </w:tblStylePr>
    <w:tblStylePr w:type="band2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tcPr>
    </w:tblStylePr>
  </w:style>
  <w:style w:type="table" w:styleId="LightGrid-Accent5">
    <w:name w:val="Light Grid Accent 5"/>
    <w:basedOn w:val="TableNormal"/>
    <w:uiPriority w:val="62"/>
    <w:rsid w:val="00F9113D"/>
    <w:pPr>
      <w:spacing w:line="240" w:lineRule="auto"/>
    </w:p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18" w:space="0" w:color="0097A9" w:themeColor="accent5"/>
          <w:right w:val="single" w:sz="8" w:space="0" w:color="0097A9" w:themeColor="accent5"/>
          <w:insideH w:val="nil"/>
          <w:insideV w:val="single" w:sz="8" w:space="0" w:color="0097A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insideH w:val="nil"/>
          <w:insideV w:val="single" w:sz="8" w:space="0" w:color="0097A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shd w:val="clear" w:color="auto" w:fill="AAF5FF" w:themeFill="accent5" w:themeFillTint="3F"/>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shd w:val="clear" w:color="auto" w:fill="AAF5FF" w:themeFill="accent5" w:themeFillTint="3F"/>
      </w:tcPr>
    </w:tblStylePr>
    <w:tblStylePr w:type="band2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tcPr>
    </w:tblStylePr>
  </w:style>
  <w:style w:type="table" w:styleId="LightGrid-Accent6">
    <w:name w:val="Light Grid Accent 6"/>
    <w:basedOn w:val="TableNormal"/>
    <w:uiPriority w:val="62"/>
    <w:rsid w:val="00F9113D"/>
    <w:pPr>
      <w:spacing w:line="240" w:lineRule="auto"/>
    </w:p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18" w:space="0" w:color="75787B" w:themeColor="accent6"/>
          <w:right w:val="single" w:sz="8" w:space="0" w:color="75787B" w:themeColor="accent6"/>
          <w:insideH w:val="nil"/>
          <w:insideV w:val="single" w:sz="8" w:space="0" w:color="75787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insideH w:val="nil"/>
          <w:insideV w:val="single" w:sz="8" w:space="0" w:color="75787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shd w:val="clear" w:color="auto" w:fill="DCDDDE" w:themeFill="accent6" w:themeFillTint="3F"/>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shd w:val="clear" w:color="auto" w:fill="DCDDDE" w:themeFill="accent6" w:themeFillTint="3F"/>
      </w:tcPr>
    </w:tblStylePr>
    <w:tblStylePr w:type="band2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tcPr>
    </w:tblStylePr>
  </w:style>
  <w:style w:type="table" w:styleId="LightList">
    <w:name w:val="Light List"/>
    <w:basedOn w:val="TableNormal"/>
    <w:uiPriority w:val="61"/>
    <w:rsid w:val="00F9113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9113D"/>
    <w:pPr>
      <w:spacing w:line="240" w:lineRule="auto"/>
    </w:p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pPr>
        <w:spacing w:before="0" w:after="0" w:line="240" w:lineRule="auto"/>
      </w:pPr>
      <w:rPr>
        <w:b/>
        <w:bCs/>
        <w:color w:val="FFFFFF" w:themeColor="background1"/>
      </w:rPr>
      <w:tblPr/>
      <w:tcPr>
        <w:shd w:val="clear" w:color="auto" w:fill="86BC25" w:themeFill="accent1"/>
      </w:tcPr>
    </w:tblStylePr>
    <w:tblStylePr w:type="lastRow">
      <w:pPr>
        <w:spacing w:before="0" w:after="0" w:line="240" w:lineRule="auto"/>
      </w:pPr>
      <w:rPr>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tcBorders>
      </w:tcPr>
    </w:tblStylePr>
    <w:tblStylePr w:type="firstCol">
      <w:rPr>
        <w:b/>
        <w:bCs/>
      </w:rPr>
    </w:tblStylePr>
    <w:tblStylePr w:type="lastCol">
      <w:rPr>
        <w:b/>
        <w:bCs/>
      </w:r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style>
  <w:style w:type="table" w:styleId="LightList-Accent2">
    <w:name w:val="Light List Accent 2"/>
    <w:basedOn w:val="TableNormal"/>
    <w:uiPriority w:val="61"/>
    <w:rsid w:val="00F9113D"/>
    <w:pPr>
      <w:spacing w:line="240" w:lineRule="auto"/>
    </w:p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pPr>
        <w:spacing w:before="0" w:after="0" w:line="240" w:lineRule="auto"/>
      </w:pPr>
      <w:rPr>
        <w:b/>
        <w:bCs/>
        <w:color w:val="FFFFFF" w:themeColor="background1"/>
      </w:rPr>
      <w:tblPr/>
      <w:tcPr>
        <w:shd w:val="clear" w:color="auto" w:fill="046A38" w:themeFill="accent2"/>
      </w:tcPr>
    </w:tblStylePr>
    <w:tblStylePr w:type="lastRow">
      <w:pPr>
        <w:spacing w:before="0" w:after="0" w:line="240" w:lineRule="auto"/>
      </w:pPr>
      <w:rPr>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tcBorders>
      </w:tcPr>
    </w:tblStylePr>
    <w:tblStylePr w:type="firstCol">
      <w:rPr>
        <w:b/>
        <w:bCs/>
      </w:rPr>
    </w:tblStylePr>
    <w:tblStylePr w:type="lastCol">
      <w:rPr>
        <w:b/>
        <w:bCs/>
      </w:r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style>
  <w:style w:type="table" w:styleId="LightList-Accent3">
    <w:name w:val="Light List Accent 3"/>
    <w:basedOn w:val="TableNormal"/>
    <w:uiPriority w:val="61"/>
    <w:rsid w:val="00F9113D"/>
    <w:pPr>
      <w:spacing w:line="240" w:lineRule="auto"/>
    </w:p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pPr>
        <w:spacing w:before="0" w:after="0" w:line="240" w:lineRule="auto"/>
      </w:pPr>
      <w:rPr>
        <w:b/>
        <w:bCs/>
        <w:color w:val="FFFFFF" w:themeColor="background1"/>
      </w:rPr>
      <w:tblPr/>
      <w:tcPr>
        <w:shd w:val="clear" w:color="auto" w:fill="62B5E5" w:themeFill="accent3"/>
      </w:tcPr>
    </w:tblStylePr>
    <w:tblStylePr w:type="lastRow">
      <w:pPr>
        <w:spacing w:before="0" w:after="0" w:line="240" w:lineRule="auto"/>
      </w:pPr>
      <w:rPr>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tcBorders>
      </w:tcPr>
    </w:tblStylePr>
    <w:tblStylePr w:type="firstCol">
      <w:rPr>
        <w:b/>
        <w:bCs/>
      </w:rPr>
    </w:tblStylePr>
    <w:tblStylePr w:type="lastCol">
      <w:rPr>
        <w:b/>
        <w:bCs/>
      </w:r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style>
  <w:style w:type="table" w:styleId="LightList-Accent4">
    <w:name w:val="Light List Accent 4"/>
    <w:basedOn w:val="TableNormal"/>
    <w:uiPriority w:val="61"/>
    <w:rsid w:val="00F9113D"/>
    <w:pPr>
      <w:spacing w:line="240" w:lineRule="auto"/>
    </w:p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pPr>
        <w:spacing w:before="0" w:after="0" w:line="240" w:lineRule="auto"/>
      </w:pPr>
      <w:rPr>
        <w:b/>
        <w:bCs/>
        <w:color w:val="FFFFFF" w:themeColor="background1"/>
      </w:rPr>
      <w:tblPr/>
      <w:tcPr>
        <w:shd w:val="clear" w:color="auto" w:fill="012169" w:themeFill="accent4"/>
      </w:tcPr>
    </w:tblStylePr>
    <w:tblStylePr w:type="lastRow">
      <w:pPr>
        <w:spacing w:before="0" w:after="0" w:line="240" w:lineRule="auto"/>
      </w:pPr>
      <w:rPr>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tcBorders>
      </w:tcPr>
    </w:tblStylePr>
    <w:tblStylePr w:type="firstCol">
      <w:rPr>
        <w:b/>
        <w:bCs/>
      </w:rPr>
    </w:tblStylePr>
    <w:tblStylePr w:type="lastCol">
      <w:rPr>
        <w:b/>
        <w:bCs/>
      </w:r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style>
  <w:style w:type="table" w:styleId="LightList-Accent5">
    <w:name w:val="Light List Accent 5"/>
    <w:basedOn w:val="TableNormal"/>
    <w:uiPriority w:val="61"/>
    <w:rsid w:val="00F9113D"/>
    <w:pPr>
      <w:spacing w:line="240" w:lineRule="auto"/>
    </w:p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pPr>
        <w:spacing w:before="0" w:after="0" w:line="240" w:lineRule="auto"/>
      </w:pPr>
      <w:rPr>
        <w:b/>
        <w:bCs/>
        <w:color w:val="FFFFFF" w:themeColor="background1"/>
      </w:rPr>
      <w:tblPr/>
      <w:tcPr>
        <w:shd w:val="clear" w:color="auto" w:fill="0097A9" w:themeFill="accent5"/>
      </w:tcPr>
    </w:tblStylePr>
    <w:tblStylePr w:type="lastRow">
      <w:pPr>
        <w:spacing w:before="0" w:after="0" w:line="240" w:lineRule="auto"/>
      </w:pPr>
      <w:rPr>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tcBorders>
      </w:tcPr>
    </w:tblStylePr>
    <w:tblStylePr w:type="firstCol">
      <w:rPr>
        <w:b/>
        <w:bCs/>
      </w:rPr>
    </w:tblStylePr>
    <w:tblStylePr w:type="lastCol">
      <w:rPr>
        <w:b/>
        <w:bCs/>
      </w:r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style>
  <w:style w:type="table" w:styleId="LightList-Accent6">
    <w:name w:val="Light List Accent 6"/>
    <w:basedOn w:val="TableNormal"/>
    <w:uiPriority w:val="61"/>
    <w:rsid w:val="00F9113D"/>
    <w:pPr>
      <w:spacing w:line="240" w:lineRule="auto"/>
    </w:p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pPr>
        <w:spacing w:before="0" w:after="0" w:line="240" w:lineRule="auto"/>
      </w:pPr>
      <w:rPr>
        <w:b/>
        <w:bCs/>
        <w:color w:val="FFFFFF" w:themeColor="background1"/>
      </w:rPr>
      <w:tblPr/>
      <w:tcPr>
        <w:shd w:val="clear" w:color="auto" w:fill="75787B" w:themeFill="accent6"/>
      </w:tcPr>
    </w:tblStylePr>
    <w:tblStylePr w:type="lastRow">
      <w:pPr>
        <w:spacing w:before="0" w:after="0" w:line="240" w:lineRule="auto"/>
      </w:pPr>
      <w:rPr>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tcBorders>
      </w:tcPr>
    </w:tblStylePr>
    <w:tblStylePr w:type="firstCol">
      <w:rPr>
        <w:b/>
        <w:bCs/>
      </w:rPr>
    </w:tblStylePr>
    <w:tblStylePr w:type="lastCol">
      <w:rPr>
        <w:b/>
        <w:bCs/>
      </w:r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style>
  <w:style w:type="table" w:styleId="LightShading">
    <w:name w:val="Light Shading"/>
    <w:basedOn w:val="TableNormal"/>
    <w:uiPriority w:val="60"/>
    <w:rsid w:val="00F9113D"/>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9113D"/>
    <w:pPr>
      <w:spacing w:line="240" w:lineRule="auto"/>
    </w:pPr>
    <w:rPr>
      <w:color w:val="638C1B" w:themeColor="accent1" w:themeShade="BF"/>
    </w:rPr>
    <w:tblPr>
      <w:tblStyleRowBandSize w:val="1"/>
      <w:tblStyleColBandSize w:val="1"/>
      <w:tblBorders>
        <w:top w:val="single" w:sz="8" w:space="0" w:color="86BC25" w:themeColor="accent1"/>
        <w:bottom w:val="single" w:sz="8" w:space="0" w:color="86BC25" w:themeColor="accent1"/>
      </w:tblBorders>
    </w:tblPr>
    <w:tblStylePr w:type="fir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la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left w:val="nil"/>
          <w:right w:val="nil"/>
          <w:insideH w:val="nil"/>
          <w:insideV w:val="nil"/>
        </w:tcBorders>
        <w:shd w:val="clear" w:color="auto" w:fill="E2F3C3" w:themeFill="accent1" w:themeFillTint="3F"/>
      </w:tcPr>
    </w:tblStylePr>
  </w:style>
  <w:style w:type="table" w:styleId="LightShading-Accent2">
    <w:name w:val="Light Shading Accent 2"/>
    <w:basedOn w:val="TableNormal"/>
    <w:uiPriority w:val="60"/>
    <w:rsid w:val="00F9113D"/>
    <w:pPr>
      <w:spacing w:line="240" w:lineRule="auto"/>
    </w:pPr>
    <w:rPr>
      <w:color w:val="034F29" w:themeColor="accent2" w:themeShade="BF"/>
    </w:rPr>
    <w:tblPr>
      <w:tblStyleRowBandSize w:val="1"/>
      <w:tblStyleColBandSize w:val="1"/>
      <w:tblBorders>
        <w:top w:val="single" w:sz="8" w:space="0" w:color="046A38" w:themeColor="accent2"/>
        <w:bottom w:val="single" w:sz="8" w:space="0" w:color="046A38" w:themeColor="accent2"/>
      </w:tblBorders>
    </w:tblPr>
    <w:tblStylePr w:type="fir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la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left w:val="nil"/>
          <w:right w:val="nil"/>
          <w:insideH w:val="nil"/>
          <w:insideV w:val="nil"/>
        </w:tcBorders>
        <w:shd w:val="clear" w:color="auto" w:fill="9FFBCE" w:themeFill="accent2" w:themeFillTint="3F"/>
      </w:tcPr>
    </w:tblStylePr>
  </w:style>
  <w:style w:type="table" w:styleId="LightShading-Accent3">
    <w:name w:val="Light Shading Accent 3"/>
    <w:basedOn w:val="TableNormal"/>
    <w:uiPriority w:val="60"/>
    <w:rsid w:val="00F9113D"/>
    <w:pPr>
      <w:spacing w:line="240" w:lineRule="auto"/>
    </w:pPr>
    <w:rPr>
      <w:color w:val="2291D1" w:themeColor="accent3" w:themeShade="BF"/>
    </w:rPr>
    <w:tblPr>
      <w:tblStyleRowBandSize w:val="1"/>
      <w:tblStyleColBandSize w:val="1"/>
      <w:tblBorders>
        <w:top w:val="single" w:sz="8" w:space="0" w:color="62B5E5" w:themeColor="accent3"/>
        <w:bottom w:val="single" w:sz="8" w:space="0" w:color="62B5E5" w:themeColor="accent3"/>
      </w:tblBorders>
    </w:tblPr>
    <w:tblStylePr w:type="fir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la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left w:val="nil"/>
          <w:right w:val="nil"/>
          <w:insideH w:val="nil"/>
          <w:insideV w:val="nil"/>
        </w:tcBorders>
        <w:shd w:val="clear" w:color="auto" w:fill="D8ECF8" w:themeFill="accent3" w:themeFillTint="3F"/>
      </w:tcPr>
    </w:tblStylePr>
  </w:style>
  <w:style w:type="table" w:styleId="LightShading-Accent4">
    <w:name w:val="Light Shading Accent 4"/>
    <w:basedOn w:val="TableNormal"/>
    <w:uiPriority w:val="60"/>
    <w:rsid w:val="00F9113D"/>
    <w:pPr>
      <w:spacing w:line="240" w:lineRule="auto"/>
    </w:pPr>
    <w:rPr>
      <w:color w:val="00184E" w:themeColor="accent4" w:themeShade="BF"/>
    </w:rPr>
    <w:tblPr>
      <w:tblStyleRowBandSize w:val="1"/>
      <w:tblStyleColBandSize w:val="1"/>
      <w:tblBorders>
        <w:top w:val="single" w:sz="8" w:space="0" w:color="012169" w:themeColor="accent4"/>
        <w:bottom w:val="single" w:sz="8" w:space="0" w:color="012169" w:themeColor="accent4"/>
      </w:tblBorders>
    </w:tblPr>
    <w:tblStylePr w:type="fir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la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left w:val="nil"/>
          <w:right w:val="nil"/>
          <w:insideH w:val="nil"/>
          <w:insideV w:val="nil"/>
        </w:tcBorders>
        <w:shd w:val="clear" w:color="auto" w:fill="9BB9FE" w:themeFill="accent4" w:themeFillTint="3F"/>
      </w:tcPr>
    </w:tblStylePr>
  </w:style>
  <w:style w:type="table" w:styleId="LightShading-Accent5">
    <w:name w:val="Light Shading Accent 5"/>
    <w:basedOn w:val="TableNormal"/>
    <w:uiPriority w:val="60"/>
    <w:rsid w:val="00F9113D"/>
    <w:pPr>
      <w:spacing w:line="240" w:lineRule="auto"/>
    </w:pPr>
    <w:rPr>
      <w:color w:val="00707E" w:themeColor="accent5" w:themeShade="BF"/>
    </w:rPr>
    <w:tblPr>
      <w:tblStyleRowBandSize w:val="1"/>
      <w:tblStyleColBandSize w:val="1"/>
      <w:tblBorders>
        <w:top w:val="single" w:sz="8" w:space="0" w:color="0097A9" w:themeColor="accent5"/>
        <w:bottom w:val="single" w:sz="8" w:space="0" w:color="0097A9" w:themeColor="accent5"/>
      </w:tblBorders>
    </w:tblPr>
    <w:tblStylePr w:type="fir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la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left w:val="nil"/>
          <w:right w:val="nil"/>
          <w:insideH w:val="nil"/>
          <w:insideV w:val="nil"/>
        </w:tcBorders>
        <w:shd w:val="clear" w:color="auto" w:fill="AAF5FF" w:themeFill="accent5" w:themeFillTint="3F"/>
      </w:tcPr>
    </w:tblStylePr>
  </w:style>
  <w:style w:type="table" w:styleId="LightShading-Accent6">
    <w:name w:val="Light Shading Accent 6"/>
    <w:basedOn w:val="TableNormal"/>
    <w:uiPriority w:val="60"/>
    <w:rsid w:val="00F9113D"/>
    <w:pPr>
      <w:spacing w:line="240" w:lineRule="auto"/>
    </w:pPr>
    <w:rPr>
      <w:color w:val="57595C" w:themeColor="accent6" w:themeShade="BF"/>
    </w:rPr>
    <w:tblPr>
      <w:tblStyleRowBandSize w:val="1"/>
      <w:tblStyleColBandSize w:val="1"/>
      <w:tblBorders>
        <w:top w:val="single" w:sz="8" w:space="0" w:color="75787B" w:themeColor="accent6"/>
        <w:bottom w:val="single" w:sz="8" w:space="0" w:color="75787B" w:themeColor="accent6"/>
      </w:tblBorders>
    </w:tblPr>
    <w:tblStylePr w:type="fir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la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left w:val="nil"/>
          <w:right w:val="nil"/>
          <w:insideH w:val="nil"/>
          <w:insideV w:val="nil"/>
        </w:tcBorders>
        <w:shd w:val="clear" w:color="auto" w:fill="DCDDDE" w:themeFill="accent6" w:themeFillTint="3F"/>
      </w:tcPr>
    </w:tblStylePr>
  </w:style>
  <w:style w:type="character" w:styleId="LineNumber">
    <w:name w:val="line number"/>
    <w:basedOn w:val="DefaultParagraphFont"/>
    <w:uiPriority w:val="99"/>
    <w:semiHidden/>
    <w:rsid w:val="00F9113D"/>
    <w:rPr>
      <w:lang w:val="en-AU"/>
    </w:rPr>
  </w:style>
  <w:style w:type="paragraph" w:styleId="List">
    <w:name w:val="List"/>
    <w:basedOn w:val="Normal"/>
    <w:uiPriority w:val="99"/>
    <w:semiHidden/>
    <w:rsid w:val="00F9113D"/>
    <w:pPr>
      <w:ind w:left="283" w:hanging="283"/>
      <w:contextualSpacing/>
    </w:pPr>
  </w:style>
  <w:style w:type="paragraph" w:styleId="List2">
    <w:name w:val="List 2"/>
    <w:basedOn w:val="Normal"/>
    <w:uiPriority w:val="99"/>
    <w:semiHidden/>
    <w:rsid w:val="00F9113D"/>
    <w:pPr>
      <w:ind w:left="566" w:hanging="283"/>
      <w:contextualSpacing/>
    </w:pPr>
  </w:style>
  <w:style w:type="paragraph" w:styleId="List3">
    <w:name w:val="List 3"/>
    <w:basedOn w:val="Normal"/>
    <w:uiPriority w:val="99"/>
    <w:semiHidden/>
    <w:rsid w:val="00F9113D"/>
    <w:pPr>
      <w:ind w:left="849" w:hanging="283"/>
      <w:contextualSpacing/>
    </w:pPr>
  </w:style>
  <w:style w:type="paragraph" w:styleId="List4">
    <w:name w:val="List 4"/>
    <w:basedOn w:val="Normal"/>
    <w:uiPriority w:val="99"/>
    <w:semiHidden/>
    <w:rsid w:val="00F9113D"/>
    <w:pPr>
      <w:ind w:left="1132" w:hanging="283"/>
      <w:contextualSpacing/>
    </w:pPr>
  </w:style>
  <w:style w:type="paragraph" w:styleId="List5">
    <w:name w:val="List 5"/>
    <w:basedOn w:val="Normal"/>
    <w:uiPriority w:val="99"/>
    <w:semiHidden/>
    <w:rsid w:val="00F9113D"/>
    <w:pPr>
      <w:ind w:left="1415" w:hanging="283"/>
      <w:contextualSpacing/>
    </w:pPr>
  </w:style>
  <w:style w:type="paragraph" w:styleId="ListBullet3">
    <w:name w:val="List Bullet 3"/>
    <w:basedOn w:val="Normal"/>
    <w:uiPriority w:val="3"/>
    <w:rsid w:val="00CC7525"/>
    <w:pPr>
      <w:numPr>
        <w:numId w:val="14"/>
      </w:numPr>
      <w:ind w:left="1020"/>
      <w:contextualSpacing/>
    </w:pPr>
  </w:style>
  <w:style w:type="paragraph" w:styleId="ListBullet4">
    <w:name w:val="List Bullet 4"/>
    <w:basedOn w:val="Normal"/>
    <w:uiPriority w:val="99"/>
    <w:semiHidden/>
    <w:rsid w:val="00F9113D"/>
    <w:pPr>
      <w:numPr>
        <w:numId w:val="2"/>
      </w:numPr>
      <w:contextualSpacing/>
    </w:pPr>
  </w:style>
  <w:style w:type="paragraph" w:styleId="ListBullet5">
    <w:name w:val="List Bullet 5"/>
    <w:basedOn w:val="Normal"/>
    <w:uiPriority w:val="99"/>
    <w:semiHidden/>
    <w:rsid w:val="00F9113D"/>
    <w:pPr>
      <w:numPr>
        <w:numId w:val="3"/>
      </w:numPr>
      <w:contextualSpacing/>
    </w:pPr>
  </w:style>
  <w:style w:type="paragraph" w:styleId="ListContinue">
    <w:name w:val="List Continue"/>
    <w:basedOn w:val="Normal"/>
    <w:uiPriority w:val="99"/>
    <w:semiHidden/>
    <w:rsid w:val="00F9113D"/>
    <w:pPr>
      <w:spacing w:after="120"/>
      <w:ind w:left="283"/>
      <w:contextualSpacing/>
    </w:pPr>
  </w:style>
  <w:style w:type="paragraph" w:styleId="ListContinue2">
    <w:name w:val="List Continue 2"/>
    <w:basedOn w:val="Normal"/>
    <w:uiPriority w:val="99"/>
    <w:semiHidden/>
    <w:rsid w:val="00F9113D"/>
    <w:pPr>
      <w:spacing w:after="120"/>
      <w:ind w:left="566"/>
      <w:contextualSpacing/>
    </w:pPr>
  </w:style>
  <w:style w:type="paragraph" w:styleId="ListContinue3">
    <w:name w:val="List Continue 3"/>
    <w:basedOn w:val="Normal"/>
    <w:uiPriority w:val="99"/>
    <w:semiHidden/>
    <w:rsid w:val="00F9113D"/>
    <w:pPr>
      <w:spacing w:after="120"/>
      <w:ind w:left="849"/>
      <w:contextualSpacing/>
    </w:pPr>
  </w:style>
  <w:style w:type="paragraph" w:styleId="ListContinue4">
    <w:name w:val="List Continue 4"/>
    <w:basedOn w:val="Normal"/>
    <w:uiPriority w:val="99"/>
    <w:semiHidden/>
    <w:rsid w:val="00F9113D"/>
    <w:pPr>
      <w:spacing w:after="120"/>
      <w:ind w:left="1132"/>
      <w:contextualSpacing/>
    </w:pPr>
  </w:style>
  <w:style w:type="paragraph" w:styleId="ListContinue5">
    <w:name w:val="List Continue 5"/>
    <w:basedOn w:val="Normal"/>
    <w:uiPriority w:val="99"/>
    <w:semiHidden/>
    <w:rsid w:val="00F9113D"/>
    <w:pPr>
      <w:spacing w:after="120"/>
      <w:ind w:left="1415"/>
      <w:contextualSpacing/>
    </w:pPr>
  </w:style>
  <w:style w:type="paragraph" w:styleId="ListNumber3">
    <w:name w:val="List Number 3"/>
    <w:basedOn w:val="Normal"/>
    <w:uiPriority w:val="99"/>
    <w:semiHidden/>
    <w:rsid w:val="00F9113D"/>
    <w:pPr>
      <w:ind w:left="1020" w:hanging="340"/>
      <w:contextualSpacing/>
    </w:pPr>
  </w:style>
  <w:style w:type="paragraph" w:styleId="ListNumber4">
    <w:name w:val="List Number 4"/>
    <w:basedOn w:val="Normal"/>
    <w:uiPriority w:val="99"/>
    <w:semiHidden/>
    <w:rsid w:val="00F9113D"/>
    <w:pPr>
      <w:numPr>
        <w:numId w:val="4"/>
      </w:numPr>
      <w:contextualSpacing/>
    </w:pPr>
  </w:style>
  <w:style w:type="paragraph" w:styleId="ListNumber5">
    <w:name w:val="List Number 5"/>
    <w:basedOn w:val="Normal"/>
    <w:uiPriority w:val="99"/>
    <w:semiHidden/>
    <w:rsid w:val="00F9113D"/>
    <w:pPr>
      <w:numPr>
        <w:numId w:val="5"/>
      </w:numPr>
      <w:contextualSpacing/>
    </w:pPr>
  </w:style>
  <w:style w:type="paragraph" w:styleId="ListParagraph">
    <w:name w:val="List Paragraph"/>
    <w:aliases w:val="Bullet List,Bullet point,List Paragraph1,List Paragraph11,Recommendation,List Bullet 1,L"/>
    <w:basedOn w:val="Normal"/>
    <w:link w:val="ListParagraphChar"/>
    <w:uiPriority w:val="34"/>
    <w:qFormat/>
    <w:rsid w:val="00F9113D"/>
    <w:pPr>
      <w:ind w:left="720"/>
      <w:contextualSpacing/>
    </w:pPr>
  </w:style>
  <w:style w:type="paragraph" w:styleId="MacroText">
    <w:name w:val="macro"/>
    <w:link w:val="MacroTextChar"/>
    <w:uiPriority w:val="99"/>
    <w:semiHidden/>
    <w:rsid w:val="00F9113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lang w:val="en-AU"/>
    </w:rPr>
  </w:style>
  <w:style w:type="character" w:customStyle="1" w:styleId="MacroTextChar">
    <w:name w:val="Macro Text Char"/>
    <w:basedOn w:val="DefaultParagraphFont"/>
    <w:link w:val="MacroText"/>
    <w:uiPriority w:val="99"/>
    <w:semiHidden/>
    <w:rsid w:val="00F9113D"/>
    <w:rPr>
      <w:rFonts w:ascii="Consolas" w:hAnsi="Consolas"/>
      <w:sz w:val="20"/>
      <w:szCs w:val="20"/>
      <w:lang w:val="en-AU"/>
    </w:rPr>
  </w:style>
  <w:style w:type="table" w:styleId="MediumGrid1">
    <w:name w:val="Medium Grid 1"/>
    <w:basedOn w:val="TableNormal"/>
    <w:uiPriority w:val="67"/>
    <w:rsid w:val="00F9113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F9113D"/>
    <w:pPr>
      <w:spacing w:line="240" w:lineRule="auto"/>
    </w:p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insideV w:val="single" w:sz="8" w:space="0" w:color="A8DB4C" w:themeColor="accent1" w:themeTint="BF"/>
      </w:tblBorders>
    </w:tblPr>
    <w:tcPr>
      <w:shd w:val="clear" w:color="auto" w:fill="E2F3C3" w:themeFill="accent1" w:themeFillTint="3F"/>
    </w:tcPr>
    <w:tblStylePr w:type="firstRow">
      <w:rPr>
        <w:b/>
        <w:bCs/>
      </w:rPr>
    </w:tblStylePr>
    <w:tblStylePr w:type="lastRow">
      <w:rPr>
        <w:b/>
        <w:bCs/>
      </w:rPr>
      <w:tblPr/>
      <w:tcPr>
        <w:tcBorders>
          <w:top w:val="single" w:sz="18" w:space="0" w:color="A8DB4C" w:themeColor="accent1" w:themeTint="BF"/>
        </w:tcBorders>
      </w:tcPr>
    </w:tblStylePr>
    <w:tblStylePr w:type="firstCol">
      <w:rPr>
        <w:b/>
        <w:bCs/>
      </w:rPr>
    </w:tblStylePr>
    <w:tblStylePr w:type="lastCol">
      <w:rPr>
        <w:b/>
        <w:bCs/>
      </w:r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MediumGrid1-Accent2">
    <w:name w:val="Medium Grid 1 Accent 2"/>
    <w:basedOn w:val="TableNormal"/>
    <w:uiPriority w:val="67"/>
    <w:rsid w:val="00F9113D"/>
    <w:pPr>
      <w:spacing w:line="240" w:lineRule="auto"/>
    </w:p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insideV w:val="single" w:sz="8" w:space="0" w:color="07CA6B" w:themeColor="accent2" w:themeTint="BF"/>
      </w:tblBorders>
    </w:tblPr>
    <w:tcPr>
      <w:shd w:val="clear" w:color="auto" w:fill="9FFBCE" w:themeFill="accent2" w:themeFillTint="3F"/>
    </w:tcPr>
    <w:tblStylePr w:type="firstRow">
      <w:rPr>
        <w:b/>
        <w:bCs/>
      </w:rPr>
    </w:tblStylePr>
    <w:tblStylePr w:type="lastRow">
      <w:rPr>
        <w:b/>
        <w:bCs/>
      </w:rPr>
      <w:tblPr/>
      <w:tcPr>
        <w:tcBorders>
          <w:top w:val="single" w:sz="18" w:space="0" w:color="07CA6B" w:themeColor="accent2" w:themeTint="BF"/>
        </w:tcBorders>
      </w:tcPr>
    </w:tblStylePr>
    <w:tblStylePr w:type="firstCol">
      <w:rPr>
        <w:b/>
        <w:bCs/>
      </w:rPr>
    </w:tblStylePr>
    <w:tblStylePr w:type="lastCol">
      <w:rPr>
        <w:b/>
        <w:bCs/>
      </w:r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MediumGrid1-Accent3">
    <w:name w:val="Medium Grid 1 Accent 3"/>
    <w:basedOn w:val="TableNormal"/>
    <w:uiPriority w:val="67"/>
    <w:rsid w:val="00F9113D"/>
    <w:pPr>
      <w:spacing w:line="240" w:lineRule="auto"/>
    </w:p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insideV w:val="single" w:sz="8" w:space="0" w:color="89C7EB" w:themeColor="accent3" w:themeTint="BF"/>
      </w:tblBorders>
    </w:tblPr>
    <w:tcPr>
      <w:shd w:val="clear" w:color="auto" w:fill="D8ECF8" w:themeFill="accent3" w:themeFillTint="3F"/>
    </w:tcPr>
    <w:tblStylePr w:type="firstRow">
      <w:rPr>
        <w:b/>
        <w:bCs/>
      </w:rPr>
    </w:tblStylePr>
    <w:tblStylePr w:type="lastRow">
      <w:rPr>
        <w:b/>
        <w:bCs/>
      </w:rPr>
      <w:tblPr/>
      <w:tcPr>
        <w:tcBorders>
          <w:top w:val="single" w:sz="18" w:space="0" w:color="89C7EB" w:themeColor="accent3" w:themeTint="BF"/>
        </w:tcBorders>
      </w:tcPr>
    </w:tblStylePr>
    <w:tblStylePr w:type="firstCol">
      <w:rPr>
        <w:b/>
        <w:bCs/>
      </w:rPr>
    </w:tblStylePr>
    <w:tblStylePr w:type="lastCol">
      <w:rPr>
        <w:b/>
        <w:bCs/>
      </w:r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MediumGrid1-Accent4">
    <w:name w:val="Medium Grid 1 Accent 4"/>
    <w:basedOn w:val="TableNormal"/>
    <w:uiPriority w:val="67"/>
    <w:rsid w:val="00F9113D"/>
    <w:pPr>
      <w:spacing w:line="240" w:lineRule="auto"/>
    </w:p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insideV w:val="single" w:sz="8" w:space="0" w:color="0240CD" w:themeColor="accent4" w:themeTint="BF"/>
      </w:tblBorders>
    </w:tblPr>
    <w:tcPr>
      <w:shd w:val="clear" w:color="auto" w:fill="9BB9FE" w:themeFill="accent4" w:themeFillTint="3F"/>
    </w:tcPr>
    <w:tblStylePr w:type="firstRow">
      <w:rPr>
        <w:b/>
        <w:bCs/>
      </w:rPr>
    </w:tblStylePr>
    <w:tblStylePr w:type="lastRow">
      <w:rPr>
        <w:b/>
        <w:bCs/>
      </w:rPr>
      <w:tblPr/>
      <w:tcPr>
        <w:tcBorders>
          <w:top w:val="single" w:sz="18" w:space="0" w:color="0240CD" w:themeColor="accent4" w:themeTint="BF"/>
        </w:tcBorders>
      </w:tcPr>
    </w:tblStylePr>
    <w:tblStylePr w:type="firstCol">
      <w:rPr>
        <w:b/>
        <w:bCs/>
      </w:rPr>
    </w:tblStylePr>
    <w:tblStylePr w:type="lastCol">
      <w:rPr>
        <w:b/>
        <w:bCs/>
      </w:r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MediumGrid1-Accent5">
    <w:name w:val="Medium Grid 1 Accent 5"/>
    <w:basedOn w:val="TableNormal"/>
    <w:uiPriority w:val="67"/>
    <w:rsid w:val="00F9113D"/>
    <w:pPr>
      <w:spacing w:line="240" w:lineRule="auto"/>
    </w:p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insideV w:val="single" w:sz="8" w:space="0" w:color="00E2FE" w:themeColor="accent5" w:themeTint="BF"/>
      </w:tblBorders>
    </w:tblPr>
    <w:tcPr>
      <w:shd w:val="clear" w:color="auto" w:fill="AAF5FF" w:themeFill="accent5" w:themeFillTint="3F"/>
    </w:tcPr>
    <w:tblStylePr w:type="firstRow">
      <w:rPr>
        <w:b/>
        <w:bCs/>
      </w:rPr>
    </w:tblStylePr>
    <w:tblStylePr w:type="lastRow">
      <w:rPr>
        <w:b/>
        <w:bCs/>
      </w:rPr>
      <w:tblPr/>
      <w:tcPr>
        <w:tcBorders>
          <w:top w:val="single" w:sz="18" w:space="0" w:color="00E2FE" w:themeColor="accent5" w:themeTint="BF"/>
        </w:tcBorders>
      </w:tcPr>
    </w:tblStylePr>
    <w:tblStylePr w:type="firstCol">
      <w:rPr>
        <w:b/>
        <w:bCs/>
      </w:rPr>
    </w:tblStylePr>
    <w:tblStylePr w:type="lastCol">
      <w:rPr>
        <w:b/>
        <w:bCs/>
      </w:r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MediumGrid1-Accent6">
    <w:name w:val="Medium Grid 1 Accent 6"/>
    <w:basedOn w:val="TableNormal"/>
    <w:uiPriority w:val="67"/>
    <w:rsid w:val="00F9113D"/>
    <w:pPr>
      <w:spacing w:line="240" w:lineRule="auto"/>
    </w:p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insideV w:val="single" w:sz="8" w:space="0" w:color="97999C" w:themeColor="accent6" w:themeTint="BF"/>
      </w:tblBorders>
    </w:tblPr>
    <w:tcPr>
      <w:shd w:val="clear" w:color="auto" w:fill="DCDDDE" w:themeFill="accent6" w:themeFillTint="3F"/>
    </w:tcPr>
    <w:tblStylePr w:type="firstRow">
      <w:rPr>
        <w:b/>
        <w:bCs/>
      </w:rPr>
    </w:tblStylePr>
    <w:tblStylePr w:type="lastRow">
      <w:rPr>
        <w:b/>
        <w:bCs/>
      </w:rPr>
      <w:tblPr/>
      <w:tcPr>
        <w:tcBorders>
          <w:top w:val="single" w:sz="18" w:space="0" w:color="97999C" w:themeColor="accent6" w:themeTint="BF"/>
        </w:tcBorders>
      </w:tcPr>
    </w:tblStylePr>
    <w:tblStylePr w:type="firstCol">
      <w:rPr>
        <w:b/>
        <w:bCs/>
      </w:rPr>
    </w:tblStylePr>
    <w:tblStylePr w:type="lastCol">
      <w:rPr>
        <w:b/>
        <w:bCs/>
      </w:r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MediumGrid2">
    <w:name w:val="Medium Grid 2"/>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cPr>
      <w:shd w:val="clear" w:color="auto" w:fill="E2F3C3" w:themeFill="accent1" w:themeFillTint="3F"/>
    </w:tcPr>
    <w:tblStylePr w:type="firstRow">
      <w:rPr>
        <w:b/>
        <w:bCs/>
        <w:color w:val="000000" w:themeColor="text1"/>
      </w:rPr>
      <w:tblPr/>
      <w:tcPr>
        <w:shd w:val="clear" w:color="auto" w:fill="F3FAE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5CF" w:themeFill="accent1" w:themeFillTint="33"/>
      </w:tcPr>
    </w:tblStylePr>
    <w:tblStylePr w:type="band1Vert">
      <w:tblPr/>
      <w:tcPr>
        <w:shd w:val="clear" w:color="auto" w:fill="C5E788" w:themeFill="accent1" w:themeFillTint="7F"/>
      </w:tcPr>
    </w:tblStylePr>
    <w:tblStylePr w:type="band1Horz">
      <w:tblPr/>
      <w:tcPr>
        <w:tcBorders>
          <w:insideH w:val="single" w:sz="6" w:space="0" w:color="86BC25" w:themeColor="accent1"/>
          <w:insideV w:val="single" w:sz="6" w:space="0" w:color="86BC25" w:themeColor="accent1"/>
        </w:tcBorders>
        <w:shd w:val="clear" w:color="auto" w:fill="C5E78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cPr>
      <w:shd w:val="clear" w:color="auto" w:fill="9FFBCE" w:themeFill="accent2" w:themeFillTint="3F"/>
    </w:tcPr>
    <w:tblStylePr w:type="firstRow">
      <w:rPr>
        <w:b/>
        <w:bCs/>
        <w:color w:val="000000" w:themeColor="text1"/>
      </w:rPr>
      <w:tblPr/>
      <w:tcPr>
        <w:shd w:val="clear" w:color="auto" w:fill="D9FD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FCD7" w:themeFill="accent2" w:themeFillTint="33"/>
      </w:tcPr>
    </w:tblStylePr>
    <w:tblStylePr w:type="band1Vert">
      <w:tblPr/>
      <w:tcPr>
        <w:shd w:val="clear" w:color="auto" w:fill="3EF79D" w:themeFill="accent2" w:themeFillTint="7F"/>
      </w:tcPr>
    </w:tblStylePr>
    <w:tblStylePr w:type="band1Horz">
      <w:tblPr/>
      <w:tcPr>
        <w:tcBorders>
          <w:insideH w:val="single" w:sz="6" w:space="0" w:color="046A38" w:themeColor="accent2"/>
          <w:insideV w:val="single" w:sz="6" w:space="0" w:color="046A38" w:themeColor="accent2"/>
        </w:tcBorders>
        <w:shd w:val="clear" w:color="auto" w:fill="3EF7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cPr>
      <w:shd w:val="clear" w:color="auto" w:fill="D8ECF8" w:themeFill="accent3" w:themeFillTint="3F"/>
    </w:tcPr>
    <w:tblStylePr w:type="firstRow">
      <w:rPr>
        <w:b/>
        <w:bCs/>
        <w:color w:val="000000" w:themeColor="text1"/>
      </w:rPr>
      <w:tblPr/>
      <w:tcPr>
        <w:shd w:val="clear" w:color="auto" w:fill="EFF7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F9" w:themeFill="accent3" w:themeFillTint="33"/>
      </w:tcPr>
    </w:tblStylePr>
    <w:tblStylePr w:type="band1Vert">
      <w:tblPr/>
      <w:tcPr>
        <w:shd w:val="clear" w:color="auto" w:fill="B0D9F2" w:themeFill="accent3" w:themeFillTint="7F"/>
      </w:tcPr>
    </w:tblStylePr>
    <w:tblStylePr w:type="band1Horz">
      <w:tblPr/>
      <w:tcPr>
        <w:tcBorders>
          <w:insideH w:val="single" w:sz="6" w:space="0" w:color="62B5E5" w:themeColor="accent3"/>
          <w:insideV w:val="single" w:sz="6" w:space="0" w:color="62B5E5" w:themeColor="accent3"/>
        </w:tcBorders>
        <w:shd w:val="clear" w:color="auto" w:fill="B0D9F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cPr>
      <w:shd w:val="clear" w:color="auto" w:fill="9BB9FE" w:themeFill="accent4" w:themeFillTint="3F"/>
    </w:tcPr>
    <w:tblStylePr w:type="firstRow">
      <w:rPr>
        <w:b/>
        <w:bCs/>
        <w:color w:val="000000" w:themeColor="text1"/>
      </w:rPr>
      <w:tblPr/>
      <w:tcPr>
        <w:shd w:val="clear" w:color="auto" w:fill="D7E3F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EC7FE" w:themeFill="accent4" w:themeFillTint="33"/>
      </w:tcPr>
    </w:tblStylePr>
    <w:tblStylePr w:type="band1Vert">
      <w:tblPr/>
      <w:tcPr>
        <w:shd w:val="clear" w:color="auto" w:fill="3773FD" w:themeFill="accent4" w:themeFillTint="7F"/>
      </w:tcPr>
    </w:tblStylePr>
    <w:tblStylePr w:type="band1Horz">
      <w:tblPr/>
      <w:tcPr>
        <w:tcBorders>
          <w:insideH w:val="single" w:sz="6" w:space="0" w:color="012169" w:themeColor="accent4"/>
          <w:insideV w:val="single" w:sz="6" w:space="0" w:color="012169" w:themeColor="accent4"/>
        </w:tcBorders>
        <w:shd w:val="clear" w:color="auto" w:fill="3773F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cPr>
      <w:shd w:val="clear" w:color="auto" w:fill="AAF5FF" w:themeFill="accent5" w:themeFillTint="3F"/>
    </w:tcPr>
    <w:tblStylePr w:type="firstRow">
      <w:rPr>
        <w:b/>
        <w:bCs/>
        <w:color w:val="000000" w:themeColor="text1"/>
      </w:rPr>
      <w:tblPr/>
      <w:tcPr>
        <w:shd w:val="clear" w:color="auto" w:fill="DD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7FF" w:themeFill="accent5" w:themeFillTint="33"/>
      </w:tcPr>
    </w:tblStylePr>
    <w:tblStylePr w:type="band1Vert">
      <w:tblPr/>
      <w:tcPr>
        <w:shd w:val="clear" w:color="auto" w:fill="55ECFF" w:themeFill="accent5" w:themeFillTint="7F"/>
      </w:tcPr>
    </w:tblStylePr>
    <w:tblStylePr w:type="band1Horz">
      <w:tblPr/>
      <w:tcPr>
        <w:tcBorders>
          <w:insideH w:val="single" w:sz="6" w:space="0" w:color="0097A9" w:themeColor="accent5"/>
          <w:insideV w:val="single" w:sz="6" w:space="0" w:color="0097A9" w:themeColor="accent5"/>
        </w:tcBorders>
        <w:shd w:val="clear" w:color="auto" w:fill="55EC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cPr>
      <w:shd w:val="clear" w:color="auto" w:fill="DCDDDE" w:themeFill="accent6" w:themeFillTint="3F"/>
    </w:tcPr>
    <w:tblStylePr w:type="firstRow">
      <w:rPr>
        <w:b/>
        <w:bCs/>
        <w:color w:val="000000" w:themeColor="text1"/>
      </w:rPr>
      <w:tblPr/>
      <w:tcPr>
        <w:shd w:val="clear" w:color="auto" w:fill="F1F1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3E4" w:themeFill="accent6" w:themeFillTint="33"/>
      </w:tcPr>
    </w:tblStylePr>
    <w:tblStylePr w:type="band1Vert">
      <w:tblPr/>
      <w:tcPr>
        <w:shd w:val="clear" w:color="auto" w:fill="B9BBBD" w:themeFill="accent6" w:themeFillTint="7F"/>
      </w:tcPr>
    </w:tblStylePr>
    <w:tblStylePr w:type="band1Horz">
      <w:tblPr/>
      <w:tcPr>
        <w:tcBorders>
          <w:insideH w:val="single" w:sz="6" w:space="0" w:color="75787B" w:themeColor="accent6"/>
          <w:insideV w:val="single" w:sz="6" w:space="0" w:color="75787B" w:themeColor="accent6"/>
        </w:tcBorders>
        <w:shd w:val="clear" w:color="auto" w:fill="B9BBB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3C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C2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C2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E78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E788" w:themeFill="accent1" w:themeFillTint="7F"/>
      </w:tcPr>
    </w:tblStylePr>
  </w:style>
  <w:style w:type="table" w:styleId="MediumGrid3-Accent2">
    <w:name w:val="Medium Grid 3 Accent 2"/>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FB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46A3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46A3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EF7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EF79D" w:themeFill="accent2" w:themeFillTint="7F"/>
      </w:tcPr>
    </w:tblStylePr>
  </w:style>
  <w:style w:type="table" w:styleId="MediumGrid3-Accent3">
    <w:name w:val="Medium Grid 3 Accent 3"/>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CF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B5E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B5E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D9F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D9F2" w:themeFill="accent3" w:themeFillTint="7F"/>
      </w:tcPr>
    </w:tblStylePr>
  </w:style>
  <w:style w:type="table" w:styleId="MediumGrid3-Accent4">
    <w:name w:val="Medium Grid 3 Accent 4"/>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BB9F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1216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1216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773F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773FD" w:themeFill="accent4" w:themeFillTint="7F"/>
      </w:tcPr>
    </w:tblStylePr>
  </w:style>
  <w:style w:type="table" w:styleId="MediumGrid3-Accent5">
    <w:name w:val="Medium Grid 3 Accent 5"/>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F5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7A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7A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5EC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5ECFF" w:themeFill="accent5" w:themeFillTint="7F"/>
      </w:tcPr>
    </w:tblStylePr>
  </w:style>
  <w:style w:type="table" w:styleId="MediumGrid3-Accent6">
    <w:name w:val="Medium Grid 3 Accent 6"/>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DD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787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787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BBB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BBBD" w:themeFill="accent6" w:themeFillTint="7F"/>
      </w:tcPr>
    </w:tblStylePr>
  </w:style>
  <w:style w:type="table" w:styleId="MediumList1">
    <w:name w:val="Medium List 1"/>
    <w:basedOn w:val="TableNormal"/>
    <w:uiPriority w:val="65"/>
    <w:rsid w:val="00F9113D"/>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F9113D"/>
    <w:pPr>
      <w:spacing w:line="240" w:lineRule="auto"/>
    </w:pPr>
    <w:rPr>
      <w:color w:val="000000" w:themeColor="text1"/>
    </w:rPr>
    <w:tblPr>
      <w:tblStyleRowBandSize w:val="1"/>
      <w:tblStyleColBandSize w:val="1"/>
      <w:tblBorders>
        <w:top w:val="single" w:sz="8" w:space="0" w:color="86BC25" w:themeColor="accent1"/>
        <w:bottom w:val="single" w:sz="8" w:space="0" w:color="86BC25" w:themeColor="accent1"/>
      </w:tblBorders>
    </w:tblPr>
    <w:tblStylePr w:type="firstRow">
      <w:rPr>
        <w:rFonts w:asciiTheme="majorHAnsi" w:eastAsiaTheme="majorEastAsia" w:hAnsiTheme="majorHAnsi" w:cstheme="majorBidi"/>
      </w:rPr>
      <w:tblPr/>
      <w:tcPr>
        <w:tcBorders>
          <w:top w:val="nil"/>
          <w:bottom w:val="single" w:sz="8" w:space="0" w:color="86BC25" w:themeColor="accent1"/>
        </w:tcBorders>
      </w:tcPr>
    </w:tblStylePr>
    <w:tblStylePr w:type="lastRow">
      <w:rPr>
        <w:b/>
        <w:bCs/>
        <w:color w:val="44546A" w:themeColor="text2"/>
      </w:rPr>
      <w:tblPr/>
      <w:tcPr>
        <w:tcBorders>
          <w:top w:val="single" w:sz="8" w:space="0" w:color="86BC25" w:themeColor="accent1"/>
          <w:bottom w:val="single" w:sz="8" w:space="0" w:color="86BC25" w:themeColor="accent1"/>
        </w:tcBorders>
      </w:tcPr>
    </w:tblStylePr>
    <w:tblStylePr w:type="firstCol">
      <w:rPr>
        <w:b/>
        <w:bCs/>
      </w:rPr>
    </w:tblStylePr>
    <w:tblStylePr w:type="lastCol">
      <w:rPr>
        <w:b/>
        <w:bCs/>
      </w:rPr>
      <w:tblPr/>
      <w:tcPr>
        <w:tcBorders>
          <w:top w:val="single" w:sz="8" w:space="0" w:color="86BC25" w:themeColor="accent1"/>
          <w:bottom w:val="single" w:sz="8" w:space="0" w:color="86BC25" w:themeColor="accent1"/>
        </w:tcBorders>
      </w:tcPr>
    </w:tblStylePr>
    <w:tblStylePr w:type="band1Vert">
      <w:tblPr/>
      <w:tcPr>
        <w:shd w:val="clear" w:color="auto" w:fill="E2F3C3" w:themeFill="accent1" w:themeFillTint="3F"/>
      </w:tcPr>
    </w:tblStylePr>
    <w:tblStylePr w:type="band1Horz">
      <w:tblPr/>
      <w:tcPr>
        <w:shd w:val="clear" w:color="auto" w:fill="E2F3C3" w:themeFill="accent1" w:themeFillTint="3F"/>
      </w:tcPr>
    </w:tblStylePr>
  </w:style>
  <w:style w:type="table" w:styleId="MediumList1-Accent2">
    <w:name w:val="Medium List 1 Accent 2"/>
    <w:basedOn w:val="TableNormal"/>
    <w:uiPriority w:val="65"/>
    <w:rsid w:val="00F9113D"/>
    <w:pPr>
      <w:spacing w:line="240" w:lineRule="auto"/>
    </w:pPr>
    <w:rPr>
      <w:color w:val="000000" w:themeColor="text1"/>
    </w:rPr>
    <w:tblPr>
      <w:tblStyleRowBandSize w:val="1"/>
      <w:tblStyleColBandSize w:val="1"/>
      <w:tblBorders>
        <w:top w:val="single" w:sz="8" w:space="0" w:color="046A38" w:themeColor="accent2"/>
        <w:bottom w:val="single" w:sz="8" w:space="0" w:color="046A38" w:themeColor="accent2"/>
      </w:tblBorders>
    </w:tblPr>
    <w:tblStylePr w:type="firstRow">
      <w:rPr>
        <w:rFonts w:asciiTheme="majorHAnsi" w:eastAsiaTheme="majorEastAsia" w:hAnsiTheme="majorHAnsi" w:cstheme="majorBidi"/>
      </w:rPr>
      <w:tblPr/>
      <w:tcPr>
        <w:tcBorders>
          <w:top w:val="nil"/>
          <w:bottom w:val="single" w:sz="8" w:space="0" w:color="046A38" w:themeColor="accent2"/>
        </w:tcBorders>
      </w:tcPr>
    </w:tblStylePr>
    <w:tblStylePr w:type="lastRow">
      <w:rPr>
        <w:b/>
        <w:bCs/>
        <w:color w:val="44546A" w:themeColor="text2"/>
      </w:rPr>
      <w:tblPr/>
      <w:tcPr>
        <w:tcBorders>
          <w:top w:val="single" w:sz="8" w:space="0" w:color="046A38" w:themeColor="accent2"/>
          <w:bottom w:val="single" w:sz="8" w:space="0" w:color="046A38" w:themeColor="accent2"/>
        </w:tcBorders>
      </w:tcPr>
    </w:tblStylePr>
    <w:tblStylePr w:type="firstCol">
      <w:rPr>
        <w:b/>
        <w:bCs/>
      </w:rPr>
    </w:tblStylePr>
    <w:tblStylePr w:type="lastCol">
      <w:rPr>
        <w:b/>
        <w:bCs/>
      </w:rPr>
      <w:tblPr/>
      <w:tcPr>
        <w:tcBorders>
          <w:top w:val="single" w:sz="8" w:space="0" w:color="046A38" w:themeColor="accent2"/>
          <w:bottom w:val="single" w:sz="8" w:space="0" w:color="046A38" w:themeColor="accent2"/>
        </w:tcBorders>
      </w:tcPr>
    </w:tblStylePr>
    <w:tblStylePr w:type="band1Vert">
      <w:tblPr/>
      <w:tcPr>
        <w:shd w:val="clear" w:color="auto" w:fill="9FFBCE" w:themeFill="accent2" w:themeFillTint="3F"/>
      </w:tcPr>
    </w:tblStylePr>
    <w:tblStylePr w:type="band1Horz">
      <w:tblPr/>
      <w:tcPr>
        <w:shd w:val="clear" w:color="auto" w:fill="9FFBCE" w:themeFill="accent2" w:themeFillTint="3F"/>
      </w:tcPr>
    </w:tblStylePr>
  </w:style>
  <w:style w:type="table" w:styleId="MediumList1-Accent3">
    <w:name w:val="Medium List 1 Accent 3"/>
    <w:basedOn w:val="TableNormal"/>
    <w:uiPriority w:val="65"/>
    <w:rsid w:val="00F9113D"/>
    <w:pPr>
      <w:spacing w:line="240" w:lineRule="auto"/>
    </w:pPr>
    <w:rPr>
      <w:color w:val="000000" w:themeColor="text1"/>
    </w:rPr>
    <w:tblPr>
      <w:tblStyleRowBandSize w:val="1"/>
      <w:tblStyleColBandSize w:val="1"/>
      <w:tblBorders>
        <w:top w:val="single" w:sz="8" w:space="0" w:color="62B5E5" w:themeColor="accent3"/>
        <w:bottom w:val="single" w:sz="8" w:space="0" w:color="62B5E5" w:themeColor="accent3"/>
      </w:tblBorders>
    </w:tblPr>
    <w:tblStylePr w:type="firstRow">
      <w:rPr>
        <w:rFonts w:asciiTheme="majorHAnsi" w:eastAsiaTheme="majorEastAsia" w:hAnsiTheme="majorHAnsi" w:cstheme="majorBidi"/>
      </w:rPr>
      <w:tblPr/>
      <w:tcPr>
        <w:tcBorders>
          <w:top w:val="nil"/>
          <w:bottom w:val="single" w:sz="8" w:space="0" w:color="62B5E5" w:themeColor="accent3"/>
        </w:tcBorders>
      </w:tcPr>
    </w:tblStylePr>
    <w:tblStylePr w:type="lastRow">
      <w:rPr>
        <w:b/>
        <w:bCs/>
        <w:color w:val="44546A" w:themeColor="text2"/>
      </w:rPr>
      <w:tblPr/>
      <w:tcPr>
        <w:tcBorders>
          <w:top w:val="single" w:sz="8" w:space="0" w:color="62B5E5" w:themeColor="accent3"/>
          <w:bottom w:val="single" w:sz="8" w:space="0" w:color="62B5E5" w:themeColor="accent3"/>
        </w:tcBorders>
      </w:tcPr>
    </w:tblStylePr>
    <w:tblStylePr w:type="firstCol">
      <w:rPr>
        <w:b/>
        <w:bCs/>
      </w:rPr>
    </w:tblStylePr>
    <w:tblStylePr w:type="lastCol">
      <w:rPr>
        <w:b/>
        <w:bCs/>
      </w:rPr>
      <w:tblPr/>
      <w:tcPr>
        <w:tcBorders>
          <w:top w:val="single" w:sz="8" w:space="0" w:color="62B5E5" w:themeColor="accent3"/>
          <w:bottom w:val="single" w:sz="8" w:space="0" w:color="62B5E5" w:themeColor="accent3"/>
        </w:tcBorders>
      </w:tcPr>
    </w:tblStylePr>
    <w:tblStylePr w:type="band1Vert">
      <w:tblPr/>
      <w:tcPr>
        <w:shd w:val="clear" w:color="auto" w:fill="D8ECF8" w:themeFill="accent3" w:themeFillTint="3F"/>
      </w:tcPr>
    </w:tblStylePr>
    <w:tblStylePr w:type="band1Horz">
      <w:tblPr/>
      <w:tcPr>
        <w:shd w:val="clear" w:color="auto" w:fill="D8ECF8" w:themeFill="accent3" w:themeFillTint="3F"/>
      </w:tcPr>
    </w:tblStylePr>
  </w:style>
  <w:style w:type="table" w:styleId="MediumList1-Accent4">
    <w:name w:val="Medium List 1 Accent 4"/>
    <w:basedOn w:val="TableNormal"/>
    <w:uiPriority w:val="65"/>
    <w:rsid w:val="00F9113D"/>
    <w:pPr>
      <w:spacing w:line="240" w:lineRule="auto"/>
    </w:pPr>
    <w:rPr>
      <w:color w:val="000000" w:themeColor="text1"/>
    </w:rPr>
    <w:tblPr>
      <w:tblStyleRowBandSize w:val="1"/>
      <w:tblStyleColBandSize w:val="1"/>
      <w:tblBorders>
        <w:top w:val="single" w:sz="8" w:space="0" w:color="012169" w:themeColor="accent4"/>
        <w:bottom w:val="single" w:sz="8" w:space="0" w:color="012169" w:themeColor="accent4"/>
      </w:tblBorders>
    </w:tblPr>
    <w:tblStylePr w:type="firstRow">
      <w:rPr>
        <w:rFonts w:asciiTheme="majorHAnsi" w:eastAsiaTheme="majorEastAsia" w:hAnsiTheme="majorHAnsi" w:cstheme="majorBidi"/>
      </w:rPr>
      <w:tblPr/>
      <w:tcPr>
        <w:tcBorders>
          <w:top w:val="nil"/>
          <w:bottom w:val="single" w:sz="8" w:space="0" w:color="012169" w:themeColor="accent4"/>
        </w:tcBorders>
      </w:tcPr>
    </w:tblStylePr>
    <w:tblStylePr w:type="lastRow">
      <w:rPr>
        <w:b/>
        <w:bCs/>
        <w:color w:val="44546A" w:themeColor="text2"/>
      </w:rPr>
      <w:tblPr/>
      <w:tcPr>
        <w:tcBorders>
          <w:top w:val="single" w:sz="8" w:space="0" w:color="012169" w:themeColor="accent4"/>
          <w:bottom w:val="single" w:sz="8" w:space="0" w:color="012169" w:themeColor="accent4"/>
        </w:tcBorders>
      </w:tcPr>
    </w:tblStylePr>
    <w:tblStylePr w:type="firstCol">
      <w:rPr>
        <w:b/>
        <w:bCs/>
      </w:rPr>
    </w:tblStylePr>
    <w:tblStylePr w:type="lastCol">
      <w:rPr>
        <w:b/>
        <w:bCs/>
      </w:rPr>
      <w:tblPr/>
      <w:tcPr>
        <w:tcBorders>
          <w:top w:val="single" w:sz="8" w:space="0" w:color="012169" w:themeColor="accent4"/>
          <w:bottom w:val="single" w:sz="8" w:space="0" w:color="012169" w:themeColor="accent4"/>
        </w:tcBorders>
      </w:tcPr>
    </w:tblStylePr>
    <w:tblStylePr w:type="band1Vert">
      <w:tblPr/>
      <w:tcPr>
        <w:shd w:val="clear" w:color="auto" w:fill="9BB9FE" w:themeFill="accent4" w:themeFillTint="3F"/>
      </w:tcPr>
    </w:tblStylePr>
    <w:tblStylePr w:type="band1Horz">
      <w:tblPr/>
      <w:tcPr>
        <w:shd w:val="clear" w:color="auto" w:fill="9BB9FE" w:themeFill="accent4" w:themeFillTint="3F"/>
      </w:tcPr>
    </w:tblStylePr>
  </w:style>
  <w:style w:type="table" w:styleId="MediumList1-Accent5">
    <w:name w:val="Medium List 1 Accent 5"/>
    <w:basedOn w:val="TableNormal"/>
    <w:uiPriority w:val="65"/>
    <w:rsid w:val="00F9113D"/>
    <w:pPr>
      <w:spacing w:line="240" w:lineRule="auto"/>
    </w:pPr>
    <w:rPr>
      <w:color w:val="000000" w:themeColor="text1"/>
    </w:rPr>
    <w:tblPr>
      <w:tblStyleRowBandSize w:val="1"/>
      <w:tblStyleColBandSize w:val="1"/>
      <w:tblBorders>
        <w:top w:val="single" w:sz="8" w:space="0" w:color="0097A9" w:themeColor="accent5"/>
        <w:bottom w:val="single" w:sz="8" w:space="0" w:color="0097A9" w:themeColor="accent5"/>
      </w:tblBorders>
    </w:tblPr>
    <w:tblStylePr w:type="firstRow">
      <w:rPr>
        <w:rFonts w:asciiTheme="majorHAnsi" w:eastAsiaTheme="majorEastAsia" w:hAnsiTheme="majorHAnsi" w:cstheme="majorBidi"/>
      </w:rPr>
      <w:tblPr/>
      <w:tcPr>
        <w:tcBorders>
          <w:top w:val="nil"/>
          <w:bottom w:val="single" w:sz="8" w:space="0" w:color="0097A9" w:themeColor="accent5"/>
        </w:tcBorders>
      </w:tcPr>
    </w:tblStylePr>
    <w:tblStylePr w:type="lastRow">
      <w:rPr>
        <w:b/>
        <w:bCs/>
        <w:color w:val="44546A" w:themeColor="text2"/>
      </w:rPr>
      <w:tblPr/>
      <w:tcPr>
        <w:tcBorders>
          <w:top w:val="single" w:sz="8" w:space="0" w:color="0097A9" w:themeColor="accent5"/>
          <w:bottom w:val="single" w:sz="8" w:space="0" w:color="0097A9" w:themeColor="accent5"/>
        </w:tcBorders>
      </w:tcPr>
    </w:tblStylePr>
    <w:tblStylePr w:type="firstCol">
      <w:rPr>
        <w:b/>
        <w:bCs/>
      </w:rPr>
    </w:tblStylePr>
    <w:tblStylePr w:type="lastCol">
      <w:rPr>
        <w:b/>
        <w:bCs/>
      </w:rPr>
      <w:tblPr/>
      <w:tcPr>
        <w:tcBorders>
          <w:top w:val="single" w:sz="8" w:space="0" w:color="0097A9" w:themeColor="accent5"/>
          <w:bottom w:val="single" w:sz="8" w:space="0" w:color="0097A9" w:themeColor="accent5"/>
        </w:tcBorders>
      </w:tcPr>
    </w:tblStylePr>
    <w:tblStylePr w:type="band1Vert">
      <w:tblPr/>
      <w:tcPr>
        <w:shd w:val="clear" w:color="auto" w:fill="AAF5FF" w:themeFill="accent5" w:themeFillTint="3F"/>
      </w:tcPr>
    </w:tblStylePr>
    <w:tblStylePr w:type="band1Horz">
      <w:tblPr/>
      <w:tcPr>
        <w:shd w:val="clear" w:color="auto" w:fill="AAF5FF" w:themeFill="accent5" w:themeFillTint="3F"/>
      </w:tcPr>
    </w:tblStylePr>
  </w:style>
  <w:style w:type="table" w:styleId="MediumList1-Accent6">
    <w:name w:val="Medium List 1 Accent 6"/>
    <w:basedOn w:val="TableNormal"/>
    <w:uiPriority w:val="65"/>
    <w:rsid w:val="00F9113D"/>
    <w:pPr>
      <w:spacing w:line="240" w:lineRule="auto"/>
    </w:pPr>
    <w:rPr>
      <w:color w:val="000000" w:themeColor="text1"/>
    </w:rPr>
    <w:tblPr>
      <w:tblStyleRowBandSize w:val="1"/>
      <w:tblStyleColBandSize w:val="1"/>
      <w:tblBorders>
        <w:top w:val="single" w:sz="8" w:space="0" w:color="75787B" w:themeColor="accent6"/>
        <w:bottom w:val="single" w:sz="8" w:space="0" w:color="75787B" w:themeColor="accent6"/>
      </w:tblBorders>
    </w:tblPr>
    <w:tblStylePr w:type="firstRow">
      <w:rPr>
        <w:rFonts w:asciiTheme="majorHAnsi" w:eastAsiaTheme="majorEastAsia" w:hAnsiTheme="majorHAnsi" w:cstheme="majorBidi"/>
      </w:rPr>
      <w:tblPr/>
      <w:tcPr>
        <w:tcBorders>
          <w:top w:val="nil"/>
          <w:bottom w:val="single" w:sz="8" w:space="0" w:color="75787B" w:themeColor="accent6"/>
        </w:tcBorders>
      </w:tcPr>
    </w:tblStylePr>
    <w:tblStylePr w:type="lastRow">
      <w:rPr>
        <w:b/>
        <w:bCs/>
        <w:color w:val="44546A" w:themeColor="text2"/>
      </w:rPr>
      <w:tblPr/>
      <w:tcPr>
        <w:tcBorders>
          <w:top w:val="single" w:sz="8" w:space="0" w:color="75787B" w:themeColor="accent6"/>
          <w:bottom w:val="single" w:sz="8" w:space="0" w:color="75787B" w:themeColor="accent6"/>
        </w:tcBorders>
      </w:tcPr>
    </w:tblStylePr>
    <w:tblStylePr w:type="firstCol">
      <w:rPr>
        <w:b/>
        <w:bCs/>
      </w:rPr>
    </w:tblStylePr>
    <w:tblStylePr w:type="lastCol">
      <w:rPr>
        <w:b/>
        <w:bCs/>
      </w:rPr>
      <w:tblPr/>
      <w:tcPr>
        <w:tcBorders>
          <w:top w:val="single" w:sz="8" w:space="0" w:color="75787B" w:themeColor="accent6"/>
          <w:bottom w:val="single" w:sz="8" w:space="0" w:color="75787B" w:themeColor="accent6"/>
        </w:tcBorders>
      </w:tcPr>
    </w:tblStylePr>
    <w:tblStylePr w:type="band1Vert">
      <w:tblPr/>
      <w:tcPr>
        <w:shd w:val="clear" w:color="auto" w:fill="DCDDDE" w:themeFill="accent6" w:themeFillTint="3F"/>
      </w:tcPr>
    </w:tblStylePr>
    <w:tblStylePr w:type="band1Horz">
      <w:tblPr/>
      <w:tcPr>
        <w:shd w:val="clear" w:color="auto" w:fill="DCDDDE" w:themeFill="accent6" w:themeFillTint="3F"/>
      </w:tcPr>
    </w:tblStylePr>
  </w:style>
  <w:style w:type="table" w:styleId="MediumList2">
    <w:name w:val="Medium List 2"/>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rPr>
        <w:sz w:val="24"/>
        <w:szCs w:val="24"/>
      </w:rPr>
      <w:tblPr/>
      <w:tcPr>
        <w:tcBorders>
          <w:top w:val="nil"/>
          <w:left w:val="nil"/>
          <w:bottom w:val="single" w:sz="24" w:space="0" w:color="86BC25" w:themeColor="accent1"/>
          <w:right w:val="nil"/>
          <w:insideH w:val="nil"/>
          <w:insideV w:val="nil"/>
        </w:tcBorders>
        <w:shd w:val="clear" w:color="auto" w:fill="FFFFFF" w:themeFill="background1"/>
      </w:tcPr>
    </w:tblStylePr>
    <w:tblStylePr w:type="lastRow">
      <w:tblPr/>
      <w:tcPr>
        <w:tcBorders>
          <w:top w:val="single" w:sz="8" w:space="0" w:color="86BC2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C25" w:themeColor="accent1"/>
          <w:insideH w:val="nil"/>
          <w:insideV w:val="nil"/>
        </w:tcBorders>
        <w:shd w:val="clear" w:color="auto" w:fill="FFFFFF" w:themeFill="background1"/>
      </w:tcPr>
    </w:tblStylePr>
    <w:tblStylePr w:type="lastCol">
      <w:tblPr/>
      <w:tcPr>
        <w:tcBorders>
          <w:top w:val="nil"/>
          <w:left w:val="single" w:sz="8" w:space="0" w:color="86BC2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top w:val="nil"/>
          <w:bottom w:val="nil"/>
          <w:insideH w:val="nil"/>
          <w:insideV w:val="nil"/>
        </w:tcBorders>
        <w:shd w:val="clear" w:color="auto" w:fill="E2F3C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rPr>
        <w:sz w:val="24"/>
        <w:szCs w:val="24"/>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tblPr/>
      <w:tcPr>
        <w:tcBorders>
          <w:top w:val="single" w:sz="8" w:space="0" w:color="046A3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46A38" w:themeColor="accent2"/>
          <w:insideH w:val="nil"/>
          <w:insideV w:val="nil"/>
        </w:tcBorders>
        <w:shd w:val="clear" w:color="auto" w:fill="FFFFFF" w:themeFill="background1"/>
      </w:tcPr>
    </w:tblStylePr>
    <w:tblStylePr w:type="lastCol">
      <w:tblPr/>
      <w:tcPr>
        <w:tcBorders>
          <w:top w:val="nil"/>
          <w:left w:val="single" w:sz="8" w:space="0" w:color="046A3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top w:val="nil"/>
          <w:bottom w:val="nil"/>
          <w:insideH w:val="nil"/>
          <w:insideV w:val="nil"/>
        </w:tcBorders>
        <w:shd w:val="clear" w:color="auto" w:fill="9FFB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rPr>
        <w:sz w:val="24"/>
        <w:szCs w:val="24"/>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tblPr/>
      <w:tcPr>
        <w:tcBorders>
          <w:top w:val="single" w:sz="8" w:space="0" w:color="62B5E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B5E5" w:themeColor="accent3"/>
          <w:insideH w:val="nil"/>
          <w:insideV w:val="nil"/>
        </w:tcBorders>
        <w:shd w:val="clear" w:color="auto" w:fill="FFFFFF" w:themeFill="background1"/>
      </w:tcPr>
    </w:tblStylePr>
    <w:tblStylePr w:type="lastCol">
      <w:tblPr/>
      <w:tcPr>
        <w:tcBorders>
          <w:top w:val="nil"/>
          <w:left w:val="single" w:sz="8" w:space="0" w:color="62B5E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top w:val="nil"/>
          <w:bottom w:val="nil"/>
          <w:insideH w:val="nil"/>
          <w:insideV w:val="nil"/>
        </w:tcBorders>
        <w:shd w:val="clear" w:color="auto" w:fill="D8ECF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rPr>
        <w:sz w:val="24"/>
        <w:szCs w:val="24"/>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tblPr/>
      <w:tcPr>
        <w:tcBorders>
          <w:top w:val="single" w:sz="8" w:space="0" w:color="01216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12169" w:themeColor="accent4"/>
          <w:insideH w:val="nil"/>
          <w:insideV w:val="nil"/>
        </w:tcBorders>
        <w:shd w:val="clear" w:color="auto" w:fill="FFFFFF" w:themeFill="background1"/>
      </w:tcPr>
    </w:tblStylePr>
    <w:tblStylePr w:type="lastCol">
      <w:tblPr/>
      <w:tcPr>
        <w:tcBorders>
          <w:top w:val="nil"/>
          <w:left w:val="single" w:sz="8" w:space="0" w:color="01216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top w:val="nil"/>
          <w:bottom w:val="nil"/>
          <w:insideH w:val="nil"/>
          <w:insideV w:val="nil"/>
        </w:tcBorders>
        <w:shd w:val="clear" w:color="auto" w:fill="9BB9F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rPr>
        <w:sz w:val="24"/>
        <w:szCs w:val="24"/>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tblPr/>
      <w:tcPr>
        <w:tcBorders>
          <w:top w:val="single" w:sz="8" w:space="0" w:color="0097A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7A9" w:themeColor="accent5"/>
          <w:insideH w:val="nil"/>
          <w:insideV w:val="nil"/>
        </w:tcBorders>
        <w:shd w:val="clear" w:color="auto" w:fill="FFFFFF" w:themeFill="background1"/>
      </w:tcPr>
    </w:tblStylePr>
    <w:tblStylePr w:type="lastCol">
      <w:tblPr/>
      <w:tcPr>
        <w:tcBorders>
          <w:top w:val="nil"/>
          <w:left w:val="single" w:sz="8" w:space="0" w:color="0097A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top w:val="nil"/>
          <w:bottom w:val="nil"/>
          <w:insideH w:val="nil"/>
          <w:insideV w:val="nil"/>
        </w:tcBorders>
        <w:shd w:val="clear" w:color="auto" w:fill="AAF5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rPr>
        <w:sz w:val="24"/>
        <w:szCs w:val="24"/>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tblPr/>
      <w:tcPr>
        <w:tcBorders>
          <w:top w:val="single" w:sz="8" w:space="0" w:color="75787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787B" w:themeColor="accent6"/>
          <w:insideH w:val="nil"/>
          <w:insideV w:val="nil"/>
        </w:tcBorders>
        <w:shd w:val="clear" w:color="auto" w:fill="FFFFFF" w:themeFill="background1"/>
      </w:tcPr>
    </w:tblStylePr>
    <w:tblStylePr w:type="lastCol">
      <w:tblPr/>
      <w:tcPr>
        <w:tcBorders>
          <w:top w:val="nil"/>
          <w:left w:val="single" w:sz="8" w:space="0" w:color="75787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top w:val="nil"/>
          <w:bottom w:val="nil"/>
          <w:insideH w:val="nil"/>
          <w:insideV w:val="nil"/>
        </w:tcBorders>
        <w:shd w:val="clear" w:color="auto" w:fill="DCDDD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F9113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F9113D"/>
    <w:pPr>
      <w:spacing w:line="240" w:lineRule="auto"/>
    </w:p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tblBorders>
    </w:tblPr>
    <w:tblStylePr w:type="firstRow">
      <w:pPr>
        <w:spacing w:before="0" w:after="0" w:line="240" w:lineRule="auto"/>
      </w:pPr>
      <w:rPr>
        <w:b/>
        <w:bCs/>
        <w:color w:val="FFFFFF" w:themeColor="background1"/>
      </w:rPr>
      <w:tblPr/>
      <w:tcPr>
        <w:tc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shd w:val="clear" w:color="auto" w:fill="86BC25" w:themeFill="accent1"/>
      </w:tcPr>
    </w:tblStylePr>
    <w:tblStylePr w:type="lastRow">
      <w:pPr>
        <w:spacing w:before="0" w:after="0" w:line="240" w:lineRule="auto"/>
      </w:pPr>
      <w:rPr>
        <w:b/>
        <w:bCs/>
      </w:rPr>
      <w:tblPr/>
      <w:tcPr>
        <w:tcBorders>
          <w:top w:val="double" w:sz="6"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2F3C3" w:themeFill="accent1" w:themeFillTint="3F"/>
      </w:tcPr>
    </w:tblStylePr>
    <w:tblStylePr w:type="band1Horz">
      <w:tblPr/>
      <w:tcPr>
        <w:tcBorders>
          <w:insideH w:val="nil"/>
          <w:insideV w:val="nil"/>
        </w:tcBorders>
        <w:shd w:val="clear" w:color="auto" w:fill="E2F3C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F9113D"/>
    <w:pPr>
      <w:spacing w:line="240" w:lineRule="auto"/>
    </w:p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tblBorders>
    </w:tblPr>
    <w:tblStylePr w:type="firstRow">
      <w:pPr>
        <w:spacing w:before="0" w:after="0" w:line="240" w:lineRule="auto"/>
      </w:pPr>
      <w:rPr>
        <w:b/>
        <w:bCs/>
        <w:color w:val="FFFFFF" w:themeColor="background1"/>
      </w:rPr>
      <w:tblPr/>
      <w:tcPr>
        <w:tc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shd w:val="clear" w:color="auto" w:fill="046A38" w:themeFill="accent2"/>
      </w:tcPr>
    </w:tblStylePr>
    <w:tblStylePr w:type="lastRow">
      <w:pPr>
        <w:spacing w:before="0" w:after="0" w:line="240" w:lineRule="auto"/>
      </w:pPr>
      <w:rPr>
        <w:b/>
        <w:bCs/>
      </w:rPr>
      <w:tblPr/>
      <w:tcPr>
        <w:tcBorders>
          <w:top w:val="double" w:sz="6"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FBCE" w:themeFill="accent2" w:themeFillTint="3F"/>
      </w:tcPr>
    </w:tblStylePr>
    <w:tblStylePr w:type="band1Horz">
      <w:tblPr/>
      <w:tcPr>
        <w:tcBorders>
          <w:insideH w:val="nil"/>
          <w:insideV w:val="nil"/>
        </w:tcBorders>
        <w:shd w:val="clear" w:color="auto" w:fill="9FFB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F9113D"/>
    <w:pPr>
      <w:spacing w:line="240" w:lineRule="auto"/>
    </w:p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tblBorders>
    </w:tblPr>
    <w:tblStylePr w:type="firstRow">
      <w:pPr>
        <w:spacing w:before="0" w:after="0" w:line="240" w:lineRule="auto"/>
      </w:pPr>
      <w:rPr>
        <w:b/>
        <w:bCs/>
        <w:color w:val="FFFFFF" w:themeColor="background1"/>
      </w:rPr>
      <w:tblPr/>
      <w:tcPr>
        <w:tc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shd w:val="clear" w:color="auto" w:fill="62B5E5" w:themeFill="accent3"/>
      </w:tcPr>
    </w:tblStylePr>
    <w:tblStylePr w:type="lastRow">
      <w:pPr>
        <w:spacing w:before="0" w:after="0" w:line="240" w:lineRule="auto"/>
      </w:pPr>
      <w:rPr>
        <w:b/>
        <w:bCs/>
      </w:rPr>
      <w:tblPr/>
      <w:tcPr>
        <w:tcBorders>
          <w:top w:val="double" w:sz="6"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ECF8" w:themeFill="accent3" w:themeFillTint="3F"/>
      </w:tcPr>
    </w:tblStylePr>
    <w:tblStylePr w:type="band1Horz">
      <w:tblPr/>
      <w:tcPr>
        <w:tcBorders>
          <w:insideH w:val="nil"/>
          <w:insideV w:val="nil"/>
        </w:tcBorders>
        <w:shd w:val="clear" w:color="auto" w:fill="D8ECF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F9113D"/>
    <w:pPr>
      <w:spacing w:line="240" w:lineRule="auto"/>
    </w:p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tblBorders>
    </w:tblPr>
    <w:tblStylePr w:type="firstRow">
      <w:pPr>
        <w:spacing w:before="0" w:after="0" w:line="240" w:lineRule="auto"/>
      </w:pPr>
      <w:rPr>
        <w:b/>
        <w:bCs/>
        <w:color w:val="FFFFFF" w:themeColor="background1"/>
      </w:rPr>
      <w:tblPr/>
      <w:tcPr>
        <w:tc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shd w:val="clear" w:color="auto" w:fill="012169" w:themeFill="accent4"/>
      </w:tcPr>
    </w:tblStylePr>
    <w:tblStylePr w:type="lastRow">
      <w:pPr>
        <w:spacing w:before="0" w:after="0" w:line="240" w:lineRule="auto"/>
      </w:pPr>
      <w:rPr>
        <w:b/>
        <w:bCs/>
      </w:rPr>
      <w:tblPr/>
      <w:tcPr>
        <w:tcBorders>
          <w:top w:val="double" w:sz="6"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tcPr>
    </w:tblStylePr>
    <w:tblStylePr w:type="firstCol">
      <w:rPr>
        <w:b/>
        <w:bCs/>
      </w:rPr>
    </w:tblStylePr>
    <w:tblStylePr w:type="lastCol">
      <w:rPr>
        <w:b/>
        <w:bCs/>
      </w:rPr>
    </w:tblStylePr>
    <w:tblStylePr w:type="band1Vert">
      <w:tblPr/>
      <w:tcPr>
        <w:shd w:val="clear" w:color="auto" w:fill="9BB9FE" w:themeFill="accent4" w:themeFillTint="3F"/>
      </w:tcPr>
    </w:tblStylePr>
    <w:tblStylePr w:type="band1Horz">
      <w:tblPr/>
      <w:tcPr>
        <w:tcBorders>
          <w:insideH w:val="nil"/>
          <w:insideV w:val="nil"/>
        </w:tcBorders>
        <w:shd w:val="clear" w:color="auto" w:fill="9BB9F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F9113D"/>
    <w:pPr>
      <w:spacing w:line="240" w:lineRule="auto"/>
    </w:p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tblBorders>
    </w:tblPr>
    <w:tblStylePr w:type="firstRow">
      <w:pPr>
        <w:spacing w:before="0" w:after="0" w:line="240" w:lineRule="auto"/>
      </w:pPr>
      <w:rPr>
        <w:b/>
        <w:bCs/>
        <w:color w:val="FFFFFF" w:themeColor="background1"/>
      </w:rPr>
      <w:tblPr/>
      <w:tcPr>
        <w:tc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shd w:val="clear" w:color="auto" w:fill="0097A9" w:themeFill="accent5"/>
      </w:tcPr>
    </w:tblStylePr>
    <w:tblStylePr w:type="lastRow">
      <w:pPr>
        <w:spacing w:before="0" w:after="0" w:line="240" w:lineRule="auto"/>
      </w:pPr>
      <w:rPr>
        <w:b/>
        <w:bCs/>
      </w:rPr>
      <w:tblPr/>
      <w:tcPr>
        <w:tcBorders>
          <w:top w:val="double" w:sz="6"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tcPr>
    </w:tblStylePr>
    <w:tblStylePr w:type="firstCol">
      <w:rPr>
        <w:b/>
        <w:bCs/>
      </w:rPr>
    </w:tblStylePr>
    <w:tblStylePr w:type="lastCol">
      <w:rPr>
        <w:b/>
        <w:bCs/>
      </w:rPr>
    </w:tblStylePr>
    <w:tblStylePr w:type="band1Vert">
      <w:tblPr/>
      <w:tcPr>
        <w:shd w:val="clear" w:color="auto" w:fill="AAF5FF" w:themeFill="accent5" w:themeFillTint="3F"/>
      </w:tcPr>
    </w:tblStylePr>
    <w:tblStylePr w:type="band1Horz">
      <w:tblPr/>
      <w:tcPr>
        <w:tcBorders>
          <w:insideH w:val="nil"/>
          <w:insideV w:val="nil"/>
        </w:tcBorders>
        <w:shd w:val="clear" w:color="auto" w:fill="AAF5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9113D"/>
    <w:pPr>
      <w:spacing w:line="240" w:lineRule="auto"/>
    </w:p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tblBorders>
    </w:tblPr>
    <w:tblStylePr w:type="firstRow">
      <w:pPr>
        <w:spacing w:before="0" w:after="0" w:line="240" w:lineRule="auto"/>
      </w:pPr>
      <w:rPr>
        <w:b/>
        <w:bCs/>
        <w:color w:val="FFFFFF" w:themeColor="background1"/>
      </w:rPr>
      <w:tblPr/>
      <w:tcPr>
        <w:tc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shd w:val="clear" w:color="auto" w:fill="75787B" w:themeFill="accent6"/>
      </w:tcPr>
    </w:tblStylePr>
    <w:tblStylePr w:type="lastRow">
      <w:pPr>
        <w:spacing w:before="0" w:after="0" w:line="240" w:lineRule="auto"/>
      </w:pPr>
      <w:rPr>
        <w:b/>
        <w:bCs/>
      </w:rPr>
      <w:tblPr/>
      <w:tcPr>
        <w:tcBorders>
          <w:top w:val="double" w:sz="6"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CDDDE" w:themeFill="accent6" w:themeFillTint="3F"/>
      </w:tcPr>
    </w:tblStylePr>
    <w:tblStylePr w:type="band1Horz">
      <w:tblPr/>
      <w:tcPr>
        <w:tcBorders>
          <w:insideH w:val="nil"/>
          <w:insideV w:val="nil"/>
        </w:tcBorders>
        <w:shd w:val="clear" w:color="auto" w:fill="DCDDD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C2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C25" w:themeFill="accent1"/>
      </w:tcPr>
    </w:tblStylePr>
    <w:tblStylePr w:type="lastCol">
      <w:rPr>
        <w:b/>
        <w:bCs/>
        <w:color w:val="FFFFFF" w:themeColor="background1"/>
      </w:rPr>
      <w:tblPr/>
      <w:tcPr>
        <w:tcBorders>
          <w:left w:val="nil"/>
          <w:right w:val="nil"/>
          <w:insideH w:val="nil"/>
          <w:insideV w:val="nil"/>
        </w:tcBorders>
        <w:shd w:val="clear" w:color="auto" w:fill="86BC2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46A3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46A38" w:themeFill="accent2"/>
      </w:tcPr>
    </w:tblStylePr>
    <w:tblStylePr w:type="lastCol">
      <w:rPr>
        <w:b/>
        <w:bCs/>
        <w:color w:val="FFFFFF" w:themeColor="background1"/>
      </w:rPr>
      <w:tblPr/>
      <w:tcPr>
        <w:tcBorders>
          <w:left w:val="nil"/>
          <w:right w:val="nil"/>
          <w:insideH w:val="nil"/>
          <w:insideV w:val="nil"/>
        </w:tcBorders>
        <w:shd w:val="clear" w:color="auto" w:fill="046A3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B5E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B5E5" w:themeFill="accent3"/>
      </w:tcPr>
    </w:tblStylePr>
    <w:tblStylePr w:type="lastCol">
      <w:rPr>
        <w:b/>
        <w:bCs/>
        <w:color w:val="FFFFFF" w:themeColor="background1"/>
      </w:rPr>
      <w:tblPr/>
      <w:tcPr>
        <w:tcBorders>
          <w:left w:val="nil"/>
          <w:right w:val="nil"/>
          <w:insideH w:val="nil"/>
          <w:insideV w:val="nil"/>
        </w:tcBorders>
        <w:shd w:val="clear" w:color="auto" w:fill="62B5E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1216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12169" w:themeFill="accent4"/>
      </w:tcPr>
    </w:tblStylePr>
    <w:tblStylePr w:type="lastCol">
      <w:rPr>
        <w:b/>
        <w:bCs/>
        <w:color w:val="FFFFFF" w:themeColor="background1"/>
      </w:rPr>
      <w:tblPr/>
      <w:tcPr>
        <w:tcBorders>
          <w:left w:val="nil"/>
          <w:right w:val="nil"/>
          <w:insideH w:val="nil"/>
          <w:insideV w:val="nil"/>
        </w:tcBorders>
        <w:shd w:val="clear" w:color="auto" w:fill="01216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7A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7A9" w:themeFill="accent5"/>
      </w:tcPr>
    </w:tblStylePr>
    <w:tblStylePr w:type="lastCol">
      <w:rPr>
        <w:b/>
        <w:bCs/>
        <w:color w:val="FFFFFF" w:themeColor="background1"/>
      </w:rPr>
      <w:tblPr/>
      <w:tcPr>
        <w:tcBorders>
          <w:left w:val="nil"/>
          <w:right w:val="nil"/>
          <w:insideH w:val="nil"/>
          <w:insideV w:val="nil"/>
        </w:tcBorders>
        <w:shd w:val="clear" w:color="auto" w:fill="0097A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787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787B" w:themeFill="accent6"/>
      </w:tcPr>
    </w:tblStylePr>
    <w:tblStylePr w:type="lastCol">
      <w:rPr>
        <w:b/>
        <w:bCs/>
        <w:color w:val="FFFFFF" w:themeColor="background1"/>
      </w:rPr>
      <w:tblPr/>
      <w:tcPr>
        <w:tcBorders>
          <w:left w:val="nil"/>
          <w:right w:val="nil"/>
          <w:insideH w:val="nil"/>
          <w:insideV w:val="nil"/>
        </w:tcBorders>
        <w:shd w:val="clear" w:color="auto" w:fill="75787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F9113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9113D"/>
    <w:rPr>
      <w:rFonts w:asciiTheme="majorHAnsi" w:eastAsiaTheme="majorEastAsia" w:hAnsiTheme="majorHAnsi" w:cstheme="majorBidi"/>
      <w:sz w:val="24"/>
      <w:szCs w:val="24"/>
      <w:shd w:val="pct20" w:color="auto" w:fill="auto"/>
    </w:rPr>
  </w:style>
  <w:style w:type="paragraph" w:styleId="NoSpacing">
    <w:name w:val="No Spacing"/>
    <w:qFormat/>
    <w:rsid w:val="00DA30BF"/>
    <w:rPr>
      <w:lang w:val="en-AU"/>
    </w:rPr>
  </w:style>
  <w:style w:type="paragraph" w:styleId="NormalWeb">
    <w:name w:val="Normal (Web)"/>
    <w:basedOn w:val="Normal"/>
    <w:uiPriority w:val="99"/>
    <w:semiHidden/>
    <w:rsid w:val="00F9113D"/>
    <w:rPr>
      <w:rFonts w:ascii="Times New Roman" w:hAnsi="Times New Roman" w:cs="Times New Roman"/>
      <w:sz w:val="24"/>
      <w:szCs w:val="24"/>
    </w:rPr>
  </w:style>
  <w:style w:type="paragraph" w:styleId="NormalIndent">
    <w:name w:val="Normal Indent"/>
    <w:basedOn w:val="Normal"/>
    <w:uiPriority w:val="99"/>
    <w:semiHidden/>
    <w:rsid w:val="00F9113D"/>
    <w:pPr>
      <w:ind w:left="1304"/>
    </w:pPr>
  </w:style>
  <w:style w:type="paragraph" w:styleId="NoteHeading">
    <w:name w:val="Note Heading"/>
    <w:basedOn w:val="Normal"/>
    <w:next w:val="Normal"/>
    <w:link w:val="NoteHeadingChar"/>
    <w:uiPriority w:val="99"/>
    <w:semiHidden/>
    <w:rsid w:val="00F9113D"/>
    <w:pPr>
      <w:spacing w:line="240" w:lineRule="auto"/>
    </w:pPr>
  </w:style>
  <w:style w:type="character" w:customStyle="1" w:styleId="NoteHeadingChar">
    <w:name w:val="Note Heading Char"/>
    <w:basedOn w:val="DefaultParagraphFont"/>
    <w:link w:val="NoteHeading"/>
    <w:uiPriority w:val="99"/>
    <w:semiHidden/>
    <w:rsid w:val="00F9113D"/>
  </w:style>
  <w:style w:type="character" w:styleId="PageNumber">
    <w:name w:val="page number"/>
    <w:basedOn w:val="DefaultParagraphFont"/>
    <w:uiPriority w:val="10"/>
    <w:semiHidden/>
    <w:rsid w:val="00F9113D"/>
    <w:rPr>
      <w:lang w:val="en-AU"/>
    </w:rPr>
  </w:style>
  <w:style w:type="paragraph" w:styleId="PlainText">
    <w:name w:val="Plain Text"/>
    <w:basedOn w:val="Normal"/>
    <w:link w:val="PlainTextChar"/>
    <w:uiPriority w:val="99"/>
    <w:semiHidden/>
    <w:rsid w:val="00F9113D"/>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9113D"/>
    <w:rPr>
      <w:rFonts w:ascii="Consolas" w:hAnsi="Consolas"/>
      <w:sz w:val="21"/>
      <w:szCs w:val="21"/>
    </w:rPr>
  </w:style>
  <w:style w:type="paragraph" w:styleId="Quote">
    <w:name w:val="Quote"/>
    <w:basedOn w:val="Normal"/>
    <w:next w:val="Normal"/>
    <w:link w:val="QuoteChar"/>
    <w:uiPriority w:val="29"/>
    <w:semiHidden/>
    <w:qFormat/>
    <w:rsid w:val="00F9113D"/>
    <w:pPr>
      <w:spacing w:after="0"/>
    </w:pPr>
    <w:rPr>
      <w:i/>
      <w:iCs/>
      <w:color w:val="000000" w:themeColor="text1"/>
    </w:rPr>
  </w:style>
  <w:style w:type="character" w:customStyle="1" w:styleId="QuoteChar">
    <w:name w:val="Quote Char"/>
    <w:basedOn w:val="DefaultParagraphFont"/>
    <w:link w:val="Quote"/>
    <w:uiPriority w:val="29"/>
    <w:semiHidden/>
    <w:rsid w:val="00F9113D"/>
    <w:rPr>
      <w:i/>
      <w:iCs/>
      <w:color w:val="000000" w:themeColor="text1"/>
    </w:rPr>
  </w:style>
  <w:style w:type="paragraph" w:styleId="Salutation">
    <w:name w:val="Salutation"/>
    <w:basedOn w:val="Normal"/>
    <w:next w:val="Normal"/>
    <w:link w:val="SalutationChar"/>
    <w:uiPriority w:val="99"/>
    <w:semiHidden/>
    <w:rsid w:val="00F9113D"/>
  </w:style>
  <w:style w:type="character" w:customStyle="1" w:styleId="SalutationChar">
    <w:name w:val="Salutation Char"/>
    <w:basedOn w:val="DefaultParagraphFont"/>
    <w:link w:val="Salutation"/>
    <w:uiPriority w:val="99"/>
    <w:semiHidden/>
    <w:rsid w:val="00F9113D"/>
  </w:style>
  <w:style w:type="paragraph" w:styleId="Signature">
    <w:name w:val="Signature"/>
    <w:basedOn w:val="Normal"/>
    <w:link w:val="SignatureChar"/>
    <w:uiPriority w:val="99"/>
    <w:semiHidden/>
    <w:rsid w:val="00F9113D"/>
    <w:pPr>
      <w:keepNext/>
      <w:keepLines/>
    </w:pPr>
  </w:style>
  <w:style w:type="character" w:customStyle="1" w:styleId="SignatureChar">
    <w:name w:val="Signature Char"/>
    <w:basedOn w:val="DefaultParagraphFont"/>
    <w:link w:val="Signature"/>
    <w:uiPriority w:val="99"/>
    <w:semiHidden/>
    <w:rsid w:val="00F9113D"/>
  </w:style>
  <w:style w:type="character" w:styleId="Strong">
    <w:name w:val="Strong"/>
    <w:basedOn w:val="DefaultParagraphFont"/>
    <w:uiPriority w:val="22"/>
    <w:qFormat/>
    <w:rsid w:val="00F9113D"/>
    <w:rPr>
      <w:b/>
      <w:bCs/>
      <w:lang w:val="en-AU"/>
    </w:rPr>
  </w:style>
  <w:style w:type="paragraph" w:styleId="Subtitle">
    <w:name w:val="Subtitle"/>
    <w:basedOn w:val="Normal"/>
    <w:next w:val="Normal"/>
    <w:link w:val="SubtitleChar"/>
    <w:uiPriority w:val="11"/>
    <w:semiHidden/>
    <w:qFormat/>
    <w:rsid w:val="00F9113D"/>
    <w:pPr>
      <w:numPr>
        <w:ilvl w:val="1"/>
      </w:numPr>
      <w:spacing w:after="0"/>
    </w:pPr>
    <w:rPr>
      <w:rFonts w:eastAsiaTheme="majorEastAsia" w:cstheme="majorBidi"/>
      <w:i/>
      <w:iCs/>
      <w:color w:val="86BC25" w:themeColor="accent1"/>
      <w:spacing w:val="15"/>
      <w:sz w:val="24"/>
      <w:szCs w:val="24"/>
    </w:rPr>
  </w:style>
  <w:style w:type="character" w:customStyle="1" w:styleId="SubtitleChar">
    <w:name w:val="Subtitle Char"/>
    <w:basedOn w:val="DefaultParagraphFont"/>
    <w:link w:val="Subtitle"/>
    <w:uiPriority w:val="11"/>
    <w:semiHidden/>
    <w:rsid w:val="00F9113D"/>
    <w:rPr>
      <w:rFonts w:eastAsiaTheme="majorEastAsia" w:cstheme="majorBidi"/>
      <w:i/>
      <w:iCs/>
      <w:color w:val="86BC25" w:themeColor="accent1"/>
      <w:spacing w:val="15"/>
      <w:sz w:val="24"/>
      <w:szCs w:val="24"/>
    </w:rPr>
  </w:style>
  <w:style w:type="character" w:styleId="SubtleEmphasis">
    <w:name w:val="Subtle Emphasis"/>
    <w:basedOn w:val="DefaultParagraphFont"/>
    <w:uiPriority w:val="99"/>
    <w:semiHidden/>
    <w:qFormat/>
    <w:rsid w:val="00F9113D"/>
    <w:rPr>
      <w:i/>
      <w:iCs/>
      <w:color w:val="808080" w:themeColor="text1" w:themeTint="7F"/>
      <w:lang w:val="en-AU"/>
    </w:rPr>
  </w:style>
  <w:style w:type="character" w:styleId="SubtleReference">
    <w:name w:val="Subtle Reference"/>
    <w:basedOn w:val="DefaultParagraphFont"/>
    <w:uiPriority w:val="99"/>
    <w:semiHidden/>
    <w:qFormat/>
    <w:rsid w:val="00F9113D"/>
    <w:rPr>
      <w:smallCaps/>
      <w:color w:val="046A38" w:themeColor="accent2"/>
      <w:u w:val="single"/>
      <w:lang w:val="en-AU"/>
    </w:rPr>
  </w:style>
  <w:style w:type="table" w:styleId="Table3Deffects1">
    <w:name w:val="Table 3D effects 1"/>
    <w:basedOn w:val="TableNormal"/>
    <w:uiPriority w:val="99"/>
    <w:semiHidden/>
    <w:unhideWhenUsed/>
    <w:rsid w:val="00F9113D"/>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9113D"/>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9113D"/>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9113D"/>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9113D"/>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9113D"/>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9113D"/>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9113D"/>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9113D"/>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9113D"/>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9113D"/>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9113D"/>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9113D"/>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9113D"/>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9113D"/>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9113D"/>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9113D"/>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9113D"/>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9113D"/>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9113D"/>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9113D"/>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9113D"/>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F9113D"/>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9113D"/>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9113D"/>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9113D"/>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9113D"/>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9113D"/>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F9113D"/>
    <w:pPr>
      <w:ind w:left="180" w:hanging="180"/>
    </w:pPr>
  </w:style>
  <w:style w:type="paragraph" w:styleId="TableofFigures">
    <w:name w:val="table of figures"/>
    <w:basedOn w:val="Normal"/>
    <w:next w:val="Normal"/>
    <w:uiPriority w:val="99"/>
    <w:semiHidden/>
    <w:rsid w:val="00F9113D"/>
  </w:style>
  <w:style w:type="table" w:styleId="TableProfessional">
    <w:name w:val="Table Professional"/>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9113D"/>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9113D"/>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9113D"/>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9113D"/>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9113D"/>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9113D"/>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9113D"/>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9113D"/>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qFormat/>
    <w:rsid w:val="00F9113D"/>
    <w:pPr>
      <w:pBdr>
        <w:bottom w:val="single" w:sz="8" w:space="4" w:color="86BC25" w:themeColor="accent1"/>
      </w:pBdr>
      <w:spacing w:after="300" w:line="240" w:lineRule="auto"/>
      <w:contextualSpacing/>
    </w:pPr>
    <w:rPr>
      <w:rFonts w:eastAsiaTheme="majorEastAsia" w:cstheme="majorBidi"/>
      <w:color w:val="323E4F" w:themeColor="text2" w:themeShade="BF"/>
      <w:spacing w:val="5"/>
      <w:kern w:val="28"/>
      <w:sz w:val="52"/>
      <w:szCs w:val="52"/>
    </w:rPr>
  </w:style>
  <w:style w:type="character" w:customStyle="1" w:styleId="TitleChar">
    <w:name w:val="Title Char"/>
    <w:basedOn w:val="DefaultParagraphFont"/>
    <w:link w:val="Title"/>
    <w:uiPriority w:val="10"/>
    <w:semiHidden/>
    <w:rsid w:val="00F9113D"/>
    <w:rPr>
      <w:rFonts w:eastAsiaTheme="majorEastAsia" w:cstheme="majorBidi"/>
      <w:color w:val="323E4F" w:themeColor="text2" w:themeShade="BF"/>
      <w:spacing w:val="5"/>
      <w:kern w:val="28"/>
      <w:sz w:val="52"/>
      <w:szCs w:val="52"/>
    </w:rPr>
  </w:style>
  <w:style w:type="paragraph" w:styleId="TOAHeading">
    <w:name w:val="toa heading"/>
    <w:basedOn w:val="Normal"/>
    <w:next w:val="Normal"/>
    <w:uiPriority w:val="99"/>
    <w:semiHidden/>
    <w:rsid w:val="00F9113D"/>
    <w:pPr>
      <w:spacing w:before="120"/>
    </w:pPr>
    <w:rPr>
      <w:rFonts w:asciiTheme="majorHAnsi" w:eastAsiaTheme="majorEastAsia" w:hAnsiTheme="majorHAnsi" w:cstheme="majorBidi"/>
      <w:b/>
      <w:bCs/>
      <w:sz w:val="24"/>
      <w:szCs w:val="24"/>
    </w:rPr>
  </w:style>
  <w:style w:type="paragraph" w:styleId="TOC2">
    <w:name w:val="toc 2"/>
    <w:basedOn w:val="Normal"/>
    <w:next w:val="Normal"/>
    <w:uiPriority w:val="39"/>
    <w:rsid w:val="00271D10"/>
    <w:pPr>
      <w:tabs>
        <w:tab w:val="left" w:pos="567"/>
        <w:tab w:val="right" w:pos="8959"/>
      </w:tabs>
      <w:spacing w:after="100"/>
      <w:ind w:left="1134" w:right="567" w:hanging="567"/>
      <w:contextualSpacing/>
    </w:pPr>
  </w:style>
  <w:style w:type="paragraph" w:styleId="TOC3">
    <w:name w:val="toc 3"/>
    <w:basedOn w:val="Normal"/>
    <w:next w:val="Normal"/>
    <w:uiPriority w:val="39"/>
    <w:rsid w:val="00271D10"/>
    <w:pPr>
      <w:tabs>
        <w:tab w:val="left" w:pos="1021"/>
        <w:tab w:val="right" w:pos="8959"/>
      </w:tabs>
      <w:spacing w:after="100"/>
      <w:ind w:left="567" w:right="567"/>
      <w:contextualSpacing/>
    </w:pPr>
  </w:style>
  <w:style w:type="paragraph" w:styleId="TOC4">
    <w:name w:val="toc 4"/>
    <w:basedOn w:val="Normal"/>
    <w:next w:val="Normal"/>
    <w:uiPriority w:val="39"/>
    <w:rsid w:val="007854F9"/>
    <w:pPr>
      <w:tabs>
        <w:tab w:val="right" w:pos="8959"/>
      </w:tabs>
      <w:spacing w:after="100"/>
      <w:ind w:right="567"/>
      <w:contextualSpacing/>
    </w:pPr>
  </w:style>
  <w:style w:type="paragraph" w:styleId="TOC5">
    <w:name w:val="toc 5"/>
    <w:basedOn w:val="Normal"/>
    <w:next w:val="Normal"/>
    <w:uiPriority w:val="39"/>
    <w:rsid w:val="00F9113D"/>
    <w:pPr>
      <w:spacing w:after="100"/>
      <w:ind w:left="567" w:right="567"/>
      <w:contextualSpacing/>
    </w:pPr>
  </w:style>
  <w:style w:type="paragraph" w:styleId="TOC6">
    <w:name w:val="toc 6"/>
    <w:basedOn w:val="Normal"/>
    <w:next w:val="Normal"/>
    <w:uiPriority w:val="39"/>
    <w:rsid w:val="006704D4"/>
    <w:pPr>
      <w:tabs>
        <w:tab w:val="right" w:pos="8959"/>
      </w:tabs>
      <w:spacing w:after="100"/>
      <w:ind w:right="567"/>
      <w:contextualSpacing/>
    </w:pPr>
  </w:style>
  <w:style w:type="paragraph" w:styleId="TOC7">
    <w:name w:val="toc 7"/>
    <w:basedOn w:val="Normal"/>
    <w:next w:val="Normal"/>
    <w:uiPriority w:val="39"/>
    <w:rsid w:val="00271D10"/>
    <w:pPr>
      <w:tabs>
        <w:tab w:val="right" w:pos="8959"/>
      </w:tabs>
      <w:spacing w:after="100"/>
      <w:ind w:right="567"/>
      <w:contextualSpacing/>
    </w:pPr>
  </w:style>
  <w:style w:type="paragraph" w:styleId="TOC8">
    <w:name w:val="toc 8"/>
    <w:basedOn w:val="Normal"/>
    <w:next w:val="Normal"/>
    <w:uiPriority w:val="39"/>
    <w:rsid w:val="007854F9"/>
    <w:pPr>
      <w:tabs>
        <w:tab w:val="right" w:pos="8959"/>
      </w:tabs>
      <w:spacing w:after="100"/>
      <w:ind w:right="567"/>
      <w:contextualSpacing/>
    </w:pPr>
  </w:style>
  <w:style w:type="paragraph" w:styleId="TOC9">
    <w:name w:val="toc 9"/>
    <w:basedOn w:val="Normal"/>
    <w:next w:val="Normal"/>
    <w:uiPriority w:val="39"/>
    <w:rsid w:val="00F9113D"/>
    <w:pPr>
      <w:spacing w:after="100"/>
      <w:ind w:left="567" w:right="567"/>
      <w:contextualSpacing/>
    </w:pPr>
  </w:style>
  <w:style w:type="paragraph" w:styleId="TOCHeading">
    <w:name w:val="TOC Heading"/>
    <w:next w:val="Normal"/>
    <w:uiPriority w:val="39"/>
    <w:qFormat/>
    <w:rsid w:val="00F9113D"/>
    <w:pPr>
      <w:spacing w:after="480" w:line="720" w:lineRule="atLeast"/>
    </w:pPr>
    <w:rPr>
      <w:rFonts w:eastAsiaTheme="majorEastAsia" w:cstheme="majorBidi"/>
      <w:bCs/>
      <w:sz w:val="60"/>
      <w:szCs w:val="28"/>
      <w:lang w:val="en-AU"/>
    </w:rPr>
  </w:style>
  <w:style w:type="paragraph" w:customStyle="1" w:styleId="Template-Adresse">
    <w:name w:val="Template - Adresse"/>
    <w:basedOn w:val="Normal"/>
    <w:uiPriority w:val="9"/>
    <w:semiHidden/>
    <w:rsid w:val="00F9113D"/>
    <w:pPr>
      <w:tabs>
        <w:tab w:val="left" w:pos="567"/>
      </w:tabs>
      <w:spacing w:after="0" w:line="280" w:lineRule="atLeast"/>
    </w:pPr>
    <w:rPr>
      <w:noProof/>
      <w:sz w:val="16"/>
    </w:rPr>
  </w:style>
  <w:style w:type="paragraph" w:customStyle="1" w:styleId="Template-Dato">
    <w:name w:val="Template - Dato"/>
    <w:basedOn w:val="Normal"/>
    <w:uiPriority w:val="9"/>
    <w:semiHidden/>
    <w:rsid w:val="00F9113D"/>
    <w:pPr>
      <w:spacing w:after="0" w:line="280" w:lineRule="atLeast"/>
    </w:pPr>
    <w:rPr>
      <w:noProof/>
      <w:sz w:val="16"/>
    </w:rPr>
  </w:style>
  <w:style w:type="paragraph" w:customStyle="1" w:styleId="Letterheadaddressnospacing">
    <w:name w:val="Letterhead address (no spacing)"/>
    <w:uiPriority w:val="99"/>
    <w:semiHidden/>
    <w:qFormat/>
    <w:rsid w:val="001D0641"/>
    <w:pPr>
      <w:framePr w:wrap="around" w:vAnchor="page" w:hAnchor="page" w:x="1" w:y="1"/>
      <w:spacing w:line="240" w:lineRule="auto"/>
      <w:suppressOverlap/>
    </w:pPr>
    <w:rPr>
      <w:rFonts w:eastAsia="Times New Roman" w:cs="Times New Roman"/>
      <w:noProof/>
      <w:color w:val="7F7F7F" w:themeColor="text1" w:themeTint="80"/>
      <w:sz w:val="14"/>
      <w:lang w:val="en-AU" w:bidi="en-US"/>
    </w:rPr>
  </w:style>
  <w:style w:type="paragraph" w:customStyle="1" w:styleId="DocumentHeading">
    <w:name w:val="Document Heading"/>
    <w:basedOn w:val="Normal"/>
    <w:next w:val="BodyText"/>
    <w:uiPriority w:val="99"/>
    <w:semiHidden/>
    <w:rsid w:val="00F9113D"/>
    <w:pPr>
      <w:suppressAutoHyphens/>
      <w:spacing w:before="240" w:after="240"/>
    </w:pPr>
    <w:rPr>
      <w:b/>
    </w:rPr>
  </w:style>
  <w:style w:type="paragraph" w:customStyle="1" w:styleId="Disclaimer">
    <w:name w:val="Disclaimer"/>
    <w:basedOn w:val="Footer"/>
    <w:uiPriority w:val="11"/>
    <w:semiHidden/>
    <w:rsid w:val="00F9113D"/>
    <w:pPr>
      <w:tabs>
        <w:tab w:val="clear" w:pos="7371"/>
      </w:tabs>
      <w:spacing w:line="130" w:lineRule="atLeast"/>
      <w:suppressOverlap/>
    </w:pPr>
    <w:rPr>
      <w:rFonts w:eastAsia="Times New Roman" w:cs="Arial"/>
      <w:sz w:val="11"/>
      <w:szCs w:val="17"/>
      <w:lang w:eastAsia="en-GB"/>
    </w:rPr>
  </w:style>
  <w:style w:type="paragraph" w:customStyle="1" w:styleId="SenderName">
    <w:name w:val="Sender Name"/>
    <w:basedOn w:val="Normal"/>
    <w:uiPriority w:val="8"/>
    <w:rsid w:val="00F9113D"/>
    <w:pPr>
      <w:keepNext/>
      <w:keepLines/>
      <w:spacing w:after="0"/>
    </w:pPr>
    <w:rPr>
      <w:b/>
      <w:szCs w:val="17"/>
    </w:rPr>
  </w:style>
  <w:style w:type="paragraph" w:customStyle="1" w:styleId="SignatureName">
    <w:name w:val="Signature Name"/>
    <w:basedOn w:val="Normal"/>
    <w:next w:val="SignatureTitle"/>
    <w:uiPriority w:val="7"/>
    <w:semiHidden/>
    <w:rsid w:val="00F9113D"/>
    <w:pPr>
      <w:keepNext/>
      <w:keepLines/>
      <w:spacing w:after="0"/>
    </w:pPr>
    <w:rPr>
      <w:b/>
      <w:color w:val="62B5E5" w:themeColor="accent3"/>
    </w:rPr>
  </w:style>
  <w:style w:type="paragraph" w:customStyle="1" w:styleId="SignatureTitle">
    <w:name w:val="Signature Title"/>
    <w:basedOn w:val="Normal"/>
    <w:next w:val="BodyText"/>
    <w:uiPriority w:val="7"/>
    <w:semiHidden/>
    <w:rsid w:val="00F9113D"/>
    <w:pPr>
      <w:spacing w:after="0"/>
    </w:pPr>
    <w:rPr>
      <w:b/>
    </w:rPr>
  </w:style>
  <w:style w:type="paragraph" w:customStyle="1" w:styleId="Heading2un-numbered">
    <w:name w:val="Heading 2 (un-numbered)"/>
    <w:basedOn w:val="Heading2"/>
    <w:next w:val="Normal"/>
    <w:uiPriority w:val="2"/>
    <w:qFormat/>
    <w:rsid w:val="001959F7"/>
    <w:pPr>
      <w:ind w:left="0" w:firstLine="0"/>
    </w:pPr>
  </w:style>
  <w:style w:type="paragraph" w:customStyle="1" w:styleId="Heading3un-numbered">
    <w:name w:val="Heading 3 (un-numbered)"/>
    <w:basedOn w:val="Heading3"/>
    <w:next w:val="Normal"/>
    <w:uiPriority w:val="2"/>
    <w:qFormat/>
    <w:rsid w:val="00F9113D"/>
    <w:pPr>
      <w:ind w:left="0" w:firstLine="0"/>
    </w:pPr>
  </w:style>
  <w:style w:type="paragraph" w:customStyle="1" w:styleId="Heading4un-numbered">
    <w:name w:val="Heading 4 (un-numbered)"/>
    <w:basedOn w:val="Heading4"/>
    <w:next w:val="Normal"/>
    <w:uiPriority w:val="2"/>
    <w:qFormat/>
    <w:rsid w:val="00F3755C"/>
    <w:pPr>
      <w:ind w:left="0" w:firstLine="0"/>
    </w:pPr>
  </w:style>
  <w:style w:type="paragraph" w:customStyle="1" w:styleId="BulletedText1">
    <w:name w:val="Bulleted Text 1"/>
    <w:basedOn w:val="Normal"/>
    <w:uiPriority w:val="4"/>
    <w:semiHidden/>
    <w:qFormat/>
    <w:rsid w:val="00F9113D"/>
    <w:pPr>
      <w:numPr>
        <w:numId w:val="1"/>
      </w:numPr>
      <w:suppressAutoHyphens/>
      <w:spacing w:after="0" w:line="250" w:lineRule="atLeast"/>
    </w:pPr>
  </w:style>
  <w:style w:type="paragraph" w:customStyle="1" w:styleId="BulletedText2">
    <w:name w:val="Bulleted Text 2"/>
    <w:basedOn w:val="Normal"/>
    <w:uiPriority w:val="4"/>
    <w:semiHidden/>
    <w:rsid w:val="00F9113D"/>
    <w:pPr>
      <w:numPr>
        <w:ilvl w:val="1"/>
        <w:numId w:val="1"/>
      </w:numPr>
      <w:suppressAutoHyphens/>
      <w:spacing w:after="0" w:line="250" w:lineRule="atLeast"/>
    </w:pPr>
  </w:style>
  <w:style w:type="paragraph" w:customStyle="1" w:styleId="Numberslevel1">
    <w:name w:val="Numbers level 1"/>
    <w:basedOn w:val="Normal"/>
    <w:uiPriority w:val="4"/>
    <w:semiHidden/>
    <w:qFormat/>
    <w:rsid w:val="00F9113D"/>
    <w:pPr>
      <w:numPr>
        <w:numId w:val="6"/>
      </w:numPr>
      <w:suppressAutoHyphens/>
      <w:spacing w:after="0" w:line="250" w:lineRule="atLeast"/>
    </w:pPr>
  </w:style>
  <w:style w:type="paragraph" w:customStyle="1" w:styleId="Numberslevel2">
    <w:name w:val="Numbers level 2"/>
    <w:basedOn w:val="Normal"/>
    <w:uiPriority w:val="4"/>
    <w:semiHidden/>
    <w:rsid w:val="00F9113D"/>
    <w:pPr>
      <w:numPr>
        <w:ilvl w:val="1"/>
        <w:numId w:val="6"/>
      </w:numPr>
      <w:suppressAutoHyphens/>
      <w:spacing w:after="0" w:line="250" w:lineRule="atLeast"/>
    </w:pPr>
  </w:style>
  <w:style w:type="paragraph" w:customStyle="1" w:styleId="Numberslevel3">
    <w:name w:val="Numbers level 3"/>
    <w:basedOn w:val="Normal"/>
    <w:uiPriority w:val="4"/>
    <w:semiHidden/>
    <w:rsid w:val="00F9113D"/>
    <w:pPr>
      <w:numPr>
        <w:ilvl w:val="2"/>
        <w:numId w:val="6"/>
      </w:numPr>
      <w:suppressAutoHyphens/>
      <w:spacing w:after="0" w:line="250" w:lineRule="atLeast"/>
    </w:pPr>
  </w:style>
  <w:style w:type="paragraph" w:customStyle="1" w:styleId="TabletextLeftTotal">
    <w:name w:val="Table text Left Total"/>
    <w:basedOn w:val="TabletextLeft"/>
    <w:uiPriority w:val="5"/>
    <w:rsid w:val="002E67BC"/>
    <w:rPr>
      <w:b/>
    </w:rPr>
  </w:style>
  <w:style w:type="paragraph" w:customStyle="1" w:styleId="TabletextRightTotal">
    <w:name w:val="Table text Right Total"/>
    <w:basedOn w:val="TabletextRight"/>
    <w:uiPriority w:val="5"/>
    <w:rsid w:val="002C7E6E"/>
    <w:rPr>
      <w:b/>
    </w:rPr>
  </w:style>
  <w:style w:type="table" w:customStyle="1" w:styleId="DeloitteBandedrows">
    <w:name w:val="Deloitte Banded rows"/>
    <w:basedOn w:val="TableNormal"/>
    <w:uiPriority w:val="99"/>
    <w:rsid w:val="00464FD2"/>
    <w:pPr>
      <w:spacing w:line="200" w:lineRule="atLeast"/>
    </w:pPr>
    <w:rPr>
      <w:sz w:val="17"/>
    </w:rPr>
    <w:tblPr>
      <w:tblStyleRowBandSize w:val="1"/>
      <w:tblBorders>
        <w:bottom w:val="single" w:sz="4" w:space="0" w:color="62B5E5" w:themeColor="accent3"/>
      </w:tblBorders>
      <w:tblCellMar>
        <w:top w:w="85" w:type="dxa"/>
        <w:left w:w="0" w:type="dxa"/>
        <w:bottom w:w="85" w:type="dxa"/>
        <w:right w:w="0" w:type="dxa"/>
      </w:tblCellMar>
    </w:tblPr>
    <w:tblStylePr w:type="firstRow">
      <w:tblPr/>
      <w:tcPr>
        <w:tcBorders>
          <w:top w:val="single" w:sz="24" w:space="0" w:color="62B5E5" w:themeColor="accent3"/>
          <w:bottom w:val="single" w:sz="4" w:space="0" w:color="62B5E5" w:themeColor="accent3"/>
        </w:tcBorders>
      </w:tcPr>
    </w:tblStylePr>
    <w:tblStylePr w:type="lastRow">
      <w:tblPr/>
      <w:tcPr>
        <w:tcBorders>
          <w:top w:val="nil"/>
          <w:left w:val="nil"/>
          <w:bottom w:val="nil"/>
          <w:right w:val="nil"/>
          <w:insideH w:val="nil"/>
          <w:insideV w:val="nil"/>
          <w:tl2br w:val="nil"/>
          <w:tr2bl w:val="nil"/>
        </w:tcBorders>
      </w:tcPr>
    </w:tblStylePr>
    <w:tblStylePr w:type="band2Horz">
      <w:tblPr/>
      <w:tcPr>
        <w:shd w:val="clear" w:color="auto" w:fill="62B5E5" w:themeFill="accent3"/>
      </w:tcPr>
    </w:tblStylePr>
  </w:style>
  <w:style w:type="paragraph" w:customStyle="1" w:styleId="FPPicture">
    <w:name w:val="FP Picture"/>
    <w:basedOn w:val="Normal"/>
    <w:uiPriority w:val="9"/>
    <w:semiHidden/>
    <w:rsid w:val="00F9113D"/>
    <w:pPr>
      <w:spacing w:after="0"/>
      <w:ind w:left="-57"/>
    </w:pPr>
    <w:rPr>
      <w:color w:val="FF0000"/>
      <w:sz w:val="36"/>
    </w:rPr>
  </w:style>
  <w:style w:type="paragraph" w:customStyle="1" w:styleId="CV-Name">
    <w:name w:val="CV - Name"/>
    <w:basedOn w:val="Normal"/>
    <w:uiPriority w:val="7"/>
    <w:rsid w:val="005B00B8"/>
    <w:pPr>
      <w:spacing w:after="240"/>
      <w:contextualSpacing/>
    </w:pPr>
    <w:rPr>
      <w:b/>
      <w:color w:val="62B5E5" w:themeColor="accent3"/>
    </w:rPr>
  </w:style>
  <w:style w:type="paragraph" w:customStyle="1" w:styleId="HeadingA">
    <w:name w:val="Heading A"/>
    <w:next w:val="Normal"/>
    <w:uiPriority w:val="3"/>
    <w:rsid w:val="005E5001"/>
    <w:pPr>
      <w:keepNext/>
      <w:keepLines/>
      <w:spacing w:before="240"/>
    </w:pPr>
    <w:rPr>
      <w:rFonts w:eastAsia="Times New Roman" w:cs="Times New Roman"/>
      <w:b/>
      <w:color w:val="62B5E5" w:themeColor="accent3"/>
      <w:szCs w:val="28"/>
      <w:lang w:val="en-AU"/>
    </w:rPr>
  </w:style>
  <w:style w:type="paragraph" w:customStyle="1" w:styleId="HeadingB">
    <w:name w:val="Heading B"/>
    <w:basedOn w:val="HeadingA"/>
    <w:next w:val="Normal"/>
    <w:uiPriority w:val="3"/>
    <w:rsid w:val="005E5001"/>
    <w:pPr>
      <w:spacing w:before="0"/>
    </w:pPr>
    <w:rPr>
      <w:color w:val="auto"/>
      <w:szCs w:val="26"/>
    </w:rPr>
  </w:style>
  <w:style w:type="paragraph" w:customStyle="1" w:styleId="HeadingC">
    <w:name w:val="Heading C"/>
    <w:basedOn w:val="Normal"/>
    <w:next w:val="Normal"/>
    <w:uiPriority w:val="3"/>
    <w:rsid w:val="00F84828"/>
    <w:pPr>
      <w:keepNext/>
      <w:keepLines/>
      <w:spacing w:after="0"/>
    </w:pPr>
    <w:rPr>
      <w:rFonts w:eastAsia="Times New Roman" w:cs="Times New Roman"/>
      <w:b/>
      <w:color w:val="75787B" w:themeColor="accent6"/>
      <w:szCs w:val="28"/>
    </w:rPr>
  </w:style>
  <w:style w:type="paragraph" w:customStyle="1" w:styleId="CaptionTable">
    <w:name w:val="Caption_Table"/>
    <w:basedOn w:val="Normal"/>
    <w:next w:val="Normal"/>
    <w:uiPriority w:val="4"/>
    <w:qFormat/>
    <w:rsid w:val="006C74B8"/>
    <w:pPr>
      <w:keepNext/>
      <w:keepLines/>
      <w:spacing w:before="240" w:after="240"/>
    </w:pPr>
    <w:rPr>
      <w:rFonts w:eastAsia="Times New Roman" w:cs="Times New Roman"/>
      <w:color w:val="75787B" w:themeColor="accent6"/>
      <w:sz w:val="17"/>
      <w:szCs w:val="20"/>
    </w:rPr>
  </w:style>
  <w:style w:type="paragraph" w:customStyle="1" w:styleId="CaptionFigure">
    <w:name w:val="Caption_Figure"/>
    <w:basedOn w:val="Normal"/>
    <w:next w:val="Normal"/>
    <w:uiPriority w:val="4"/>
    <w:qFormat/>
    <w:rsid w:val="006C74B8"/>
    <w:pPr>
      <w:keepNext/>
      <w:keepLines/>
    </w:pPr>
    <w:rPr>
      <w:bCs/>
      <w:color w:val="75787B" w:themeColor="accent6"/>
      <w:sz w:val="17"/>
      <w:szCs w:val="22"/>
    </w:rPr>
  </w:style>
  <w:style w:type="paragraph" w:customStyle="1" w:styleId="CaptionChart">
    <w:name w:val="Caption_Chart"/>
    <w:basedOn w:val="Normal"/>
    <w:next w:val="Normal"/>
    <w:uiPriority w:val="4"/>
    <w:qFormat/>
    <w:rsid w:val="006C74B8"/>
    <w:pPr>
      <w:keepNext/>
      <w:keepLines/>
    </w:pPr>
    <w:rPr>
      <w:color w:val="75787B" w:themeColor="accent6"/>
      <w:sz w:val="17"/>
    </w:rPr>
  </w:style>
  <w:style w:type="paragraph" w:customStyle="1" w:styleId="ExecutiveHeading">
    <w:name w:val="Executive Heading"/>
    <w:basedOn w:val="Heading1un-numbered"/>
    <w:next w:val="Normal"/>
    <w:uiPriority w:val="3"/>
    <w:rsid w:val="005E5001"/>
    <w:pPr>
      <w:numPr>
        <w:numId w:val="9"/>
      </w:numPr>
    </w:pPr>
  </w:style>
  <w:style w:type="paragraph" w:customStyle="1" w:styleId="Reference">
    <w:name w:val="Reference"/>
    <w:basedOn w:val="Normal"/>
    <w:uiPriority w:val="4"/>
    <w:rsid w:val="002C1140"/>
    <w:pPr>
      <w:spacing w:before="240" w:after="240"/>
      <w:ind w:left="567" w:hanging="567"/>
    </w:pPr>
    <w:rPr>
      <w:rFonts w:eastAsia="Times New Roman" w:cs="Times New Roman"/>
      <w:szCs w:val="20"/>
    </w:rPr>
  </w:style>
  <w:style w:type="paragraph" w:customStyle="1" w:styleId="ExecChartCaption">
    <w:name w:val="Exec Chart Caption"/>
    <w:basedOn w:val="Caption"/>
    <w:next w:val="Normal"/>
    <w:uiPriority w:val="4"/>
    <w:rsid w:val="00CA0756"/>
    <w:pPr>
      <w:numPr>
        <w:ilvl w:val="2"/>
        <w:numId w:val="9"/>
      </w:numPr>
    </w:pPr>
    <w:rPr>
      <w:rFonts w:eastAsia="Times New Roman" w:cs="Times New Roman"/>
      <w:szCs w:val="20"/>
    </w:rPr>
  </w:style>
  <w:style w:type="paragraph" w:customStyle="1" w:styleId="ExecFigureCaption">
    <w:name w:val="Exec Figure Caption"/>
    <w:basedOn w:val="Caption"/>
    <w:next w:val="Normal"/>
    <w:uiPriority w:val="4"/>
    <w:rsid w:val="00CA0756"/>
    <w:pPr>
      <w:numPr>
        <w:ilvl w:val="3"/>
        <w:numId w:val="9"/>
      </w:numPr>
    </w:pPr>
    <w:rPr>
      <w:rFonts w:eastAsia="Times New Roman" w:cs="Times New Roman"/>
      <w:szCs w:val="20"/>
    </w:rPr>
  </w:style>
  <w:style w:type="paragraph" w:customStyle="1" w:styleId="ExecTableCaption">
    <w:name w:val="Exec Table Caption"/>
    <w:basedOn w:val="Caption"/>
    <w:next w:val="Normal"/>
    <w:uiPriority w:val="4"/>
    <w:rsid w:val="005D6648"/>
    <w:pPr>
      <w:numPr>
        <w:ilvl w:val="1"/>
        <w:numId w:val="9"/>
      </w:numPr>
    </w:pPr>
    <w:rPr>
      <w:rFonts w:eastAsia="Times New Roman" w:cs="Times New Roman"/>
      <w:szCs w:val="20"/>
    </w:rPr>
  </w:style>
  <w:style w:type="paragraph" w:customStyle="1" w:styleId="Appendixhead2">
    <w:name w:val="Appendix_head_2"/>
    <w:basedOn w:val="Heading2"/>
    <w:next w:val="Normal"/>
    <w:link w:val="Appendixhead2Char"/>
    <w:uiPriority w:val="3"/>
    <w:rsid w:val="00A95553"/>
    <w:pPr>
      <w:tabs>
        <w:tab w:val="left" w:pos="851"/>
      </w:tabs>
      <w:ind w:left="792" w:hanging="792"/>
      <w:outlineLvl w:val="9"/>
    </w:pPr>
    <w:rPr>
      <w:rFonts w:eastAsia="Times New Roman" w:cs="Times New Roman"/>
      <w:bCs w:val="0"/>
      <w:szCs w:val="28"/>
      <w:lang w:eastAsia="en-AU"/>
    </w:rPr>
  </w:style>
  <w:style w:type="paragraph" w:customStyle="1" w:styleId="Appendixhead3">
    <w:name w:val="Appendix_head_3"/>
    <w:basedOn w:val="Heading3"/>
    <w:next w:val="Normal"/>
    <w:link w:val="Appendixhead3Char"/>
    <w:uiPriority w:val="3"/>
    <w:rsid w:val="00E06F2E"/>
    <w:pPr>
      <w:ind w:left="794" w:hanging="794"/>
      <w:outlineLvl w:val="9"/>
    </w:pPr>
    <w:rPr>
      <w:rFonts w:eastAsia="Times New Roman" w:cs="Times New Roman"/>
      <w:bCs w:val="0"/>
      <w:szCs w:val="20"/>
    </w:rPr>
  </w:style>
  <w:style w:type="paragraph" w:customStyle="1" w:styleId="Appendixhead4">
    <w:name w:val="Appendix_head_4"/>
    <w:basedOn w:val="Heading4"/>
    <w:next w:val="Normal"/>
    <w:uiPriority w:val="3"/>
    <w:rsid w:val="00F84828"/>
    <w:pPr>
      <w:tabs>
        <w:tab w:val="clear" w:pos="340"/>
      </w:tabs>
      <w:ind w:left="794" w:hanging="794"/>
      <w:outlineLvl w:val="9"/>
    </w:pPr>
    <w:rPr>
      <w:rFonts w:eastAsia="Times New Roman" w:cs="Times New Roman"/>
      <w:bCs w:val="0"/>
      <w:iCs w:val="0"/>
      <w:szCs w:val="24"/>
      <w:lang w:eastAsia="en-AU"/>
    </w:rPr>
  </w:style>
  <w:style w:type="paragraph" w:customStyle="1" w:styleId="Appendixhead1">
    <w:name w:val="Appendix_head_1"/>
    <w:basedOn w:val="Normal"/>
    <w:next w:val="Normal"/>
    <w:link w:val="Appendixhead1Char"/>
    <w:uiPriority w:val="3"/>
    <w:rsid w:val="009E2F33"/>
    <w:pPr>
      <w:keepNext/>
      <w:keepLines/>
      <w:pageBreakBefore/>
      <w:numPr>
        <w:numId w:val="10"/>
      </w:numPr>
      <w:spacing w:after="480" w:line="720" w:lineRule="atLeast"/>
    </w:pPr>
    <w:rPr>
      <w:rFonts w:eastAsia="Times New Roman" w:cs="Arial"/>
      <w:sz w:val="60"/>
      <w:szCs w:val="20"/>
    </w:rPr>
  </w:style>
  <w:style w:type="character" w:customStyle="1" w:styleId="Appendixhead1Char">
    <w:name w:val="Appendix_head_1 Char"/>
    <w:basedOn w:val="DefaultParagraphFont"/>
    <w:link w:val="Appendixhead1"/>
    <w:uiPriority w:val="3"/>
    <w:rsid w:val="009E2F33"/>
    <w:rPr>
      <w:rFonts w:eastAsia="Times New Roman" w:cs="Arial"/>
      <w:sz w:val="60"/>
      <w:szCs w:val="20"/>
      <w:lang w:val="en-AU"/>
    </w:rPr>
  </w:style>
  <w:style w:type="paragraph" w:customStyle="1" w:styleId="AppendixTableCaption">
    <w:name w:val="Appendix Table Caption"/>
    <w:basedOn w:val="Appendixhead4"/>
    <w:next w:val="Normal"/>
    <w:link w:val="AppendixTableCaptionChar"/>
    <w:uiPriority w:val="4"/>
    <w:rsid w:val="00CA0756"/>
    <w:pPr>
      <w:spacing w:after="240"/>
      <w:ind w:left="0" w:firstLine="0"/>
      <w:outlineLvl w:val="7"/>
    </w:pPr>
    <w:rPr>
      <w:b w:val="0"/>
      <w:sz w:val="17"/>
      <w:szCs w:val="22"/>
    </w:rPr>
  </w:style>
  <w:style w:type="paragraph" w:customStyle="1" w:styleId="AppendixChartCaption">
    <w:name w:val="Appendix Chart Caption"/>
    <w:basedOn w:val="AppendixTableCaption"/>
    <w:next w:val="Normal"/>
    <w:link w:val="AppendixChartCaptionChar"/>
    <w:uiPriority w:val="4"/>
    <w:rsid w:val="00CA0756"/>
    <w:pPr>
      <w:outlineLvl w:val="5"/>
    </w:pPr>
  </w:style>
  <w:style w:type="paragraph" w:customStyle="1" w:styleId="AppendixFigureCaption">
    <w:name w:val="Appendix Figure Caption"/>
    <w:basedOn w:val="AppendixChartCaption"/>
    <w:next w:val="Normal"/>
    <w:link w:val="AppendixFigureCaptionChar"/>
    <w:uiPriority w:val="4"/>
    <w:rsid w:val="00CA0756"/>
    <w:pPr>
      <w:outlineLvl w:val="6"/>
    </w:pPr>
  </w:style>
  <w:style w:type="character" w:customStyle="1" w:styleId="Appendixhead2Char">
    <w:name w:val="Appendix_head_2 Char"/>
    <w:basedOn w:val="DefaultParagraphFont"/>
    <w:link w:val="Appendixhead2"/>
    <w:uiPriority w:val="3"/>
    <w:rsid w:val="00A95553"/>
    <w:rPr>
      <w:rFonts w:eastAsia="Times New Roman" w:cs="Times New Roman"/>
      <w:b/>
      <w:color w:val="62B5E5" w:themeColor="accent3"/>
      <w:szCs w:val="28"/>
      <w:lang w:val="en-AU" w:eastAsia="en-AU"/>
    </w:rPr>
  </w:style>
  <w:style w:type="character" w:customStyle="1" w:styleId="AppendixTableCaptionChar">
    <w:name w:val="Appendix Table Caption Char"/>
    <w:basedOn w:val="DefaultParagraphFont"/>
    <w:link w:val="AppendixTableCaption"/>
    <w:uiPriority w:val="4"/>
    <w:rsid w:val="00CA0756"/>
    <w:rPr>
      <w:rFonts w:eastAsia="Times New Roman" w:cs="Times New Roman"/>
      <w:color w:val="75787B" w:themeColor="accent6"/>
      <w:sz w:val="17"/>
      <w:szCs w:val="22"/>
      <w:lang w:val="en-AU" w:eastAsia="en-AU"/>
    </w:rPr>
  </w:style>
  <w:style w:type="character" w:customStyle="1" w:styleId="Appendixhead3Char">
    <w:name w:val="Appendix_head_3 Char"/>
    <w:basedOn w:val="DefaultParagraphFont"/>
    <w:link w:val="Appendixhead3"/>
    <w:uiPriority w:val="3"/>
    <w:rsid w:val="00E06F2E"/>
    <w:rPr>
      <w:rFonts w:eastAsia="Times New Roman" w:cs="Times New Roman"/>
      <w:b/>
      <w:szCs w:val="20"/>
      <w:lang w:val="en-AU"/>
    </w:rPr>
  </w:style>
  <w:style w:type="character" w:customStyle="1" w:styleId="AppendixFigureCaptionChar">
    <w:name w:val="Appendix Figure Caption Char"/>
    <w:basedOn w:val="DefaultParagraphFont"/>
    <w:link w:val="AppendixFigureCaption"/>
    <w:uiPriority w:val="4"/>
    <w:rsid w:val="00CA0756"/>
    <w:rPr>
      <w:rFonts w:eastAsia="Times New Roman" w:cs="Times New Roman"/>
      <w:color w:val="75787B" w:themeColor="accent6"/>
      <w:sz w:val="17"/>
      <w:szCs w:val="22"/>
      <w:lang w:val="en-AU" w:eastAsia="en-AU"/>
    </w:rPr>
  </w:style>
  <w:style w:type="character" w:customStyle="1" w:styleId="AppendixChartCaptionChar">
    <w:name w:val="Appendix Chart Caption Char"/>
    <w:basedOn w:val="AppendixTableCaptionChar"/>
    <w:link w:val="AppendixChartCaption"/>
    <w:uiPriority w:val="4"/>
    <w:rsid w:val="00CA0756"/>
    <w:rPr>
      <w:rFonts w:eastAsia="Times New Roman" w:cs="Times New Roman"/>
      <w:color w:val="75787B" w:themeColor="accent6"/>
      <w:sz w:val="17"/>
      <w:szCs w:val="22"/>
      <w:lang w:val="en-AU" w:eastAsia="en-AU"/>
    </w:rPr>
  </w:style>
  <w:style w:type="paragraph" w:customStyle="1" w:styleId="SourcetextTableorChart">
    <w:name w:val="Source text Table or Chart"/>
    <w:basedOn w:val="Caption"/>
    <w:next w:val="Normal"/>
    <w:uiPriority w:val="6"/>
    <w:rsid w:val="00B5479F"/>
    <w:pPr>
      <w:keepNext w:val="0"/>
      <w:keepLines w:val="0"/>
      <w:spacing w:before="120"/>
    </w:pPr>
    <w:rPr>
      <w:sz w:val="14"/>
    </w:rPr>
  </w:style>
  <w:style w:type="paragraph" w:customStyle="1" w:styleId="AlphabeticList">
    <w:name w:val="Alphabetic List"/>
    <w:basedOn w:val="Normal"/>
    <w:uiPriority w:val="4"/>
    <w:qFormat/>
    <w:rsid w:val="007F7A8C"/>
    <w:pPr>
      <w:numPr>
        <w:numId w:val="11"/>
      </w:numPr>
      <w:spacing w:after="0"/>
      <w:contextualSpacing/>
    </w:pPr>
    <w:rPr>
      <w:rFonts w:eastAsia="Times New Roman" w:cs="Times New Roman"/>
      <w:szCs w:val="20"/>
    </w:rPr>
  </w:style>
  <w:style w:type="paragraph" w:customStyle="1" w:styleId="CV-Heading">
    <w:name w:val="CV - Heading"/>
    <w:basedOn w:val="Normal"/>
    <w:uiPriority w:val="7"/>
    <w:rsid w:val="005B00B8"/>
    <w:pPr>
      <w:spacing w:before="240" w:after="0"/>
      <w:contextualSpacing/>
    </w:pPr>
    <w:rPr>
      <w:b/>
    </w:rPr>
  </w:style>
  <w:style w:type="paragraph" w:customStyle="1" w:styleId="TableHeadingCentre">
    <w:name w:val="Table Heading Centre"/>
    <w:basedOn w:val="TableHeadingLeft"/>
    <w:uiPriority w:val="5"/>
    <w:rsid w:val="002E67BC"/>
    <w:pPr>
      <w:jc w:val="center"/>
    </w:pPr>
  </w:style>
  <w:style w:type="paragraph" w:customStyle="1" w:styleId="TableHeadingRight">
    <w:name w:val="Table Heading Right"/>
    <w:basedOn w:val="TableHeadingCentre"/>
    <w:uiPriority w:val="5"/>
    <w:rsid w:val="002E67BC"/>
    <w:pPr>
      <w:jc w:val="right"/>
    </w:pPr>
  </w:style>
  <w:style w:type="paragraph" w:customStyle="1" w:styleId="TabletextRight">
    <w:name w:val="Table text Right"/>
    <w:basedOn w:val="TabletextLeft"/>
    <w:uiPriority w:val="5"/>
    <w:rsid w:val="002E67BC"/>
    <w:pPr>
      <w:jc w:val="right"/>
    </w:pPr>
  </w:style>
  <w:style w:type="paragraph" w:customStyle="1" w:styleId="TabletextCentre">
    <w:name w:val="Table text Centre"/>
    <w:basedOn w:val="TabletextRight"/>
    <w:uiPriority w:val="5"/>
    <w:rsid w:val="002E67BC"/>
    <w:pPr>
      <w:jc w:val="center"/>
    </w:pPr>
  </w:style>
  <w:style w:type="paragraph" w:customStyle="1" w:styleId="TableNote">
    <w:name w:val="Table Note"/>
    <w:basedOn w:val="TabletextLeft"/>
    <w:uiPriority w:val="5"/>
    <w:rsid w:val="002E67BC"/>
    <w:rPr>
      <w:sz w:val="15"/>
    </w:rPr>
  </w:style>
  <w:style w:type="paragraph" w:customStyle="1" w:styleId="TabletextCentreTotal">
    <w:name w:val="Table text Centre Total"/>
    <w:basedOn w:val="TabletextCentre"/>
    <w:uiPriority w:val="5"/>
    <w:rsid w:val="002C7E6E"/>
    <w:rPr>
      <w:b/>
    </w:rPr>
  </w:style>
  <w:style w:type="paragraph" w:customStyle="1" w:styleId="AlphabeticList2">
    <w:name w:val="Alphabetic List 2"/>
    <w:basedOn w:val="AlphabeticList"/>
    <w:uiPriority w:val="4"/>
    <w:qFormat/>
    <w:rsid w:val="000A0317"/>
    <w:pPr>
      <w:numPr>
        <w:ilvl w:val="1"/>
      </w:numPr>
    </w:pPr>
  </w:style>
  <w:style w:type="table" w:customStyle="1" w:styleId="GridTable1Light1">
    <w:name w:val="Grid Table 1 Light1"/>
    <w:basedOn w:val="TableNormal"/>
    <w:uiPriority w:val="46"/>
    <w:rsid w:val="000116B0"/>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0116B0"/>
    <w:pPr>
      <w:spacing w:line="240" w:lineRule="auto"/>
    </w:pPr>
    <w:tblPr>
      <w:tblStyleRowBandSize w:val="1"/>
      <w:tblStyleColBandSize w:val="1"/>
      <w:tblBorders>
        <w:top w:val="single" w:sz="4" w:space="0" w:color="D0EC9F" w:themeColor="accent1" w:themeTint="66"/>
        <w:left w:val="single" w:sz="4" w:space="0" w:color="D0EC9F" w:themeColor="accent1" w:themeTint="66"/>
        <w:bottom w:val="single" w:sz="4" w:space="0" w:color="D0EC9F" w:themeColor="accent1" w:themeTint="66"/>
        <w:right w:val="single" w:sz="4" w:space="0" w:color="D0EC9F" w:themeColor="accent1" w:themeTint="66"/>
        <w:insideH w:val="single" w:sz="4" w:space="0" w:color="D0EC9F" w:themeColor="accent1" w:themeTint="66"/>
        <w:insideV w:val="single" w:sz="4" w:space="0" w:color="D0EC9F" w:themeColor="accent1" w:themeTint="66"/>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2" w:space="0" w:color="B9E370"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0116B0"/>
    <w:pPr>
      <w:spacing w:line="240" w:lineRule="auto"/>
    </w:pPr>
    <w:tblPr>
      <w:tblStyleRowBandSize w:val="1"/>
      <w:tblStyleColBandSize w:val="1"/>
      <w:tblBorders>
        <w:top w:val="single" w:sz="4" w:space="0" w:color="64F9B0" w:themeColor="accent2" w:themeTint="66"/>
        <w:left w:val="single" w:sz="4" w:space="0" w:color="64F9B0" w:themeColor="accent2" w:themeTint="66"/>
        <w:bottom w:val="single" w:sz="4" w:space="0" w:color="64F9B0" w:themeColor="accent2" w:themeTint="66"/>
        <w:right w:val="single" w:sz="4" w:space="0" w:color="64F9B0" w:themeColor="accent2" w:themeTint="66"/>
        <w:insideH w:val="single" w:sz="4" w:space="0" w:color="64F9B0" w:themeColor="accent2" w:themeTint="66"/>
        <w:insideV w:val="single" w:sz="4" w:space="0" w:color="64F9B0" w:themeColor="accent2" w:themeTint="66"/>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2" w:space="0" w:color="17F689"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0116B0"/>
    <w:pPr>
      <w:spacing w:line="240" w:lineRule="auto"/>
    </w:pPr>
    <w:tblPr>
      <w:tblStyleRowBandSize w:val="1"/>
      <w:tblStyleColBandSize w:val="1"/>
      <w:tblBorders>
        <w:top w:val="single" w:sz="4" w:space="0" w:color="C0E1F4" w:themeColor="accent3" w:themeTint="66"/>
        <w:left w:val="single" w:sz="4" w:space="0" w:color="C0E1F4" w:themeColor="accent3" w:themeTint="66"/>
        <w:bottom w:val="single" w:sz="4" w:space="0" w:color="C0E1F4" w:themeColor="accent3" w:themeTint="66"/>
        <w:right w:val="single" w:sz="4" w:space="0" w:color="C0E1F4" w:themeColor="accent3" w:themeTint="66"/>
        <w:insideH w:val="single" w:sz="4" w:space="0" w:color="C0E1F4" w:themeColor="accent3" w:themeTint="66"/>
        <w:insideV w:val="single" w:sz="4" w:space="0" w:color="C0E1F4" w:themeColor="accent3" w:themeTint="66"/>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2" w:space="0" w:color="A0D2EF"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0116B0"/>
    <w:pPr>
      <w:spacing w:line="240" w:lineRule="auto"/>
    </w:pPr>
    <w:tblPr>
      <w:tblStyleRowBandSize w:val="1"/>
      <w:tblStyleColBandSize w:val="1"/>
      <w:tblBorders>
        <w:top w:val="single" w:sz="4" w:space="0" w:color="5E8FFD" w:themeColor="accent4" w:themeTint="66"/>
        <w:left w:val="single" w:sz="4" w:space="0" w:color="5E8FFD" w:themeColor="accent4" w:themeTint="66"/>
        <w:bottom w:val="single" w:sz="4" w:space="0" w:color="5E8FFD" w:themeColor="accent4" w:themeTint="66"/>
        <w:right w:val="single" w:sz="4" w:space="0" w:color="5E8FFD" w:themeColor="accent4" w:themeTint="66"/>
        <w:insideH w:val="single" w:sz="4" w:space="0" w:color="5E8FFD" w:themeColor="accent4" w:themeTint="66"/>
        <w:insideV w:val="single" w:sz="4" w:space="0" w:color="5E8FFD" w:themeColor="accent4" w:themeTint="66"/>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2" w:space="0" w:color="0E57FC"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0116B0"/>
    <w:pPr>
      <w:spacing w:line="240" w:lineRule="auto"/>
    </w:pPr>
    <w:tblPr>
      <w:tblStyleRowBandSize w:val="1"/>
      <w:tblStyleColBandSize w:val="1"/>
      <w:tblBorders>
        <w:top w:val="single" w:sz="4" w:space="0" w:color="76EFFF" w:themeColor="accent5" w:themeTint="66"/>
        <w:left w:val="single" w:sz="4" w:space="0" w:color="76EFFF" w:themeColor="accent5" w:themeTint="66"/>
        <w:bottom w:val="single" w:sz="4" w:space="0" w:color="76EFFF" w:themeColor="accent5" w:themeTint="66"/>
        <w:right w:val="single" w:sz="4" w:space="0" w:color="76EFFF" w:themeColor="accent5" w:themeTint="66"/>
        <w:insideH w:val="single" w:sz="4" w:space="0" w:color="76EFFF" w:themeColor="accent5" w:themeTint="66"/>
        <w:insideV w:val="single" w:sz="4" w:space="0" w:color="76EFFF" w:themeColor="accent5" w:themeTint="66"/>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2" w:space="0" w:color="32E8FF"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0116B0"/>
    <w:pPr>
      <w:spacing w:line="240" w:lineRule="auto"/>
    </w:pPr>
    <w:tblPr>
      <w:tblStyleRowBandSize w:val="1"/>
      <w:tblStyleColBandSize w:val="1"/>
      <w:tblBorders>
        <w:top w:val="single" w:sz="4" w:space="0" w:color="C7C8CA" w:themeColor="accent6" w:themeTint="66"/>
        <w:left w:val="single" w:sz="4" w:space="0" w:color="C7C8CA" w:themeColor="accent6" w:themeTint="66"/>
        <w:bottom w:val="single" w:sz="4" w:space="0" w:color="C7C8CA" w:themeColor="accent6" w:themeTint="66"/>
        <w:right w:val="single" w:sz="4" w:space="0" w:color="C7C8CA" w:themeColor="accent6" w:themeTint="66"/>
        <w:insideH w:val="single" w:sz="4" w:space="0" w:color="C7C8CA" w:themeColor="accent6" w:themeTint="66"/>
        <w:insideV w:val="single" w:sz="4" w:space="0" w:color="C7C8CA" w:themeColor="accent6" w:themeTint="66"/>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2" w:space="0" w:color="ABADB0"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0116B0"/>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0116B0"/>
    <w:pPr>
      <w:spacing w:line="240" w:lineRule="auto"/>
    </w:pPr>
    <w:tblPr>
      <w:tblStyleRowBandSize w:val="1"/>
      <w:tblStyleColBandSize w:val="1"/>
      <w:tblBorders>
        <w:top w:val="single" w:sz="2" w:space="0" w:color="B9E370" w:themeColor="accent1" w:themeTint="99"/>
        <w:bottom w:val="single" w:sz="2" w:space="0" w:color="B9E370" w:themeColor="accent1" w:themeTint="99"/>
        <w:insideH w:val="single" w:sz="2" w:space="0" w:color="B9E370" w:themeColor="accent1" w:themeTint="99"/>
        <w:insideV w:val="single" w:sz="2" w:space="0" w:color="B9E370" w:themeColor="accent1" w:themeTint="99"/>
      </w:tblBorders>
    </w:tblPr>
    <w:tblStylePr w:type="firstRow">
      <w:rPr>
        <w:b/>
        <w:bCs/>
      </w:rPr>
      <w:tblPr/>
      <w:tcPr>
        <w:tcBorders>
          <w:top w:val="nil"/>
          <w:bottom w:val="single" w:sz="12" w:space="0" w:color="B9E370" w:themeColor="accent1" w:themeTint="99"/>
          <w:insideH w:val="nil"/>
          <w:insideV w:val="nil"/>
        </w:tcBorders>
        <w:shd w:val="clear" w:color="auto" w:fill="FFFFFF" w:themeFill="background1"/>
      </w:tcPr>
    </w:tblStylePr>
    <w:tblStylePr w:type="lastRow">
      <w:rPr>
        <w:b/>
        <w:bCs/>
      </w:rPr>
      <w:tblPr/>
      <w:tcPr>
        <w:tcBorders>
          <w:top w:val="double" w:sz="2" w:space="0" w:color="B9E37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customStyle="1" w:styleId="GridTable2-Accent21">
    <w:name w:val="Grid Table 2 - Accent 21"/>
    <w:basedOn w:val="TableNormal"/>
    <w:uiPriority w:val="47"/>
    <w:rsid w:val="000116B0"/>
    <w:pPr>
      <w:spacing w:line="240" w:lineRule="auto"/>
    </w:pPr>
    <w:tblPr>
      <w:tblStyleRowBandSize w:val="1"/>
      <w:tblStyleColBandSize w:val="1"/>
      <w:tblBorders>
        <w:top w:val="single" w:sz="2" w:space="0" w:color="17F689" w:themeColor="accent2" w:themeTint="99"/>
        <w:bottom w:val="single" w:sz="2" w:space="0" w:color="17F689" w:themeColor="accent2" w:themeTint="99"/>
        <w:insideH w:val="single" w:sz="2" w:space="0" w:color="17F689" w:themeColor="accent2" w:themeTint="99"/>
        <w:insideV w:val="single" w:sz="2" w:space="0" w:color="17F689" w:themeColor="accent2" w:themeTint="99"/>
      </w:tblBorders>
    </w:tblPr>
    <w:tblStylePr w:type="firstRow">
      <w:rPr>
        <w:b/>
        <w:bCs/>
      </w:rPr>
      <w:tblPr/>
      <w:tcPr>
        <w:tcBorders>
          <w:top w:val="nil"/>
          <w:bottom w:val="single" w:sz="12" w:space="0" w:color="17F689" w:themeColor="accent2" w:themeTint="99"/>
          <w:insideH w:val="nil"/>
          <w:insideV w:val="nil"/>
        </w:tcBorders>
        <w:shd w:val="clear" w:color="auto" w:fill="FFFFFF" w:themeFill="background1"/>
      </w:tcPr>
    </w:tblStylePr>
    <w:tblStylePr w:type="lastRow">
      <w:rPr>
        <w:b/>
        <w:bCs/>
      </w:rPr>
      <w:tblPr/>
      <w:tcPr>
        <w:tcBorders>
          <w:top w:val="double" w:sz="2" w:space="0" w:color="17F68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customStyle="1" w:styleId="GridTable2-Accent31">
    <w:name w:val="Grid Table 2 - Accent 31"/>
    <w:basedOn w:val="TableNormal"/>
    <w:uiPriority w:val="47"/>
    <w:rsid w:val="000116B0"/>
    <w:pPr>
      <w:spacing w:line="240" w:lineRule="auto"/>
    </w:pPr>
    <w:tblPr>
      <w:tblStyleRowBandSize w:val="1"/>
      <w:tblStyleColBandSize w:val="1"/>
      <w:tblBorders>
        <w:top w:val="single" w:sz="2" w:space="0" w:color="A0D2EF" w:themeColor="accent3" w:themeTint="99"/>
        <w:bottom w:val="single" w:sz="2" w:space="0" w:color="A0D2EF" w:themeColor="accent3" w:themeTint="99"/>
        <w:insideH w:val="single" w:sz="2" w:space="0" w:color="A0D2EF" w:themeColor="accent3" w:themeTint="99"/>
        <w:insideV w:val="single" w:sz="2" w:space="0" w:color="A0D2EF" w:themeColor="accent3" w:themeTint="99"/>
      </w:tblBorders>
    </w:tblPr>
    <w:tblStylePr w:type="firstRow">
      <w:rPr>
        <w:b/>
        <w:bCs/>
      </w:rPr>
      <w:tblPr/>
      <w:tcPr>
        <w:tcBorders>
          <w:top w:val="nil"/>
          <w:bottom w:val="single" w:sz="12" w:space="0" w:color="A0D2EF" w:themeColor="accent3" w:themeTint="99"/>
          <w:insideH w:val="nil"/>
          <w:insideV w:val="nil"/>
        </w:tcBorders>
        <w:shd w:val="clear" w:color="auto" w:fill="FFFFFF" w:themeFill="background1"/>
      </w:tcPr>
    </w:tblStylePr>
    <w:tblStylePr w:type="lastRow">
      <w:rPr>
        <w:b/>
        <w:bCs/>
      </w:rPr>
      <w:tblPr/>
      <w:tcPr>
        <w:tcBorders>
          <w:top w:val="double" w:sz="2" w:space="0" w:color="A0D2E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customStyle="1" w:styleId="GridTable2-Accent41">
    <w:name w:val="Grid Table 2 - Accent 41"/>
    <w:basedOn w:val="TableNormal"/>
    <w:uiPriority w:val="47"/>
    <w:rsid w:val="000116B0"/>
    <w:pPr>
      <w:spacing w:line="240" w:lineRule="auto"/>
    </w:pPr>
    <w:tblPr>
      <w:tblStyleRowBandSize w:val="1"/>
      <w:tblStyleColBandSize w:val="1"/>
      <w:tblBorders>
        <w:top w:val="single" w:sz="2" w:space="0" w:color="0E57FC" w:themeColor="accent4" w:themeTint="99"/>
        <w:bottom w:val="single" w:sz="2" w:space="0" w:color="0E57FC" w:themeColor="accent4" w:themeTint="99"/>
        <w:insideH w:val="single" w:sz="2" w:space="0" w:color="0E57FC" w:themeColor="accent4" w:themeTint="99"/>
        <w:insideV w:val="single" w:sz="2" w:space="0" w:color="0E57FC" w:themeColor="accent4" w:themeTint="99"/>
      </w:tblBorders>
    </w:tblPr>
    <w:tblStylePr w:type="firstRow">
      <w:rPr>
        <w:b/>
        <w:bCs/>
      </w:rPr>
      <w:tblPr/>
      <w:tcPr>
        <w:tcBorders>
          <w:top w:val="nil"/>
          <w:bottom w:val="single" w:sz="12" w:space="0" w:color="0E57FC" w:themeColor="accent4" w:themeTint="99"/>
          <w:insideH w:val="nil"/>
          <w:insideV w:val="nil"/>
        </w:tcBorders>
        <w:shd w:val="clear" w:color="auto" w:fill="FFFFFF" w:themeFill="background1"/>
      </w:tcPr>
    </w:tblStylePr>
    <w:tblStylePr w:type="lastRow">
      <w:rPr>
        <w:b/>
        <w:bCs/>
      </w:rPr>
      <w:tblPr/>
      <w:tcPr>
        <w:tcBorders>
          <w:top w:val="double" w:sz="2" w:space="0" w:color="0E57F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customStyle="1" w:styleId="GridTable2-Accent51">
    <w:name w:val="Grid Table 2 - Accent 51"/>
    <w:basedOn w:val="TableNormal"/>
    <w:uiPriority w:val="47"/>
    <w:rsid w:val="000116B0"/>
    <w:pPr>
      <w:spacing w:line="240" w:lineRule="auto"/>
    </w:pPr>
    <w:tblPr>
      <w:tblStyleRowBandSize w:val="1"/>
      <w:tblStyleColBandSize w:val="1"/>
      <w:tblBorders>
        <w:top w:val="single" w:sz="2" w:space="0" w:color="32E8FF" w:themeColor="accent5" w:themeTint="99"/>
        <w:bottom w:val="single" w:sz="2" w:space="0" w:color="32E8FF" w:themeColor="accent5" w:themeTint="99"/>
        <w:insideH w:val="single" w:sz="2" w:space="0" w:color="32E8FF" w:themeColor="accent5" w:themeTint="99"/>
        <w:insideV w:val="single" w:sz="2" w:space="0" w:color="32E8FF" w:themeColor="accent5" w:themeTint="99"/>
      </w:tblBorders>
    </w:tblPr>
    <w:tblStylePr w:type="firstRow">
      <w:rPr>
        <w:b/>
        <w:bCs/>
      </w:rPr>
      <w:tblPr/>
      <w:tcPr>
        <w:tcBorders>
          <w:top w:val="nil"/>
          <w:bottom w:val="single" w:sz="12" w:space="0" w:color="32E8FF" w:themeColor="accent5" w:themeTint="99"/>
          <w:insideH w:val="nil"/>
          <w:insideV w:val="nil"/>
        </w:tcBorders>
        <w:shd w:val="clear" w:color="auto" w:fill="FFFFFF" w:themeFill="background1"/>
      </w:tcPr>
    </w:tblStylePr>
    <w:tblStylePr w:type="lastRow">
      <w:rPr>
        <w:b/>
        <w:bCs/>
      </w:rPr>
      <w:tblPr/>
      <w:tcPr>
        <w:tcBorders>
          <w:top w:val="double" w:sz="2" w:space="0" w:color="32E8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customStyle="1" w:styleId="GridTable2-Accent61">
    <w:name w:val="Grid Table 2 - Accent 61"/>
    <w:basedOn w:val="TableNormal"/>
    <w:uiPriority w:val="47"/>
    <w:rsid w:val="000116B0"/>
    <w:pPr>
      <w:spacing w:line="240" w:lineRule="auto"/>
    </w:pPr>
    <w:tblPr>
      <w:tblStyleRowBandSize w:val="1"/>
      <w:tblStyleColBandSize w:val="1"/>
      <w:tblBorders>
        <w:top w:val="single" w:sz="2" w:space="0" w:color="ABADB0" w:themeColor="accent6" w:themeTint="99"/>
        <w:bottom w:val="single" w:sz="2" w:space="0" w:color="ABADB0" w:themeColor="accent6" w:themeTint="99"/>
        <w:insideH w:val="single" w:sz="2" w:space="0" w:color="ABADB0" w:themeColor="accent6" w:themeTint="99"/>
        <w:insideV w:val="single" w:sz="2" w:space="0" w:color="ABADB0" w:themeColor="accent6" w:themeTint="99"/>
      </w:tblBorders>
    </w:tblPr>
    <w:tblStylePr w:type="firstRow">
      <w:rPr>
        <w:b/>
        <w:bCs/>
      </w:rPr>
      <w:tblPr/>
      <w:tcPr>
        <w:tcBorders>
          <w:top w:val="nil"/>
          <w:bottom w:val="single" w:sz="12" w:space="0" w:color="ABADB0" w:themeColor="accent6" w:themeTint="99"/>
          <w:insideH w:val="nil"/>
          <w:insideV w:val="nil"/>
        </w:tcBorders>
        <w:shd w:val="clear" w:color="auto" w:fill="FFFFFF" w:themeFill="background1"/>
      </w:tcPr>
    </w:tblStylePr>
    <w:tblStylePr w:type="lastRow">
      <w:rPr>
        <w:b/>
        <w:bCs/>
      </w:rPr>
      <w:tblPr/>
      <w:tcPr>
        <w:tcBorders>
          <w:top w:val="double" w:sz="2" w:space="0" w:color="ABADB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customStyle="1" w:styleId="GridTable31">
    <w:name w:val="Grid Table 31"/>
    <w:basedOn w:val="TableNormal"/>
    <w:uiPriority w:val="48"/>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customStyle="1" w:styleId="GridTable3-Accent21">
    <w:name w:val="Grid Table 3 - Accent 21"/>
    <w:basedOn w:val="TableNormal"/>
    <w:uiPriority w:val="48"/>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customStyle="1" w:styleId="GridTable3-Accent31">
    <w:name w:val="Grid Table 3 - Accent 31"/>
    <w:basedOn w:val="TableNormal"/>
    <w:uiPriority w:val="48"/>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customStyle="1" w:styleId="GridTable3-Accent41">
    <w:name w:val="Grid Table 3 - Accent 41"/>
    <w:basedOn w:val="TableNormal"/>
    <w:uiPriority w:val="48"/>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customStyle="1" w:styleId="GridTable3-Accent51">
    <w:name w:val="Grid Table 3 - Accent 51"/>
    <w:basedOn w:val="TableNormal"/>
    <w:uiPriority w:val="48"/>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customStyle="1" w:styleId="GridTable3-Accent61">
    <w:name w:val="Grid Table 3 - Accent 61"/>
    <w:basedOn w:val="TableNormal"/>
    <w:uiPriority w:val="48"/>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customStyle="1" w:styleId="GridTable41">
    <w:name w:val="Grid Table 41"/>
    <w:basedOn w:val="TableNormal"/>
    <w:uiPriority w:val="49"/>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insideV w:val="nil"/>
        </w:tcBorders>
        <w:shd w:val="clear" w:color="auto" w:fill="86BC25" w:themeFill="accent1"/>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customStyle="1" w:styleId="GridTable4-Accent21">
    <w:name w:val="Grid Table 4 - Accent 21"/>
    <w:basedOn w:val="TableNormal"/>
    <w:uiPriority w:val="49"/>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insideV w:val="nil"/>
        </w:tcBorders>
        <w:shd w:val="clear" w:color="auto" w:fill="046A38" w:themeFill="accent2"/>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customStyle="1" w:styleId="GridTable4-Accent31">
    <w:name w:val="Grid Table 4 - Accent 31"/>
    <w:basedOn w:val="TableNormal"/>
    <w:uiPriority w:val="49"/>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insideV w:val="nil"/>
        </w:tcBorders>
        <w:shd w:val="clear" w:color="auto" w:fill="62B5E5" w:themeFill="accent3"/>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customStyle="1" w:styleId="GridTable4-Accent41">
    <w:name w:val="Grid Table 4 - Accent 41"/>
    <w:basedOn w:val="TableNormal"/>
    <w:uiPriority w:val="49"/>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insideV w:val="nil"/>
        </w:tcBorders>
        <w:shd w:val="clear" w:color="auto" w:fill="012169" w:themeFill="accent4"/>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customStyle="1" w:styleId="GridTable4-Accent51">
    <w:name w:val="Grid Table 4 - Accent 51"/>
    <w:basedOn w:val="TableNormal"/>
    <w:uiPriority w:val="49"/>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insideV w:val="nil"/>
        </w:tcBorders>
        <w:shd w:val="clear" w:color="auto" w:fill="0097A9" w:themeFill="accent5"/>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customStyle="1" w:styleId="GridTable4-Accent61">
    <w:name w:val="Grid Table 4 - Accent 61"/>
    <w:basedOn w:val="TableNormal"/>
    <w:uiPriority w:val="49"/>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insideV w:val="nil"/>
        </w:tcBorders>
        <w:shd w:val="clear" w:color="auto" w:fill="75787B" w:themeFill="accent6"/>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customStyle="1" w:styleId="GridTable5Dark1">
    <w:name w:val="Grid Table 5 Dark1"/>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C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C2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C2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C2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C25" w:themeFill="accent1"/>
      </w:tcPr>
    </w:tblStylePr>
    <w:tblStylePr w:type="band1Vert">
      <w:tblPr/>
      <w:tcPr>
        <w:shd w:val="clear" w:color="auto" w:fill="D0EC9F" w:themeFill="accent1" w:themeFillTint="66"/>
      </w:tcPr>
    </w:tblStylePr>
    <w:tblStylePr w:type="band1Horz">
      <w:tblPr/>
      <w:tcPr>
        <w:shd w:val="clear" w:color="auto" w:fill="D0EC9F" w:themeFill="accent1" w:themeFillTint="66"/>
      </w:tcPr>
    </w:tblStylePr>
  </w:style>
  <w:style w:type="table" w:customStyle="1" w:styleId="GridTable5Dark-Accent21">
    <w:name w:val="Grid Table 5 Dark - Accent 21"/>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FC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46A3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46A3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46A3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46A38" w:themeFill="accent2"/>
      </w:tcPr>
    </w:tblStylePr>
    <w:tblStylePr w:type="band1Vert">
      <w:tblPr/>
      <w:tcPr>
        <w:shd w:val="clear" w:color="auto" w:fill="64F9B0" w:themeFill="accent2" w:themeFillTint="66"/>
      </w:tcPr>
    </w:tblStylePr>
    <w:tblStylePr w:type="band1Horz">
      <w:tblPr/>
      <w:tcPr>
        <w:shd w:val="clear" w:color="auto" w:fill="64F9B0" w:themeFill="accent2" w:themeFillTint="66"/>
      </w:tcPr>
    </w:tblStylePr>
  </w:style>
  <w:style w:type="table" w:customStyle="1" w:styleId="GridTable5Dark-Accent31">
    <w:name w:val="Grid Table 5 Dark - Accent 31"/>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F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B5E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B5E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B5E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B5E5" w:themeFill="accent3"/>
      </w:tcPr>
    </w:tblStylePr>
    <w:tblStylePr w:type="band1Vert">
      <w:tblPr/>
      <w:tcPr>
        <w:shd w:val="clear" w:color="auto" w:fill="C0E1F4" w:themeFill="accent3" w:themeFillTint="66"/>
      </w:tcPr>
    </w:tblStylePr>
    <w:tblStylePr w:type="band1Horz">
      <w:tblPr/>
      <w:tcPr>
        <w:shd w:val="clear" w:color="auto" w:fill="C0E1F4" w:themeFill="accent3" w:themeFillTint="66"/>
      </w:tcPr>
    </w:tblStylePr>
  </w:style>
  <w:style w:type="table" w:customStyle="1" w:styleId="GridTable5Dark-Accent41">
    <w:name w:val="Grid Table 5 Dark - Accent 41"/>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C7F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1216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1216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1216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12169" w:themeFill="accent4"/>
      </w:tcPr>
    </w:tblStylePr>
    <w:tblStylePr w:type="band1Vert">
      <w:tblPr/>
      <w:tcPr>
        <w:shd w:val="clear" w:color="auto" w:fill="5E8FFD" w:themeFill="accent4" w:themeFillTint="66"/>
      </w:tcPr>
    </w:tblStylePr>
    <w:tblStylePr w:type="band1Horz">
      <w:tblPr/>
      <w:tcPr>
        <w:shd w:val="clear" w:color="auto" w:fill="5E8FFD" w:themeFill="accent4" w:themeFillTint="66"/>
      </w:tcPr>
    </w:tblStylePr>
  </w:style>
  <w:style w:type="table" w:customStyle="1" w:styleId="GridTable5Dark-Accent51">
    <w:name w:val="Grid Table 5 Dark - Accent 51"/>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7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7A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7A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7A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7A9" w:themeFill="accent5"/>
      </w:tcPr>
    </w:tblStylePr>
    <w:tblStylePr w:type="band1Vert">
      <w:tblPr/>
      <w:tcPr>
        <w:shd w:val="clear" w:color="auto" w:fill="76EFFF" w:themeFill="accent5" w:themeFillTint="66"/>
      </w:tcPr>
    </w:tblStylePr>
    <w:tblStylePr w:type="band1Horz">
      <w:tblPr/>
      <w:tcPr>
        <w:shd w:val="clear" w:color="auto" w:fill="76EFFF" w:themeFill="accent5" w:themeFillTint="66"/>
      </w:tcPr>
    </w:tblStylePr>
  </w:style>
  <w:style w:type="table" w:customStyle="1" w:styleId="GridTable5Dark-Accent61">
    <w:name w:val="Grid Table 5 Dark - Accent 61"/>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3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787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787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787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787B" w:themeFill="accent6"/>
      </w:tcPr>
    </w:tblStylePr>
    <w:tblStylePr w:type="band1Vert">
      <w:tblPr/>
      <w:tcPr>
        <w:shd w:val="clear" w:color="auto" w:fill="C7C8CA" w:themeFill="accent6" w:themeFillTint="66"/>
      </w:tcPr>
    </w:tblStylePr>
    <w:tblStylePr w:type="band1Horz">
      <w:tblPr/>
      <w:tcPr>
        <w:shd w:val="clear" w:color="auto" w:fill="C7C8CA" w:themeFill="accent6" w:themeFillTint="66"/>
      </w:tcPr>
    </w:tblStylePr>
  </w:style>
  <w:style w:type="table" w:customStyle="1" w:styleId="GridTable6Colorful1">
    <w:name w:val="Grid Table 6 Colorful1"/>
    <w:basedOn w:val="TableNormal"/>
    <w:uiPriority w:val="51"/>
    <w:rsid w:val="000116B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0116B0"/>
    <w:pPr>
      <w:spacing w:line="240" w:lineRule="auto"/>
    </w:pPr>
    <w:rPr>
      <w:color w:val="638C1B" w:themeColor="accent1" w:themeShade="BF"/>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customStyle="1" w:styleId="GridTable6Colorful-Accent21">
    <w:name w:val="Grid Table 6 Colorful - Accent 21"/>
    <w:basedOn w:val="TableNormal"/>
    <w:uiPriority w:val="51"/>
    <w:rsid w:val="000116B0"/>
    <w:pPr>
      <w:spacing w:line="240" w:lineRule="auto"/>
    </w:pPr>
    <w:rPr>
      <w:color w:val="034F29" w:themeColor="accent2" w:themeShade="BF"/>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customStyle="1" w:styleId="GridTable6Colorful-Accent31">
    <w:name w:val="Grid Table 6 Colorful - Accent 31"/>
    <w:basedOn w:val="TableNormal"/>
    <w:uiPriority w:val="51"/>
    <w:rsid w:val="000116B0"/>
    <w:pPr>
      <w:spacing w:line="240" w:lineRule="auto"/>
    </w:pPr>
    <w:rPr>
      <w:color w:val="2291D1" w:themeColor="accent3" w:themeShade="BF"/>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customStyle="1" w:styleId="GridTable6Colorful-Accent41">
    <w:name w:val="Grid Table 6 Colorful - Accent 41"/>
    <w:basedOn w:val="TableNormal"/>
    <w:uiPriority w:val="51"/>
    <w:rsid w:val="000116B0"/>
    <w:pPr>
      <w:spacing w:line="240" w:lineRule="auto"/>
    </w:pPr>
    <w:rPr>
      <w:color w:val="00184E" w:themeColor="accent4" w:themeShade="BF"/>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customStyle="1" w:styleId="GridTable6Colorful-Accent51">
    <w:name w:val="Grid Table 6 Colorful - Accent 51"/>
    <w:basedOn w:val="TableNormal"/>
    <w:uiPriority w:val="51"/>
    <w:rsid w:val="000116B0"/>
    <w:pPr>
      <w:spacing w:line="240" w:lineRule="auto"/>
    </w:pPr>
    <w:rPr>
      <w:color w:val="00707E" w:themeColor="accent5" w:themeShade="BF"/>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customStyle="1" w:styleId="GridTable6Colorful-Accent61">
    <w:name w:val="Grid Table 6 Colorful - Accent 61"/>
    <w:basedOn w:val="TableNormal"/>
    <w:uiPriority w:val="51"/>
    <w:rsid w:val="000116B0"/>
    <w:pPr>
      <w:spacing w:line="240" w:lineRule="auto"/>
    </w:pPr>
    <w:rPr>
      <w:color w:val="57595C" w:themeColor="accent6" w:themeShade="BF"/>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customStyle="1" w:styleId="GridTable7Colorful1">
    <w:name w:val="Grid Table 7 Colorful1"/>
    <w:basedOn w:val="TableNormal"/>
    <w:uiPriority w:val="52"/>
    <w:rsid w:val="000116B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0116B0"/>
    <w:pPr>
      <w:spacing w:line="240" w:lineRule="auto"/>
    </w:pPr>
    <w:rPr>
      <w:color w:val="638C1B" w:themeColor="accent1" w:themeShade="BF"/>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customStyle="1" w:styleId="GridTable7Colorful-Accent21">
    <w:name w:val="Grid Table 7 Colorful - Accent 21"/>
    <w:basedOn w:val="TableNormal"/>
    <w:uiPriority w:val="52"/>
    <w:rsid w:val="000116B0"/>
    <w:pPr>
      <w:spacing w:line="240" w:lineRule="auto"/>
    </w:pPr>
    <w:rPr>
      <w:color w:val="034F29" w:themeColor="accent2" w:themeShade="BF"/>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customStyle="1" w:styleId="GridTable7Colorful-Accent31">
    <w:name w:val="Grid Table 7 Colorful - Accent 31"/>
    <w:basedOn w:val="TableNormal"/>
    <w:uiPriority w:val="52"/>
    <w:rsid w:val="000116B0"/>
    <w:pPr>
      <w:spacing w:line="240" w:lineRule="auto"/>
    </w:pPr>
    <w:rPr>
      <w:color w:val="2291D1" w:themeColor="accent3" w:themeShade="BF"/>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customStyle="1" w:styleId="GridTable7Colorful-Accent41">
    <w:name w:val="Grid Table 7 Colorful - Accent 41"/>
    <w:basedOn w:val="TableNormal"/>
    <w:uiPriority w:val="52"/>
    <w:rsid w:val="000116B0"/>
    <w:pPr>
      <w:spacing w:line="240" w:lineRule="auto"/>
    </w:pPr>
    <w:rPr>
      <w:color w:val="00184E" w:themeColor="accent4" w:themeShade="BF"/>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customStyle="1" w:styleId="GridTable7Colorful-Accent51">
    <w:name w:val="Grid Table 7 Colorful - Accent 51"/>
    <w:basedOn w:val="TableNormal"/>
    <w:uiPriority w:val="52"/>
    <w:rsid w:val="000116B0"/>
    <w:pPr>
      <w:spacing w:line="240" w:lineRule="auto"/>
    </w:pPr>
    <w:rPr>
      <w:color w:val="00707E" w:themeColor="accent5" w:themeShade="BF"/>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customStyle="1" w:styleId="GridTable7Colorful-Accent61">
    <w:name w:val="Grid Table 7 Colorful - Accent 61"/>
    <w:basedOn w:val="TableNormal"/>
    <w:uiPriority w:val="52"/>
    <w:rsid w:val="000116B0"/>
    <w:pPr>
      <w:spacing w:line="240" w:lineRule="auto"/>
    </w:pPr>
    <w:rPr>
      <w:color w:val="57595C" w:themeColor="accent6" w:themeShade="BF"/>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customStyle="1" w:styleId="ListTable1Light1">
    <w:name w:val="List Table 1 Light1"/>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B9E370" w:themeColor="accent1" w:themeTint="99"/>
        </w:tcBorders>
      </w:tcPr>
    </w:tblStylePr>
    <w:tblStylePr w:type="lastRow">
      <w:rPr>
        <w:b/>
        <w:bCs/>
      </w:rPr>
      <w:tblPr/>
      <w:tcPr>
        <w:tcBorders>
          <w:top w:val="sing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customStyle="1" w:styleId="ListTable1Light-Accent21">
    <w:name w:val="List Table 1 Light - Accent 21"/>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17F689" w:themeColor="accent2" w:themeTint="99"/>
        </w:tcBorders>
      </w:tcPr>
    </w:tblStylePr>
    <w:tblStylePr w:type="lastRow">
      <w:rPr>
        <w:b/>
        <w:bCs/>
      </w:rPr>
      <w:tblPr/>
      <w:tcPr>
        <w:tcBorders>
          <w:top w:val="sing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customStyle="1" w:styleId="ListTable1Light-Accent31">
    <w:name w:val="List Table 1 Light - Accent 31"/>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A0D2EF" w:themeColor="accent3" w:themeTint="99"/>
        </w:tcBorders>
      </w:tcPr>
    </w:tblStylePr>
    <w:tblStylePr w:type="lastRow">
      <w:rPr>
        <w:b/>
        <w:bCs/>
      </w:rPr>
      <w:tblPr/>
      <w:tcPr>
        <w:tcBorders>
          <w:top w:val="sing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customStyle="1" w:styleId="ListTable1Light-Accent41">
    <w:name w:val="List Table 1 Light - Accent 41"/>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0E57FC" w:themeColor="accent4" w:themeTint="99"/>
        </w:tcBorders>
      </w:tcPr>
    </w:tblStylePr>
    <w:tblStylePr w:type="lastRow">
      <w:rPr>
        <w:b/>
        <w:bCs/>
      </w:rPr>
      <w:tblPr/>
      <w:tcPr>
        <w:tcBorders>
          <w:top w:val="sing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customStyle="1" w:styleId="ListTable1Light-Accent51">
    <w:name w:val="List Table 1 Light - Accent 51"/>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32E8FF" w:themeColor="accent5" w:themeTint="99"/>
        </w:tcBorders>
      </w:tcPr>
    </w:tblStylePr>
    <w:tblStylePr w:type="lastRow">
      <w:rPr>
        <w:b/>
        <w:bCs/>
      </w:rPr>
      <w:tblPr/>
      <w:tcPr>
        <w:tcBorders>
          <w:top w:val="sing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customStyle="1" w:styleId="ListTable1Light-Accent61">
    <w:name w:val="List Table 1 Light - Accent 61"/>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ABADB0" w:themeColor="accent6" w:themeTint="99"/>
        </w:tcBorders>
      </w:tcPr>
    </w:tblStylePr>
    <w:tblStylePr w:type="lastRow">
      <w:rPr>
        <w:b/>
        <w:bCs/>
      </w:rPr>
      <w:tblPr/>
      <w:tcPr>
        <w:tcBorders>
          <w:top w:val="sing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customStyle="1" w:styleId="ListTable21">
    <w:name w:val="List Table 21"/>
    <w:basedOn w:val="TableNormal"/>
    <w:uiPriority w:val="47"/>
    <w:rsid w:val="000116B0"/>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0116B0"/>
    <w:pPr>
      <w:spacing w:line="240" w:lineRule="auto"/>
    </w:pPr>
    <w:tblPr>
      <w:tblStyleRowBandSize w:val="1"/>
      <w:tblStyleColBandSize w:val="1"/>
      <w:tblBorders>
        <w:top w:val="single" w:sz="4" w:space="0" w:color="B9E370" w:themeColor="accent1" w:themeTint="99"/>
        <w:bottom w:val="single" w:sz="4" w:space="0" w:color="B9E370" w:themeColor="accent1" w:themeTint="99"/>
        <w:insideH w:val="single" w:sz="4" w:space="0" w:color="B9E37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customStyle="1" w:styleId="ListTable2-Accent21">
    <w:name w:val="List Table 2 - Accent 21"/>
    <w:basedOn w:val="TableNormal"/>
    <w:uiPriority w:val="47"/>
    <w:rsid w:val="000116B0"/>
    <w:pPr>
      <w:spacing w:line="240" w:lineRule="auto"/>
    </w:pPr>
    <w:tblPr>
      <w:tblStyleRowBandSize w:val="1"/>
      <w:tblStyleColBandSize w:val="1"/>
      <w:tblBorders>
        <w:top w:val="single" w:sz="4" w:space="0" w:color="17F689" w:themeColor="accent2" w:themeTint="99"/>
        <w:bottom w:val="single" w:sz="4" w:space="0" w:color="17F689" w:themeColor="accent2" w:themeTint="99"/>
        <w:insideH w:val="single" w:sz="4" w:space="0" w:color="17F68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customStyle="1" w:styleId="ListTable2-Accent31">
    <w:name w:val="List Table 2 - Accent 31"/>
    <w:basedOn w:val="TableNormal"/>
    <w:uiPriority w:val="47"/>
    <w:rsid w:val="000116B0"/>
    <w:pPr>
      <w:spacing w:line="240" w:lineRule="auto"/>
    </w:pPr>
    <w:tblPr>
      <w:tblStyleRowBandSize w:val="1"/>
      <w:tblStyleColBandSize w:val="1"/>
      <w:tblBorders>
        <w:top w:val="single" w:sz="4" w:space="0" w:color="A0D2EF" w:themeColor="accent3" w:themeTint="99"/>
        <w:bottom w:val="single" w:sz="4" w:space="0" w:color="A0D2EF" w:themeColor="accent3" w:themeTint="99"/>
        <w:insideH w:val="single" w:sz="4" w:space="0" w:color="A0D2E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customStyle="1" w:styleId="ListTable2-Accent41">
    <w:name w:val="List Table 2 - Accent 41"/>
    <w:basedOn w:val="TableNormal"/>
    <w:uiPriority w:val="47"/>
    <w:rsid w:val="000116B0"/>
    <w:pPr>
      <w:spacing w:line="240" w:lineRule="auto"/>
    </w:pPr>
    <w:tblPr>
      <w:tblStyleRowBandSize w:val="1"/>
      <w:tblStyleColBandSize w:val="1"/>
      <w:tblBorders>
        <w:top w:val="single" w:sz="4" w:space="0" w:color="0E57FC" w:themeColor="accent4" w:themeTint="99"/>
        <w:bottom w:val="single" w:sz="4" w:space="0" w:color="0E57FC" w:themeColor="accent4" w:themeTint="99"/>
        <w:insideH w:val="single" w:sz="4" w:space="0" w:color="0E57F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customStyle="1" w:styleId="ListTable2-Accent51">
    <w:name w:val="List Table 2 - Accent 51"/>
    <w:basedOn w:val="TableNormal"/>
    <w:uiPriority w:val="47"/>
    <w:rsid w:val="000116B0"/>
    <w:pPr>
      <w:spacing w:line="240" w:lineRule="auto"/>
    </w:pPr>
    <w:tblPr>
      <w:tblStyleRowBandSize w:val="1"/>
      <w:tblStyleColBandSize w:val="1"/>
      <w:tblBorders>
        <w:top w:val="single" w:sz="4" w:space="0" w:color="32E8FF" w:themeColor="accent5" w:themeTint="99"/>
        <w:bottom w:val="single" w:sz="4" w:space="0" w:color="32E8FF" w:themeColor="accent5" w:themeTint="99"/>
        <w:insideH w:val="single" w:sz="4" w:space="0" w:color="32E8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customStyle="1" w:styleId="ListTable2-Accent61">
    <w:name w:val="List Table 2 - Accent 61"/>
    <w:basedOn w:val="TableNormal"/>
    <w:uiPriority w:val="47"/>
    <w:rsid w:val="000116B0"/>
    <w:pPr>
      <w:spacing w:line="240" w:lineRule="auto"/>
    </w:pPr>
    <w:tblPr>
      <w:tblStyleRowBandSize w:val="1"/>
      <w:tblStyleColBandSize w:val="1"/>
      <w:tblBorders>
        <w:top w:val="single" w:sz="4" w:space="0" w:color="ABADB0" w:themeColor="accent6" w:themeTint="99"/>
        <w:bottom w:val="single" w:sz="4" w:space="0" w:color="ABADB0" w:themeColor="accent6" w:themeTint="99"/>
        <w:insideH w:val="single" w:sz="4" w:space="0" w:color="ABADB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customStyle="1" w:styleId="ListTable31">
    <w:name w:val="List Table 31"/>
    <w:basedOn w:val="TableNormal"/>
    <w:uiPriority w:val="48"/>
    <w:rsid w:val="000116B0"/>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0116B0"/>
    <w:pPr>
      <w:spacing w:line="240" w:lineRule="auto"/>
    </w:pPr>
    <w:tblPr>
      <w:tblStyleRowBandSize w:val="1"/>
      <w:tblStyleColBandSize w:val="1"/>
      <w:tblBorders>
        <w:top w:val="single" w:sz="4" w:space="0" w:color="86BC25" w:themeColor="accent1"/>
        <w:left w:val="single" w:sz="4" w:space="0" w:color="86BC25" w:themeColor="accent1"/>
        <w:bottom w:val="single" w:sz="4" w:space="0" w:color="86BC25" w:themeColor="accent1"/>
        <w:right w:val="single" w:sz="4" w:space="0" w:color="86BC25" w:themeColor="accent1"/>
      </w:tblBorders>
    </w:tblPr>
    <w:tblStylePr w:type="firstRow">
      <w:rPr>
        <w:b/>
        <w:bCs/>
        <w:color w:val="FFFFFF" w:themeColor="background1"/>
      </w:rPr>
      <w:tblPr/>
      <w:tcPr>
        <w:shd w:val="clear" w:color="auto" w:fill="86BC25" w:themeFill="accent1"/>
      </w:tcPr>
    </w:tblStylePr>
    <w:tblStylePr w:type="lastRow">
      <w:rPr>
        <w:b/>
        <w:bCs/>
      </w:rPr>
      <w:tblPr/>
      <w:tcPr>
        <w:tcBorders>
          <w:top w:val="double" w:sz="4" w:space="0" w:color="86BC2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C25" w:themeColor="accent1"/>
          <w:right w:val="single" w:sz="4" w:space="0" w:color="86BC25" w:themeColor="accent1"/>
        </w:tcBorders>
      </w:tcPr>
    </w:tblStylePr>
    <w:tblStylePr w:type="band1Horz">
      <w:tblPr/>
      <w:tcPr>
        <w:tcBorders>
          <w:top w:val="single" w:sz="4" w:space="0" w:color="86BC25" w:themeColor="accent1"/>
          <w:bottom w:val="single" w:sz="4" w:space="0" w:color="86BC2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themeColor="accent1"/>
          <w:left w:val="nil"/>
        </w:tcBorders>
      </w:tcPr>
    </w:tblStylePr>
    <w:tblStylePr w:type="swCell">
      <w:tblPr/>
      <w:tcPr>
        <w:tcBorders>
          <w:top w:val="double" w:sz="4" w:space="0" w:color="86BC25" w:themeColor="accent1"/>
          <w:right w:val="nil"/>
        </w:tcBorders>
      </w:tcPr>
    </w:tblStylePr>
  </w:style>
  <w:style w:type="table" w:customStyle="1" w:styleId="ListTable3-Accent21">
    <w:name w:val="List Table 3 - Accent 21"/>
    <w:basedOn w:val="TableNormal"/>
    <w:uiPriority w:val="48"/>
    <w:rsid w:val="000116B0"/>
    <w:pPr>
      <w:spacing w:line="240" w:lineRule="auto"/>
    </w:pPr>
    <w:tblPr>
      <w:tblStyleRowBandSize w:val="1"/>
      <w:tblStyleColBandSize w:val="1"/>
      <w:tblBorders>
        <w:top w:val="single" w:sz="4" w:space="0" w:color="046A38" w:themeColor="accent2"/>
        <w:left w:val="single" w:sz="4" w:space="0" w:color="046A38" w:themeColor="accent2"/>
        <w:bottom w:val="single" w:sz="4" w:space="0" w:color="046A38" w:themeColor="accent2"/>
        <w:right w:val="single" w:sz="4" w:space="0" w:color="046A38" w:themeColor="accent2"/>
      </w:tblBorders>
    </w:tblPr>
    <w:tblStylePr w:type="firstRow">
      <w:rPr>
        <w:b/>
        <w:bCs/>
        <w:color w:val="FFFFFF" w:themeColor="background1"/>
      </w:rPr>
      <w:tblPr/>
      <w:tcPr>
        <w:shd w:val="clear" w:color="auto" w:fill="046A38" w:themeFill="accent2"/>
      </w:tcPr>
    </w:tblStylePr>
    <w:tblStylePr w:type="lastRow">
      <w:rPr>
        <w:b/>
        <w:bCs/>
      </w:rPr>
      <w:tblPr/>
      <w:tcPr>
        <w:tcBorders>
          <w:top w:val="double" w:sz="4" w:space="0" w:color="046A3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6A38" w:themeColor="accent2"/>
          <w:right w:val="single" w:sz="4" w:space="0" w:color="046A38" w:themeColor="accent2"/>
        </w:tcBorders>
      </w:tcPr>
    </w:tblStylePr>
    <w:tblStylePr w:type="band1Horz">
      <w:tblPr/>
      <w:tcPr>
        <w:tcBorders>
          <w:top w:val="single" w:sz="4" w:space="0" w:color="046A38" w:themeColor="accent2"/>
          <w:bottom w:val="single" w:sz="4" w:space="0" w:color="046A3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6A38" w:themeColor="accent2"/>
          <w:left w:val="nil"/>
        </w:tcBorders>
      </w:tcPr>
    </w:tblStylePr>
    <w:tblStylePr w:type="swCell">
      <w:tblPr/>
      <w:tcPr>
        <w:tcBorders>
          <w:top w:val="double" w:sz="4" w:space="0" w:color="046A38" w:themeColor="accent2"/>
          <w:right w:val="nil"/>
        </w:tcBorders>
      </w:tcPr>
    </w:tblStylePr>
  </w:style>
  <w:style w:type="table" w:customStyle="1" w:styleId="ListTable3-Accent31">
    <w:name w:val="List Table 3 - Accent 31"/>
    <w:basedOn w:val="TableNormal"/>
    <w:uiPriority w:val="48"/>
    <w:rsid w:val="000116B0"/>
    <w:pPr>
      <w:spacing w:line="240" w:lineRule="auto"/>
    </w:pPr>
    <w:tblPr>
      <w:tblStyleRowBandSize w:val="1"/>
      <w:tblStyleColBandSize w:val="1"/>
      <w:tblBorders>
        <w:top w:val="single" w:sz="4" w:space="0" w:color="62B5E5" w:themeColor="accent3"/>
        <w:left w:val="single" w:sz="4" w:space="0" w:color="62B5E5" w:themeColor="accent3"/>
        <w:bottom w:val="single" w:sz="4" w:space="0" w:color="62B5E5" w:themeColor="accent3"/>
        <w:right w:val="single" w:sz="4" w:space="0" w:color="62B5E5" w:themeColor="accent3"/>
      </w:tblBorders>
    </w:tblPr>
    <w:tblStylePr w:type="firstRow">
      <w:rPr>
        <w:b/>
        <w:bCs/>
        <w:color w:val="FFFFFF" w:themeColor="background1"/>
      </w:rPr>
      <w:tblPr/>
      <w:tcPr>
        <w:shd w:val="clear" w:color="auto" w:fill="62B5E5" w:themeFill="accent3"/>
      </w:tcPr>
    </w:tblStylePr>
    <w:tblStylePr w:type="lastRow">
      <w:rPr>
        <w:b/>
        <w:bCs/>
      </w:rPr>
      <w:tblPr/>
      <w:tcPr>
        <w:tcBorders>
          <w:top w:val="double" w:sz="4" w:space="0" w:color="62B5E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B5E5" w:themeColor="accent3"/>
          <w:right w:val="single" w:sz="4" w:space="0" w:color="62B5E5" w:themeColor="accent3"/>
        </w:tcBorders>
      </w:tcPr>
    </w:tblStylePr>
    <w:tblStylePr w:type="band1Horz">
      <w:tblPr/>
      <w:tcPr>
        <w:tcBorders>
          <w:top w:val="single" w:sz="4" w:space="0" w:color="62B5E5" w:themeColor="accent3"/>
          <w:bottom w:val="single" w:sz="4" w:space="0" w:color="62B5E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B5E5" w:themeColor="accent3"/>
          <w:left w:val="nil"/>
        </w:tcBorders>
      </w:tcPr>
    </w:tblStylePr>
    <w:tblStylePr w:type="swCell">
      <w:tblPr/>
      <w:tcPr>
        <w:tcBorders>
          <w:top w:val="double" w:sz="4" w:space="0" w:color="62B5E5" w:themeColor="accent3"/>
          <w:right w:val="nil"/>
        </w:tcBorders>
      </w:tcPr>
    </w:tblStylePr>
  </w:style>
  <w:style w:type="table" w:customStyle="1" w:styleId="ListTable3-Accent41">
    <w:name w:val="List Table 3 - Accent 41"/>
    <w:basedOn w:val="TableNormal"/>
    <w:uiPriority w:val="48"/>
    <w:rsid w:val="000116B0"/>
    <w:pPr>
      <w:spacing w:line="240" w:lineRule="auto"/>
    </w:pPr>
    <w:tblPr>
      <w:tblStyleRowBandSize w:val="1"/>
      <w:tblStyleColBandSize w:val="1"/>
      <w:tblBorders>
        <w:top w:val="single" w:sz="4" w:space="0" w:color="012169" w:themeColor="accent4"/>
        <w:left w:val="single" w:sz="4" w:space="0" w:color="012169" w:themeColor="accent4"/>
        <w:bottom w:val="single" w:sz="4" w:space="0" w:color="012169" w:themeColor="accent4"/>
        <w:right w:val="single" w:sz="4" w:space="0" w:color="012169" w:themeColor="accent4"/>
      </w:tblBorders>
    </w:tblPr>
    <w:tblStylePr w:type="firstRow">
      <w:rPr>
        <w:b/>
        <w:bCs/>
        <w:color w:val="FFFFFF" w:themeColor="background1"/>
      </w:rPr>
      <w:tblPr/>
      <w:tcPr>
        <w:shd w:val="clear" w:color="auto" w:fill="012169" w:themeFill="accent4"/>
      </w:tcPr>
    </w:tblStylePr>
    <w:tblStylePr w:type="lastRow">
      <w:rPr>
        <w:b/>
        <w:bCs/>
      </w:rPr>
      <w:tblPr/>
      <w:tcPr>
        <w:tcBorders>
          <w:top w:val="double" w:sz="4" w:space="0" w:color="01216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12169" w:themeColor="accent4"/>
          <w:right w:val="single" w:sz="4" w:space="0" w:color="012169" w:themeColor="accent4"/>
        </w:tcBorders>
      </w:tcPr>
    </w:tblStylePr>
    <w:tblStylePr w:type="band1Horz">
      <w:tblPr/>
      <w:tcPr>
        <w:tcBorders>
          <w:top w:val="single" w:sz="4" w:space="0" w:color="012169" w:themeColor="accent4"/>
          <w:bottom w:val="single" w:sz="4" w:space="0" w:color="01216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2169" w:themeColor="accent4"/>
          <w:left w:val="nil"/>
        </w:tcBorders>
      </w:tcPr>
    </w:tblStylePr>
    <w:tblStylePr w:type="swCell">
      <w:tblPr/>
      <w:tcPr>
        <w:tcBorders>
          <w:top w:val="double" w:sz="4" w:space="0" w:color="012169" w:themeColor="accent4"/>
          <w:right w:val="nil"/>
        </w:tcBorders>
      </w:tcPr>
    </w:tblStylePr>
  </w:style>
  <w:style w:type="table" w:customStyle="1" w:styleId="ListTable3-Accent51">
    <w:name w:val="List Table 3 - Accent 51"/>
    <w:basedOn w:val="TableNormal"/>
    <w:uiPriority w:val="48"/>
    <w:rsid w:val="000116B0"/>
    <w:pPr>
      <w:spacing w:line="240" w:lineRule="auto"/>
    </w:pPr>
    <w:tblPr>
      <w:tblStyleRowBandSize w:val="1"/>
      <w:tblStyleColBandSize w:val="1"/>
      <w:tblBorders>
        <w:top w:val="single" w:sz="4" w:space="0" w:color="0097A9" w:themeColor="accent5"/>
        <w:left w:val="single" w:sz="4" w:space="0" w:color="0097A9" w:themeColor="accent5"/>
        <w:bottom w:val="single" w:sz="4" w:space="0" w:color="0097A9" w:themeColor="accent5"/>
        <w:right w:val="single" w:sz="4" w:space="0" w:color="0097A9" w:themeColor="accent5"/>
      </w:tblBorders>
    </w:tblPr>
    <w:tblStylePr w:type="firstRow">
      <w:rPr>
        <w:b/>
        <w:bCs/>
        <w:color w:val="FFFFFF" w:themeColor="background1"/>
      </w:rPr>
      <w:tblPr/>
      <w:tcPr>
        <w:shd w:val="clear" w:color="auto" w:fill="0097A9" w:themeFill="accent5"/>
      </w:tcPr>
    </w:tblStylePr>
    <w:tblStylePr w:type="lastRow">
      <w:rPr>
        <w:b/>
        <w:bCs/>
      </w:rPr>
      <w:tblPr/>
      <w:tcPr>
        <w:tcBorders>
          <w:top w:val="double" w:sz="4" w:space="0" w:color="0097A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7A9" w:themeColor="accent5"/>
          <w:right w:val="single" w:sz="4" w:space="0" w:color="0097A9" w:themeColor="accent5"/>
        </w:tcBorders>
      </w:tcPr>
    </w:tblStylePr>
    <w:tblStylePr w:type="band1Horz">
      <w:tblPr/>
      <w:tcPr>
        <w:tcBorders>
          <w:top w:val="single" w:sz="4" w:space="0" w:color="0097A9" w:themeColor="accent5"/>
          <w:bottom w:val="single" w:sz="4" w:space="0" w:color="0097A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7A9" w:themeColor="accent5"/>
          <w:left w:val="nil"/>
        </w:tcBorders>
      </w:tcPr>
    </w:tblStylePr>
    <w:tblStylePr w:type="swCell">
      <w:tblPr/>
      <w:tcPr>
        <w:tcBorders>
          <w:top w:val="double" w:sz="4" w:space="0" w:color="0097A9" w:themeColor="accent5"/>
          <w:right w:val="nil"/>
        </w:tcBorders>
      </w:tcPr>
    </w:tblStylePr>
  </w:style>
  <w:style w:type="table" w:customStyle="1" w:styleId="ListTable3-Accent61">
    <w:name w:val="List Table 3 - Accent 61"/>
    <w:basedOn w:val="TableNormal"/>
    <w:uiPriority w:val="48"/>
    <w:rsid w:val="000116B0"/>
    <w:pPr>
      <w:spacing w:line="240" w:lineRule="auto"/>
    </w:pPr>
    <w:tblPr>
      <w:tblStyleRowBandSize w:val="1"/>
      <w:tblStyleColBandSize w:val="1"/>
      <w:tblBorders>
        <w:top w:val="single" w:sz="4" w:space="0" w:color="75787B" w:themeColor="accent6"/>
        <w:left w:val="single" w:sz="4" w:space="0" w:color="75787B" w:themeColor="accent6"/>
        <w:bottom w:val="single" w:sz="4" w:space="0" w:color="75787B" w:themeColor="accent6"/>
        <w:right w:val="single" w:sz="4" w:space="0" w:color="75787B" w:themeColor="accent6"/>
      </w:tblBorders>
    </w:tblPr>
    <w:tblStylePr w:type="firstRow">
      <w:rPr>
        <w:b/>
        <w:bCs/>
        <w:color w:val="FFFFFF" w:themeColor="background1"/>
      </w:rPr>
      <w:tblPr/>
      <w:tcPr>
        <w:shd w:val="clear" w:color="auto" w:fill="75787B" w:themeFill="accent6"/>
      </w:tcPr>
    </w:tblStylePr>
    <w:tblStylePr w:type="lastRow">
      <w:rPr>
        <w:b/>
        <w:bCs/>
      </w:rPr>
      <w:tblPr/>
      <w:tcPr>
        <w:tcBorders>
          <w:top w:val="double" w:sz="4" w:space="0" w:color="75787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787B" w:themeColor="accent6"/>
          <w:right w:val="single" w:sz="4" w:space="0" w:color="75787B" w:themeColor="accent6"/>
        </w:tcBorders>
      </w:tcPr>
    </w:tblStylePr>
    <w:tblStylePr w:type="band1Horz">
      <w:tblPr/>
      <w:tcPr>
        <w:tcBorders>
          <w:top w:val="single" w:sz="4" w:space="0" w:color="75787B" w:themeColor="accent6"/>
          <w:bottom w:val="single" w:sz="4" w:space="0" w:color="75787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787B" w:themeColor="accent6"/>
          <w:left w:val="nil"/>
        </w:tcBorders>
      </w:tcPr>
    </w:tblStylePr>
    <w:tblStylePr w:type="swCell">
      <w:tblPr/>
      <w:tcPr>
        <w:tcBorders>
          <w:top w:val="double" w:sz="4" w:space="0" w:color="75787B" w:themeColor="accent6"/>
          <w:right w:val="nil"/>
        </w:tcBorders>
      </w:tcPr>
    </w:tblStylePr>
  </w:style>
  <w:style w:type="table" w:customStyle="1" w:styleId="ListTable41">
    <w:name w:val="List Table 41"/>
    <w:basedOn w:val="TableNormal"/>
    <w:uiPriority w:val="49"/>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tcBorders>
        <w:shd w:val="clear" w:color="auto" w:fill="86BC25" w:themeFill="accent1"/>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customStyle="1" w:styleId="ListTable4-Accent21">
    <w:name w:val="List Table 4 - Accent 21"/>
    <w:basedOn w:val="TableNormal"/>
    <w:uiPriority w:val="49"/>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tcBorders>
        <w:shd w:val="clear" w:color="auto" w:fill="046A38" w:themeFill="accent2"/>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customStyle="1" w:styleId="ListTable4-Accent31">
    <w:name w:val="List Table 4 - Accent 31"/>
    <w:basedOn w:val="TableNormal"/>
    <w:uiPriority w:val="49"/>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tcBorders>
        <w:shd w:val="clear" w:color="auto" w:fill="62B5E5" w:themeFill="accent3"/>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customStyle="1" w:styleId="ListTable4-Accent41">
    <w:name w:val="List Table 4 - Accent 41"/>
    <w:basedOn w:val="TableNormal"/>
    <w:uiPriority w:val="49"/>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tcBorders>
        <w:shd w:val="clear" w:color="auto" w:fill="012169" w:themeFill="accent4"/>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customStyle="1" w:styleId="ListTable4-Accent51">
    <w:name w:val="List Table 4 - Accent 51"/>
    <w:basedOn w:val="TableNormal"/>
    <w:uiPriority w:val="49"/>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tcBorders>
        <w:shd w:val="clear" w:color="auto" w:fill="0097A9" w:themeFill="accent5"/>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customStyle="1" w:styleId="ListTable4-Accent61">
    <w:name w:val="List Table 4 - Accent 61"/>
    <w:basedOn w:val="TableNormal"/>
    <w:uiPriority w:val="49"/>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tcBorders>
        <w:shd w:val="clear" w:color="auto" w:fill="75787B" w:themeFill="accent6"/>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customStyle="1" w:styleId="ListTable5Dark1">
    <w:name w:val="List Table 5 Dark1"/>
    <w:basedOn w:val="TableNormal"/>
    <w:uiPriority w:val="50"/>
    <w:rsid w:val="000116B0"/>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0116B0"/>
    <w:pPr>
      <w:spacing w:line="240" w:lineRule="auto"/>
    </w:pPr>
    <w:rPr>
      <w:color w:val="FFFFFF" w:themeColor="background1"/>
    </w:rPr>
    <w:tblPr>
      <w:tblStyleRowBandSize w:val="1"/>
      <w:tblStyleColBandSize w:val="1"/>
      <w:tblBorders>
        <w:top w:val="single" w:sz="24" w:space="0" w:color="86BC25" w:themeColor="accent1"/>
        <w:left w:val="single" w:sz="24" w:space="0" w:color="86BC25" w:themeColor="accent1"/>
        <w:bottom w:val="single" w:sz="24" w:space="0" w:color="86BC25" w:themeColor="accent1"/>
        <w:right w:val="single" w:sz="24" w:space="0" w:color="86BC25" w:themeColor="accent1"/>
      </w:tblBorders>
    </w:tblPr>
    <w:tcPr>
      <w:shd w:val="clear" w:color="auto" w:fill="86BC2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0116B0"/>
    <w:pPr>
      <w:spacing w:line="240" w:lineRule="auto"/>
    </w:pPr>
    <w:rPr>
      <w:color w:val="FFFFFF" w:themeColor="background1"/>
    </w:rPr>
    <w:tblPr>
      <w:tblStyleRowBandSize w:val="1"/>
      <w:tblStyleColBandSize w:val="1"/>
      <w:tblBorders>
        <w:top w:val="single" w:sz="24" w:space="0" w:color="046A38" w:themeColor="accent2"/>
        <w:left w:val="single" w:sz="24" w:space="0" w:color="046A38" w:themeColor="accent2"/>
        <w:bottom w:val="single" w:sz="24" w:space="0" w:color="046A38" w:themeColor="accent2"/>
        <w:right w:val="single" w:sz="24" w:space="0" w:color="046A38" w:themeColor="accent2"/>
      </w:tblBorders>
    </w:tblPr>
    <w:tcPr>
      <w:shd w:val="clear" w:color="auto" w:fill="046A3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0116B0"/>
    <w:pPr>
      <w:spacing w:line="240" w:lineRule="auto"/>
    </w:pPr>
    <w:rPr>
      <w:color w:val="FFFFFF" w:themeColor="background1"/>
    </w:rPr>
    <w:tblPr>
      <w:tblStyleRowBandSize w:val="1"/>
      <w:tblStyleColBandSize w:val="1"/>
      <w:tblBorders>
        <w:top w:val="single" w:sz="24" w:space="0" w:color="62B5E5" w:themeColor="accent3"/>
        <w:left w:val="single" w:sz="24" w:space="0" w:color="62B5E5" w:themeColor="accent3"/>
        <w:bottom w:val="single" w:sz="24" w:space="0" w:color="62B5E5" w:themeColor="accent3"/>
        <w:right w:val="single" w:sz="24" w:space="0" w:color="62B5E5" w:themeColor="accent3"/>
      </w:tblBorders>
    </w:tblPr>
    <w:tcPr>
      <w:shd w:val="clear" w:color="auto" w:fill="62B5E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0116B0"/>
    <w:pPr>
      <w:spacing w:line="240" w:lineRule="auto"/>
    </w:pPr>
    <w:rPr>
      <w:color w:val="FFFFFF" w:themeColor="background1"/>
    </w:rPr>
    <w:tblPr>
      <w:tblStyleRowBandSize w:val="1"/>
      <w:tblStyleColBandSize w:val="1"/>
      <w:tblBorders>
        <w:top w:val="single" w:sz="24" w:space="0" w:color="012169" w:themeColor="accent4"/>
        <w:left w:val="single" w:sz="24" w:space="0" w:color="012169" w:themeColor="accent4"/>
        <w:bottom w:val="single" w:sz="24" w:space="0" w:color="012169" w:themeColor="accent4"/>
        <w:right w:val="single" w:sz="24" w:space="0" w:color="012169" w:themeColor="accent4"/>
      </w:tblBorders>
    </w:tblPr>
    <w:tcPr>
      <w:shd w:val="clear" w:color="auto" w:fill="01216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0116B0"/>
    <w:pPr>
      <w:spacing w:line="240" w:lineRule="auto"/>
    </w:pPr>
    <w:rPr>
      <w:color w:val="FFFFFF" w:themeColor="background1"/>
    </w:rPr>
    <w:tblPr>
      <w:tblStyleRowBandSize w:val="1"/>
      <w:tblStyleColBandSize w:val="1"/>
      <w:tblBorders>
        <w:top w:val="single" w:sz="24" w:space="0" w:color="0097A9" w:themeColor="accent5"/>
        <w:left w:val="single" w:sz="24" w:space="0" w:color="0097A9" w:themeColor="accent5"/>
        <w:bottom w:val="single" w:sz="24" w:space="0" w:color="0097A9" w:themeColor="accent5"/>
        <w:right w:val="single" w:sz="24" w:space="0" w:color="0097A9" w:themeColor="accent5"/>
      </w:tblBorders>
    </w:tblPr>
    <w:tcPr>
      <w:shd w:val="clear" w:color="auto" w:fill="0097A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0116B0"/>
    <w:pPr>
      <w:spacing w:line="240" w:lineRule="auto"/>
    </w:pPr>
    <w:rPr>
      <w:color w:val="FFFFFF" w:themeColor="background1"/>
    </w:rPr>
    <w:tblPr>
      <w:tblStyleRowBandSize w:val="1"/>
      <w:tblStyleColBandSize w:val="1"/>
      <w:tblBorders>
        <w:top w:val="single" w:sz="24" w:space="0" w:color="75787B" w:themeColor="accent6"/>
        <w:left w:val="single" w:sz="24" w:space="0" w:color="75787B" w:themeColor="accent6"/>
        <w:bottom w:val="single" w:sz="24" w:space="0" w:color="75787B" w:themeColor="accent6"/>
        <w:right w:val="single" w:sz="24" w:space="0" w:color="75787B" w:themeColor="accent6"/>
      </w:tblBorders>
    </w:tblPr>
    <w:tcPr>
      <w:shd w:val="clear" w:color="auto" w:fill="75787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0116B0"/>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0116B0"/>
    <w:pPr>
      <w:spacing w:line="240" w:lineRule="auto"/>
    </w:pPr>
    <w:rPr>
      <w:color w:val="638C1B" w:themeColor="accent1" w:themeShade="BF"/>
    </w:rPr>
    <w:tblPr>
      <w:tblStyleRowBandSize w:val="1"/>
      <w:tblStyleColBandSize w:val="1"/>
      <w:tblBorders>
        <w:top w:val="single" w:sz="4" w:space="0" w:color="86BC25" w:themeColor="accent1"/>
        <w:bottom w:val="single" w:sz="4" w:space="0" w:color="86BC25" w:themeColor="accent1"/>
      </w:tblBorders>
    </w:tblPr>
    <w:tblStylePr w:type="firstRow">
      <w:rPr>
        <w:b/>
        <w:bCs/>
      </w:rPr>
      <w:tblPr/>
      <w:tcPr>
        <w:tcBorders>
          <w:bottom w:val="single" w:sz="4" w:space="0" w:color="86BC25" w:themeColor="accent1"/>
        </w:tcBorders>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customStyle="1" w:styleId="ListTable6Colorful-Accent21">
    <w:name w:val="List Table 6 Colorful - Accent 21"/>
    <w:basedOn w:val="TableNormal"/>
    <w:uiPriority w:val="51"/>
    <w:rsid w:val="000116B0"/>
    <w:pPr>
      <w:spacing w:line="240" w:lineRule="auto"/>
    </w:pPr>
    <w:rPr>
      <w:color w:val="034F29" w:themeColor="accent2" w:themeShade="BF"/>
    </w:rPr>
    <w:tblPr>
      <w:tblStyleRowBandSize w:val="1"/>
      <w:tblStyleColBandSize w:val="1"/>
      <w:tblBorders>
        <w:top w:val="single" w:sz="4" w:space="0" w:color="046A38" w:themeColor="accent2"/>
        <w:bottom w:val="single" w:sz="4" w:space="0" w:color="046A38" w:themeColor="accent2"/>
      </w:tblBorders>
    </w:tblPr>
    <w:tblStylePr w:type="firstRow">
      <w:rPr>
        <w:b/>
        <w:bCs/>
      </w:rPr>
      <w:tblPr/>
      <w:tcPr>
        <w:tcBorders>
          <w:bottom w:val="single" w:sz="4" w:space="0" w:color="046A38" w:themeColor="accent2"/>
        </w:tcBorders>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customStyle="1" w:styleId="ListTable6Colorful-Accent31">
    <w:name w:val="List Table 6 Colorful - Accent 31"/>
    <w:basedOn w:val="TableNormal"/>
    <w:uiPriority w:val="51"/>
    <w:rsid w:val="000116B0"/>
    <w:pPr>
      <w:spacing w:line="240" w:lineRule="auto"/>
    </w:pPr>
    <w:rPr>
      <w:color w:val="2291D1" w:themeColor="accent3" w:themeShade="BF"/>
    </w:rPr>
    <w:tblPr>
      <w:tblStyleRowBandSize w:val="1"/>
      <w:tblStyleColBandSize w:val="1"/>
      <w:tblBorders>
        <w:top w:val="single" w:sz="4" w:space="0" w:color="62B5E5" w:themeColor="accent3"/>
        <w:bottom w:val="single" w:sz="4" w:space="0" w:color="62B5E5" w:themeColor="accent3"/>
      </w:tblBorders>
    </w:tblPr>
    <w:tblStylePr w:type="firstRow">
      <w:rPr>
        <w:b/>
        <w:bCs/>
      </w:rPr>
      <w:tblPr/>
      <w:tcPr>
        <w:tcBorders>
          <w:bottom w:val="single" w:sz="4" w:space="0" w:color="62B5E5" w:themeColor="accent3"/>
        </w:tcBorders>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customStyle="1" w:styleId="ListTable6Colorful-Accent41">
    <w:name w:val="List Table 6 Colorful - Accent 41"/>
    <w:basedOn w:val="TableNormal"/>
    <w:uiPriority w:val="51"/>
    <w:rsid w:val="000116B0"/>
    <w:pPr>
      <w:spacing w:line="240" w:lineRule="auto"/>
    </w:pPr>
    <w:rPr>
      <w:color w:val="00184E" w:themeColor="accent4" w:themeShade="BF"/>
    </w:rPr>
    <w:tblPr>
      <w:tblStyleRowBandSize w:val="1"/>
      <w:tblStyleColBandSize w:val="1"/>
      <w:tblBorders>
        <w:top w:val="single" w:sz="4" w:space="0" w:color="012169" w:themeColor="accent4"/>
        <w:bottom w:val="single" w:sz="4" w:space="0" w:color="012169" w:themeColor="accent4"/>
      </w:tblBorders>
    </w:tblPr>
    <w:tblStylePr w:type="firstRow">
      <w:rPr>
        <w:b/>
        <w:bCs/>
      </w:rPr>
      <w:tblPr/>
      <w:tcPr>
        <w:tcBorders>
          <w:bottom w:val="single" w:sz="4" w:space="0" w:color="012169" w:themeColor="accent4"/>
        </w:tcBorders>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customStyle="1" w:styleId="ListTable6Colorful-Accent51">
    <w:name w:val="List Table 6 Colorful - Accent 51"/>
    <w:basedOn w:val="TableNormal"/>
    <w:uiPriority w:val="51"/>
    <w:rsid w:val="000116B0"/>
    <w:pPr>
      <w:spacing w:line="240" w:lineRule="auto"/>
    </w:pPr>
    <w:rPr>
      <w:color w:val="00707E" w:themeColor="accent5" w:themeShade="BF"/>
    </w:rPr>
    <w:tblPr>
      <w:tblStyleRowBandSize w:val="1"/>
      <w:tblStyleColBandSize w:val="1"/>
      <w:tblBorders>
        <w:top w:val="single" w:sz="4" w:space="0" w:color="0097A9" w:themeColor="accent5"/>
        <w:bottom w:val="single" w:sz="4" w:space="0" w:color="0097A9" w:themeColor="accent5"/>
      </w:tblBorders>
    </w:tblPr>
    <w:tblStylePr w:type="firstRow">
      <w:rPr>
        <w:b/>
        <w:bCs/>
      </w:rPr>
      <w:tblPr/>
      <w:tcPr>
        <w:tcBorders>
          <w:bottom w:val="single" w:sz="4" w:space="0" w:color="0097A9" w:themeColor="accent5"/>
        </w:tcBorders>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customStyle="1" w:styleId="ListTable6Colorful-Accent61">
    <w:name w:val="List Table 6 Colorful - Accent 61"/>
    <w:basedOn w:val="TableNormal"/>
    <w:uiPriority w:val="51"/>
    <w:rsid w:val="000116B0"/>
    <w:pPr>
      <w:spacing w:line="240" w:lineRule="auto"/>
    </w:pPr>
    <w:rPr>
      <w:color w:val="57595C" w:themeColor="accent6" w:themeShade="BF"/>
    </w:rPr>
    <w:tblPr>
      <w:tblStyleRowBandSize w:val="1"/>
      <w:tblStyleColBandSize w:val="1"/>
      <w:tblBorders>
        <w:top w:val="single" w:sz="4" w:space="0" w:color="75787B" w:themeColor="accent6"/>
        <w:bottom w:val="single" w:sz="4" w:space="0" w:color="75787B" w:themeColor="accent6"/>
      </w:tblBorders>
    </w:tblPr>
    <w:tblStylePr w:type="firstRow">
      <w:rPr>
        <w:b/>
        <w:bCs/>
      </w:rPr>
      <w:tblPr/>
      <w:tcPr>
        <w:tcBorders>
          <w:bottom w:val="single" w:sz="4" w:space="0" w:color="75787B" w:themeColor="accent6"/>
        </w:tcBorders>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customStyle="1" w:styleId="ListTable7Colorful1">
    <w:name w:val="List Table 7 Colorful1"/>
    <w:basedOn w:val="TableNormal"/>
    <w:uiPriority w:val="52"/>
    <w:rsid w:val="000116B0"/>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0116B0"/>
    <w:pPr>
      <w:spacing w:line="240" w:lineRule="auto"/>
    </w:pPr>
    <w:rPr>
      <w:color w:val="638C1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C2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C2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C2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C25" w:themeColor="accent1"/>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0116B0"/>
    <w:pPr>
      <w:spacing w:line="240" w:lineRule="auto"/>
    </w:pPr>
    <w:rPr>
      <w:color w:val="034F2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46A3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46A3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46A3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46A38" w:themeColor="accent2"/>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0116B0"/>
    <w:pPr>
      <w:spacing w:line="240" w:lineRule="auto"/>
    </w:pPr>
    <w:rPr>
      <w:color w:val="2291D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2B5E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B5E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B5E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B5E5" w:themeColor="accent3"/>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0116B0"/>
    <w:pPr>
      <w:spacing w:line="240" w:lineRule="auto"/>
    </w:pPr>
    <w:rPr>
      <w:color w:val="0018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1216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1216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1216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12169" w:themeColor="accent4"/>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0116B0"/>
    <w:pPr>
      <w:spacing w:line="240" w:lineRule="auto"/>
    </w:pPr>
    <w:rPr>
      <w:color w:val="00707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7A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7A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7A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7A9" w:themeColor="accent5"/>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0116B0"/>
    <w:pPr>
      <w:spacing w:line="240" w:lineRule="auto"/>
    </w:pPr>
    <w:rPr>
      <w:color w:val="57595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787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787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787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787B" w:themeColor="accent6"/>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41"/>
    <w:rsid w:val="000116B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0116B0"/>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0116B0"/>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0116B0"/>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0116B0"/>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rsid w:val="000116B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Gitter1">
    <w:name w:val="Tabel - Gitter1"/>
    <w:basedOn w:val="TableNormal"/>
    <w:next w:val="TableGrid"/>
    <w:uiPriority w:val="59"/>
    <w:rsid w:val="001E349B"/>
    <w:pPr>
      <w:spacing w:line="240" w:lineRule="auto"/>
    </w:p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table" w:customStyle="1" w:styleId="Deloittetable1">
    <w:name w:val="Deloitte table1"/>
    <w:basedOn w:val="TableNormal"/>
    <w:uiPriority w:val="99"/>
    <w:rsid w:val="00D34B9D"/>
    <w:rPr>
      <w:sz w:val="17"/>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paragraph" w:customStyle="1" w:styleId="Bullet1">
    <w:name w:val="Bullet 1"/>
    <w:basedOn w:val="Normal"/>
    <w:link w:val="Bullet1Char"/>
    <w:rsid w:val="00726CBF"/>
    <w:pPr>
      <w:numPr>
        <w:numId w:val="15"/>
      </w:numPr>
      <w:spacing w:before="60" w:after="0" w:line="240" w:lineRule="auto"/>
    </w:pPr>
    <w:rPr>
      <w:rFonts w:ascii="Calibri" w:eastAsia="Times New Roman" w:hAnsi="Calibri" w:cs="Arial"/>
      <w:sz w:val="22"/>
      <w:szCs w:val="20"/>
      <w:lang w:eastAsia="en-AU"/>
    </w:rPr>
  </w:style>
  <w:style w:type="character" w:customStyle="1" w:styleId="Bullet1Char">
    <w:name w:val="Bullet 1 Char"/>
    <w:basedOn w:val="DefaultParagraphFont"/>
    <w:link w:val="Bullet1"/>
    <w:rsid w:val="00726CBF"/>
    <w:rPr>
      <w:rFonts w:ascii="Calibri" w:eastAsia="Times New Roman" w:hAnsi="Calibri" w:cs="Arial"/>
      <w:sz w:val="22"/>
      <w:szCs w:val="20"/>
      <w:lang w:val="en-AU" w:eastAsia="en-AU"/>
    </w:rPr>
  </w:style>
  <w:style w:type="paragraph" w:customStyle="1" w:styleId="ESVTableBody">
    <w:name w:val="ESV_Table_Body"/>
    <w:basedOn w:val="Normal"/>
    <w:rsid w:val="00DB56B4"/>
    <w:pPr>
      <w:spacing w:after="0" w:line="240" w:lineRule="auto"/>
    </w:pPr>
    <w:rPr>
      <w:rFonts w:ascii="Arial" w:eastAsia="Arial" w:hAnsi="Arial" w:cs="Arial"/>
      <w:color w:val="53565A"/>
      <w:sz w:val="20"/>
      <w:szCs w:val="20"/>
    </w:rPr>
  </w:style>
  <w:style w:type="paragraph" w:customStyle="1" w:styleId="StyleESVTableHeaderWhiteBefore6ptAfter6pt">
    <w:name w:val="Style ESV_Table_Header_White + Before:  6 pt After:  6 pt"/>
    <w:basedOn w:val="Normal"/>
    <w:rsid w:val="00DB56B4"/>
    <w:pPr>
      <w:spacing w:before="120" w:after="120" w:line="240" w:lineRule="auto"/>
    </w:pPr>
    <w:rPr>
      <w:rFonts w:ascii="Arial" w:eastAsia="Times New Roman" w:hAnsi="Arial" w:cs="Times New Roman"/>
      <w:b/>
      <w:bCs/>
      <w:color w:val="FFFFFF"/>
      <w:sz w:val="20"/>
      <w:szCs w:val="20"/>
    </w:rPr>
  </w:style>
  <w:style w:type="character" w:customStyle="1" w:styleId="ListParagraphChar">
    <w:name w:val="List Paragraph Char"/>
    <w:aliases w:val="Bullet List Char,Bullet point Char,List Paragraph1 Char,List Paragraph11 Char,Recommendation Char,List Bullet 1 Char,L Char"/>
    <w:link w:val="ListParagraph"/>
    <w:uiPriority w:val="34"/>
    <w:locked/>
    <w:rsid w:val="00F513A5"/>
    <w:rPr>
      <w:lang w:val="en-AU"/>
    </w:rPr>
  </w:style>
  <w:style w:type="paragraph" w:customStyle="1" w:styleId="RegBody1">
    <w:name w:val="Reg Body 1"/>
    <w:basedOn w:val="Normal"/>
    <w:autoRedefine/>
    <w:rsid w:val="007F0FBF"/>
    <w:pPr>
      <w:numPr>
        <w:numId w:val="16"/>
      </w:numPr>
      <w:spacing w:after="240" w:line="240" w:lineRule="auto"/>
    </w:pPr>
    <w:rPr>
      <w:rFonts w:ascii="Times New Roman" w:eastAsia="Times New Roman" w:hAnsi="Times New Roman" w:cs="Times New Roman"/>
      <w:sz w:val="24"/>
      <w:szCs w:val="24"/>
      <w:lang w:eastAsia="en-AU"/>
    </w:rPr>
  </w:style>
  <w:style w:type="paragraph" w:customStyle="1" w:styleId="Default">
    <w:name w:val="Default"/>
    <w:rsid w:val="00A25725"/>
    <w:pPr>
      <w:autoSpaceDE w:val="0"/>
      <w:autoSpaceDN w:val="0"/>
      <w:adjustRightInd w:val="0"/>
      <w:spacing w:line="240" w:lineRule="auto"/>
    </w:pPr>
    <w:rPr>
      <w:rFonts w:ascii="Candara" w:hAnsi="Candara" w:cs="Candara"/>
      <w:color w:val="000000"/>
      <w:sz w:val="24"/>
      <w:szCs w:val="24"/>
      <w:lang w:val="en-AU"/>
    </w:rPr>
  </w:style>
  <w:style w:type="paragraph" w:styleId="Revision">
    <w:name w:val="Revision"/>
    <w:hidden/>
    <w:uiPriority w:val="99"/>
    <w:semiHidden/>
    <w:rsid w:val="008A1308"/>
    <w:pPr>
      <w:spacing w:line="240" w:lineRule="auto"/>
    </w:pPr>
    <w:rPr>
      <w:lang w:val="en-AU"/>
    </w:rPr>
  </w:style>
  <w:style w:type="paragraph" w:customStyle="1" w:styleId="ESVBody">
    <w:name w:val="ESV Body"/>
    <w:rsid w:val="003E34F8"/>
    <w:pPr>
      <w:spacing w:after="120" w:line="270" w:lineRule="atLeast"/>
    </w:pPr>
    <w:rPr>
      <w:rFonts w:ascii="Arial" w:eastAsia="Times" w:hAnsi="Arial" w:cs="Times New Roman"/>
      <w:color w:val="000000" w:themeColor="text1"/>
      <w:sz w:val="20"/>
      <w:szCs w:val="20"/>
      <w:lang w:val="en-AU"/>
    </w:rPr>
  </w:style>
  <w:style w:type="table" w:customStyle="1" w:styleId="GridTable1Light-Accent32">
    <w:name w:val="Grid Table 1 Light - Accent 32"/>
    <w:basedOn w:val="TableNormal"/>
    <w:uiPriority w:val="46"/>
    <w:rsid w:val="00B67010"/>
    <w:pPr>
      <w:spacing w:line="240" w:lineRule="auto"/>
    </w:pPr>
    <w:tblPr>
      <w:tblStyleRowBandSize w:val="1"/>
      <w:tblStyleColBandSize w:val="1"/>
      <w:tblBorders>
        <w:top w:val="single" w:sz="4" w:space="0" w:color="C0E1F4" w:themeColor="accent3" w:themeTint="66"/>
        <w:left w:val="single" w:sz="4" w:space="0" w:color="C0E1F4" w:themeColor="accent3" w:themeTint="66"/>
        <w:bottom w:val="single" w:sz="4" w:space="0" w:color="C0E1F4" w:themeColor="accent3" w:themeTint="66"/>
        <w:right w:val="single" w:sz="4" w:space="0" w:color="C0E1F4" w:themeColor="accent3" w:themeTint="66"/>
        <w:insideH w:val="single" w:sz="4" w:space="0" w:color="C0E1F4" w:themeColor="accent3" w:themeTint="66"/>
        <w:insideV w:val="single" w:sz="4" w:space="0" w:color="C0E1F4" w:themeColor="accent3" w:themeTint="66"/>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2" w:space="0" w:color="A0D2EF" w:themeColor="accent3" w:themeTint="99"/>
        </w:tcBorders>
      </w:tcPr>
    </w:tblStylePr>
    <w:tblStylePr w:type="firstCol">
      <w:rPr>
        <w:b/>
        <w:bCs/>
      </w:rPr>
    </w:tblStylePr>
    <w:tblStylePr w:type="lastCol">
      <w:rPr>
        <w:b/>
        <w:bCs/>
      </w:rPr>
    </w:tblStylePr>
  </w:style>
  <w:style w:type="character" w:customStyle="1" w:styleId="CommentTextChar1">
    <w:name w:val="Comment Text Char1"/>
    <w:basedOn w:val="DefaultParagraphFont"/>
    <w:uiPriority w:val="99"/>
    <w:rsid w:val="00EE4A89"/>
    <w:rPr>
      <w:lang w:eastAsia="en-US"/>
    </w:rPr>
  </w:style>
  <w:style w:type="character" w:customStyle="1" w:styleId="A10">
    <w:name w:val="A10"/>
    <w:uiPriority w:val="99"/>
    <w:rsid w:val="00A72D5F"/>
    <w:rPr>
      <w:rFonts w:cs="HelveticaNeueLT Std Thin"/>
      <w:color w:val="000000"/>
      <w:sz w:val="18"/>
      <w:szCs w:val="18"/>
    </w:rPr>
  </w:style>
  <w:style w:type="character" w:customStyle="1" w:styleId="CaptionChar">
    <w:name w:val="Caption Char"/>
    <w:basedOn w:val="DefaultParagraphFont"/>
    <w:link w:val="Caption"/>
    <w:uiPriority w:val="3"/>
    <w:rsid w:val="008A6A9F"/>
    <w:rPr>
      <w:iCs/>
      <w:sz w:val="17"/>
      <w:lang w:val="en-AU"/>
    </w:rPr>
  </w:style>
  <w:style w:type="table" w:customStyle="1" w:styleId="Deloittetable12">
    <w:name w:val="Deloitte table12"/>
    <w:basedOn w:val="TableNormal"/>
    <w:uiPriority w:val="99"/>
    <w:rsid w:val="0014299C"/>
    <w:rPr>
      <w:sz w:val="17"/>
      <w:lang w:val="en-AU"/>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paragraph" w:customStyle="1" w:styleId="DHSText10pt">
    <w:name w:val="DHS Text 10pt"/>
    <w:basedOn w:val="Normal"/>
    <w:rsid w:val="00111F58"/>
    <w:pPr>
      <w:widowControl w:val="0"/>
      <w:overflowPunct w:val="0"/>
      <w:autoSpaceDE w:val="0"/>
      <w:autoSpaceDN w:val="0"/>
      <w:adjustRightInd w:val="0"/>
      <w:spacing w:after="0" w:line="240" w:lineRule="auto"/>
      <w:textAlignment w:val="baseline"/>
    </w:pPr>
    <w:rPr>
      <w:rFonts w:eastAsia="Times New Roman" w:cs="Times New Roman"/>
      <w:sz w:val="20"/>
      <w:szCs w:val="20"/>
    </w:rPr>
  </w:style>
  <w:style w:type="paragraph" w:customStyle="1" w:styleId="BodySectionSub">
    <w:name w:val="Body Section (Sub)"/>
    <w:next w:val="Normal"/>
    <w:uiPriority w:val="99"/>
    <w:rsid w:val="0054535A"/>
    <w:pPr>
      <w:overflowPunct w:val="0"/>
      <w:autoSpaceDE w:val="0"/>
      <w:autoSpaceDN w:val="0"/>
      <w:adjustRightInd w:val="0"/>
      <w:spacing w:before="120" w:line="240" w:lineRule="auto"/>
      <w:ind w:left="1361"/>
      <w:textAlignment w:val="baseline"/>
    </w:pPr>
    <w:rPr>
      <w:rFonts w:ascii="Times New Roman" w:eastAsiaTheme="minorEastAsia" w:hAnsi="Times New Roman" w:cs="Times New Roman"/>
      <w:sz w:val="24"/>
      <w:szCs w:val="24"/>
      <w:lang w:val="en-AU"/>
    </w:rPr>
  </w:style>
  <w:style w:type="paragraph" w:customStyle="1" w:styleId="DraftHeading3">
    <w:name w:val="Draft Heading 3"/>
    <w:basedOn w:val="Normal"/>
    <w:next w:val="Normal"/>
    <w:uiPriority w:val="99"/>
    <w:rsid w:val="0054535A"/>
    <w:pPr>
      <w:overflowPunct w:val="0"/>
      <w:autoSpaceDE w:val="0"/>
      <w:autoSpaceDN w:val="0"/>
      <w:adjustRightInd w:val="0"/>
      <w:spacing w:before="120" w:after="0" w:line="240" w:lineRule="auto"/>
      <w:textAlignment w:val="baseline"/>
    </w:pPr>
    <w:rPr>
      <w:rFonts w:ascii="Times New Roman" w:eastAsiaTheme="minorEastAsia" w:hAnsi="Times New Roman" w:cs="Times New Roman"/>
      <w:sz w:val="24"/>
      <w:szCs w:val="24"/>
    </w:rPr>
  </w:style>
  <w:style w:type="character" w:customStyle="1" w:styleId="UnresolvedMention1">
    <w:name w:val="Unresolved Mention1"/>
    <w:basedOn w:val="DefaultParagraphFont"/>
    <w:uiPriority w:val="99"/>
    <w:unhideWhenUsed/>
    <w:rsid w:val="00033102"/>
    <w:rPr>
      <w:color w:val="605E5C"/>
      <w:shd w:val="clear" w:color="auto" w:fill="E1DFDD"/>
    </w:rPr>
  </w:style>
  <w:style w:type="character" w:customStyle="1" w:styleId="Mention1">
    <w:name w:val="Mention1"/>
    <w:basedOn w:val="DefaultParagraphFont"/>
    <w:uiPriority w:val="99"/>
    <w:unhideWhenUsed/>
    <w:rsid w:val="00033102"/>
    <w:rPr>
      <w:color w:val="2B579A"/>
      <w:shd w:val="clear" w:color="auto" w:fill="E1DFDD"/>
    </w:rPr>
  </w:style>
  <w:style w:type="character" w:customStyle="1" w:styleId="UnresolvedMention2">
    <w:name w:val="Unresolved Mention2"/>
    <w:basedOn w:val="DefaultParagraphFont"/>
    <w:uiPriority w:val="99"/>
    <w:unhideWhenUsed/>
    <w:rsid w:val="00AB4FFB"/>
    <w:rPr>
      <w:color w:val="605E5C"/>
      <w:shd w:val="clear" w:color="auto" w:fill="E1DFDD"/>
    </w:rPr>
  </w:style>
  <w:style w:type="character" w:customStyle="1" w:styleId="UnresolvedMention20">
    <w:name w:val="Unresolved Mention20"/>
    <w:basedOn w:val="DefaultParagraphFont"/>
    <w:uiPriority w:val="99"/>
    <w:unhideWhenUsed/>
    <w:rsid w:val="007F093F"/>
    <w:rPr>
      <w:color w:val="605E5C"/>
      <w:shd w:val="clear" w:color="auto" w:fill="E1DFDD"/>
    </w:rPr>
  </w:style>
  <w:style w:type="character" w:customStyle="1" w:styleId="Mention2">
    <w:name w:val="Mention2"/>
    <w:basedOn w:val="DefaultParagraphFont"/>
    <w:uiPriority w:val="99"/>
    <w:unhideWhenUsed/>
    <w:rsid w:val="007F093F"/>
    <w:rPr>
      <w:color w:val="2B579A"/>
      <w:shd w:val="clear" w:color="auto" w:fill="E1DFDD"/>
    </w:rPr>
  </w:style>
  <w:style w:type="character" w:customStyle="1" w:styleId="UnresolvedMention200">
    <w:name w:val="Unresolved Mention200"/>
    <w:basedOn w:val="DefaultParagraphFont"/>
    <w:uiPriority w:val="99"/>
    <w:unhideWhenUsed/>
    <w:rsid w:val="004C2349"/>
    <w:rPr>
      <w:color w:val="605E5C"/>
      <w:shd w:val="clear" w:color="auto" w:fill="E1DFDD"/>
    </w:rPr>
  </w:style>
  <w:style w:type="character" w:customStyle="1" w:styleId="UnresolvedMention2000">
    <w:name w:val="Unresolved Mention2000"/>
    <w:basedOn w:val="DefaultParagraphFont"/>
    <w:uiPriority w:val="99"/>
    <w:unhideWhenUsed/>
    <w:rsid w:val="00B337C5"/>
    <w:rPr>
      <w:color w:val="605E5C"/>
      <w:shd w:val="clear" w:color="auto" w:fill="E1DFDD"/>
    </w:rPr>
  </w:style>
  <w:style w:type="character" w:customStyle="1" w:styleId="UnresolvedMention20000">
    <w:name w:val="Unresolved Mention20000"/>
    <w:basedOn w:val="DefaultParagraphFont"/>
    <w:uiPriority w:val="99"/>
    <w:unhideWhenUsed/>
    <w:rsid w:val="007160CC"/>
    <w:rPr>
      <w:color w:val="605E5C"/>
      <w:shd w:val="clear" w:color="auto" w:fill="E1DFDD"/>
    </w:rPr>
  </w:style>
  <w:style w:type="character" w:customStyle="1" w:styleId="UnresolvedMention200000">
    <w:name w:val="Unresolved Mention200000"/>
    <w:basedOn w:val="DefaultParagraphFont"/>
    <w:uiPriority w:val="99"/>
    <w:unhideWhenUsed/>
    <w:rsid w:val="00A549A8"/>
    <w:rPr>
      <w:color w:val="605E5C"/>
      <w:shd w:val="clear" w:color="auto" w:fill="E1DFDD"/>
    </w:rPr>
  </w:style>
  <w:style w:type="character" w:customStyle="1" w:styleId="UnresolvedMention2000000">
    <w:name w:val="Unresolved Mention2000000"/>
    <w:basedOn w:val="DefaultParagraphFont"/>
    <w:uiPriority w:val="99"/>
    <w:unhideWhenUsed/>
    <w:rsid w:val="0002658B"/>
    <w:rPr>
      <w:color w:val="605E5C"/>
      <w:shd w:val="clear" w:color="auto" w:fill="E1DFDD"/>
    </w:rPr>
  </w:style>
  <w:style w:type="character" w:customStyle="1" w:styleId="UnresolvedMention20000000">
    <w:name w:val="Unresolved Mention20000000"/>
    <w:basedOn w:val="DefaultParagraphFont"/>
    <w:uiPriority w:val="99"/>
    <w:unhideWhenUsed/>
    <w:rsid w:val="00F10572"/>
    <w:rPr>
      <w:color w:val="605E5C"/>
      <w:shd w:val="clear" w:color="auto" w:fill="E1DFDD"/>
    </w:rPr>
  </w:style>
  <w:style w:type="character" w:customStyle="1" w:styleId="UnresolvedMention200000000">
    <w:name w:val="Unresolved Mention200000000"/>
    <w:basedOn w:val="DefaultParagraphFont"/>
    <w:uiPriority w:val="99"/>
    <w:unhideWhenUsed/>
    <w:rsid w:val="005854FE"/>
    <w:rPr>
      <w:color w:val="605E5C"/>
      <w:shd w:val="clear" w:color="auto" w:fill="E1DFDD"/>
    </w:rPr>
  </w:style>
  <w:style w:type="character" w:customStyle="1" w:styleId="UnresolvedMention2000000000">
    <w:name w:val="Unresolved Mention2000000000"/>
    <w:basedOn w:val="DefaultParagraphFont"/>
    <w:uiPriority w:val="99"/>
    <w:unhideWhenUsed/>
    <w:rsid w:val="00827714"/>
    <w:rPr>
      <w:color w:val="605E5C"/>
      <w:shd w:val="clear" w:color="auto" w:fill="E1DFDD"/>
    </w:rPr>
  </w:style>
  <w:style w:type="character" w:customStyle="1" w:styleId="UnresolvedMention20000000000">
    <w:name w:val="Unresolved Mention20000000000"/>
    <w:basedOn w:val="DefaultParagraphFont"/>
    <w:uiPriority w:val="99"/>
    <w:unhideWhenUsed/>
    <w:rsid w:val="00426D81"/>
    <w:rPr>
      <w:color w:val="605E5C"/>
      <w:shd w:val="clear" w:color="auto" w:fill="E1DFDD"/>
    </w:rPr>
  </w:style>
  <w:style w:type="character" w:customStyle="1" w:styleId="UnresolvedMention200000000000">
    <w:name w:val="Unresolved Mention200000000000"/>
    <w:basedOn w:val="DefaultParagraphFont"/>
    <w:uiPriority w:val="99"/>
    <w:unhideWhenUsed/>
    <w:rsid w:val="00DE28E3"/>
    <w:rPr>
      <w:color w:val="605E5C"/>
      <w:shd w:val="clear" w:color="auto" w:fill="E1DFDD"/>
    </w:rPr>
  </w:style>
  <w:style w:type="character" w:customStyle="1" w:styleId="UnresolvedMention2000000000000">
    <w:name w:val="Unresolved Mention2000000000000"/>
    <w:basedOn w:val="DefaultParagraphFont"/>
    <w:uiPriority w:val="99"/>
    <w:unhideWhenUsed/>
    <w:rsid w:val="0087363A"/>
    <w:rPr>
      <w:color w:val="605E5C"/>
      <w:shd w:val="clear" w:color="auto" w:fill="E1DFDD"/>
    </w:rPr>
  </w:style>
  <w:style w:type="character" w:customStyle="1" w:styleId="UnresolvedMention20000000000000">
    <w:name w:val="Unresolved Mention20000000000000"/>
    <w:basedOn w:val="DefaultParagraphFont"/>
    <w:uiPriority w:val="99"/>
    <w:unhideWhenUsed/>
    <w:rsid w:val="00097955"/>
    <w:rPr>
      <w:color w:val="605E5C"/>
      <w:shd w:val="clear" w:color="auto" w:fill="E1DFDD"/>
    </w:rPr>
  </w:style>
  <w:style w:type="character" w:customStyle="1" w:styleId="UnresolvedMention200000000000000">
    <w:name w:val="Unresolved Mention200000000000000"/>
    <w:basedOn w:val="DefaultParagraphFont"/>
    <w:uiPriority w:val="99"/>
    <w:unhideWhenUsed/>
    <w:rsid w:val="00AA5326"/>
    <w:rPr>
      <w:color w:val="605E5C"/>
      <w:shd w:val="clear" w:color="auto" w:fill="E1DFDD"/>
    </w:rPr>
  </w:style>
  <w:style w:type="character" w:customStyle="1" w:styleId="UnresolvedMention2000000000000000">
    <w:name w:val="Unresolved Mention2000000000000000"/>
    <w:basedOn w:val="DefaultParagraphFont"/>
    <w:uiPriority w:val="99"/>
    <w:unhideWhenUsed/>
    <w:rsid w:val="005D7233"/>
    <w:rPr>
      <w:color w:val="605E5C"/>
      <w:shd w:val="clear" w:color="auto" w:fill="E1DFDD"/>
    </w:rPr>
  </w:style>
  <w:style w:type="character" w:customStyle="1" w:styleId="UnresolvedMention20000000000000000">
    <w:name w:val="Unresolved Mention20000000000000000"/>
    <w:basedOn w:val="DefaultParagraphFont"/>
    <w:uiPriority w:val="99"/>
    <w:unhideWhenUsed/>
    <w:rsid w:val="00700112"/>
    <w:rPr>
      <w:color w:val="605E5C"/>
      <w:shd w:val="clear" w:color="auto" w:fill="E1DFDD"/>
    </w:rPr>
  </w:style>
  <w:style w:type="character" w:customStyle="1" w:styleId="UnresolvedMention200000000000000000">
    <w:name w:val="Unresolved Mention200000000000000000"/>
    <w:basedOn w:val="DefaultParagraphFont"/>
    <w:uiPriority w:val="99"/>
    <w:unhideWhenUsed/>
    <w:rsid w:val="00B8268A"/>
    <w:rPr>
      <w:color w:val="605E5C"/>
      <w:shd w:val="clear" w:color="auto" w:fill="E1DFDD"/>
    </w:rPr>
  </w:style>
  <w:style w:type="character" w:customStyle="1" w:styleId="UnresolvedMention20000000000000000000">
    <w:name w:val="Unresolved Mention20000000000000000000"/>
    <w:basedOn w:val="DefaultParagraphFont"/>
    <w:uiPriority w:val="99"/>
    <w:unhideWhenUsed/>
    <w:rsid w:val="00667E31"/>
    <w:rPr>
      <w:color w:val="605E5C"/>
      <w:shd w:val="clear" w:color="auto" w:fill="E1DFDD"/>
    </w:rPr>
  </w:style>
  <w:style w:type="character" w:customStyle="1" w:styleId="UnresolvedMention3">
    <w:name w:val="Unresolved Mention3"/>
    <w:basedOn w:val="DefaultParagraphFont"/>
    <w:uiPriority w:val="99"/>
    <w:unhideWhenUsed/>
    <w:rsid w:val="00024FF6"/>
    <w:rPr>
      <w:color w:val="605E5C"/>
      <w:shd w:val="clear" w:color="auto" w:fill="E1DFDD"/>
    </w:rPr>
  </w:style>
  <w:style w:type="character" w:customStyle="1" w:styleId="UnresolvedMention2000000000000000000">
    <w:name w:val="Unresolved Mention2000000000000000000"/>
    <w:basedOn w:val="DefaultParagraphFont"/>
    <w:uiPriority w:val="99"/>
    <w:unhideWhenUsed/>
    <w:rsid w:val="00C16490"/>
    <w:rPr>
      <w:color w:val="605E5C"/>
      <w:shd w:val="clear" w:color="auto" w:fill="E1DFDD"/>
    </w:rPr>
  </w:style>
  <w:style w:type="character" w:customStyle="1" w:styleId="Mention3">
    <w:name w:val="Mention3"/>
    <w:basedOn w:val="DefaultParagraphFont"/>
    <w:uiPriority w:val="99"/>
    <w:unhideWhenUsed/>
    <w:rsid w:val="00C16490"/>
    <w:rPr>
      <w:color w:val="2B579A"/>
      <w:shd w:val="clear" w:color="auto" w:fill="E1DFDD"/>
    </w:rPr>
  </w:style>
  <w:style w:type="character" w:customStyle="1" w:styleId="UnresolvedMention2000000000000000000100000000000000000000000000000">
    <w:name w:val="Unresolved Mention2000000000000000000100000000000000000000000000000"/>
    <w:basedOn w:val="DefaultParagraphFont"/>
    <w:uiPriority w:val="99"/>
    <w:unhideWhenUsed/>
    <w:rsid w:val="00FF48C8"/>
    <w:rPr>
      <w:color w:val="605E5C"/>
      <w:shd w:val="clear" w:color="auto" w:fill="E1DFDD"/>
    </w:rPr>
  </w:style>
  <w:style w:type="character" w:customStyle="1" w:styleId="UnresolvedMention20000000000000000001">
    <w:name w:val="Unresolved Mention20000000000000000001"/>
    <w:basedOn w:val="DefaultParagraphFont"/>
    <w:uiPriority w:val="99"/>
    <w:unhideWhenUsed/>
    <w:rsid w:val="00C6715B"/>
    <w:rPr>
      <w:color w:val="605E5C"/>
      <w:shd w:val="clear" w:color="auto" w:fill="E1DFDD"/>
    </w:rPr>
  </w:style>
  <w:style w:type="paragraph" w:customStyle="1" w:styleId="DHHStabletext">
    <w:name w:val="DHHS table text"/>
    <w:uiPriority w:val="3"/>
    <w:qFormat/>
    <w:rsid w:val="00737CA2"/>
    <w:pPr>
      <w:spacing w:before="80" w:after="60" w:line="240" w:lineRule="auto"/>
    </w:pPr>
    <w:rPr>
      <w:rFonts w:ascii="Arial" w:eastAsia="Times New Roman" w:hAnsi="Arial" w:cs="Times New Roman"/>
      <w:sz w:val="20"/>
      <w:szCs w:val="20"/>
      <w:lang w:val="en-AU"/>
    </w:rPr>
  </w:style>
  <w:style w:type="paragraph" w:customStyle="1" w:styleId="DHHStablebullet2">
    <w:name w:val="DHHS table bullet 2"/>
    <w:basedOn w:val="DHHStabletext"/>
    <w:uiPriority w:val="11"/>
    <w:rsid w:val="00C9215E"/>
    <w:pPr>
      <w:numPr>
        <w:ilvl w:val="1"/>
        <w:numId w:val="57"/>
      </w:numPr>
    </w:pPr>
  </w:style>
  <w:style w:type="paragraph" w:customStyle="1" w:styleId="DHHStablebullet1">
    <w:name w:val="DHHS table bullet 1"/>
    <w:basedOn w:val="DHHStabletext"/>
    <w:uiPriority w:val="3"/>
    <w:qFormat/>
    <w:rsid w:val="00C9215E"/>
    <w:pPr>
      <w:numPr>
        <w:numId w:val="57"/>
      </w:numPr>
    </w:pPr>
  </w:style>
  <w:style w:type="numbering" w:customStyle="1" w:styleId="ZZTablebullets">
    <w:name w:val="ZZ Table bullets"/>
    <w:rsid w:val="00C9215E"/>
    <w:pPr>
      <w:numPr>
        <w:numId w:val="57"/>
      </w:numPr>
    </w:pPr>
  </w:style>
  <w:style w:type="paragraph" w:customStyle="1" w:styleId="DHHSbullet1">
    <w:name w:val="DHHS bullet 1"/>
    <w:basedOn w:val="Normal"/>
    <w:rsid w:val="00C9215E"/>
    <w:pPr>
      <w:numPr>
        <w:numId w:val="59"/>
      </w:numPr>
      <w:spacing w:after="40" w:line="270" w:lineRule="atLeast"/>
    </w:pPr>
    <w:rPr>
      <w:rFonts w:ascii="Arial" w:eastAsia="Times" w:hAnsi="Arial" w:cs="Times New Roman"/>
      <w:sz w:val="20"/>
      <w:szCs w:val="20"/>
    </w:rPr>
  </w:style>
  <w:style w:type="paragraph" w:customStyle="1" w:styleId="DHHSbullet2">
    <w:name w:val="DHHS bullet 2"/>
    <w:basedOn w:val="Normal"/>
    <w:uiPriority w:val="2"/>
    <w:rsid w:val="00C9215E"/>
    <w:pPr>
      <w:numPr>
        <w:ilvl w:val="1"/>
        <w:numId w:val="59"/>
      </w:numPr>
      <w:spacing w:after="40" w:line="270" w:lineRule="atLeast"/>
    </w:pPr>
    <w:rPr>
      <w:rFonts w:ascii="Arial" w:eastAsia="Times" w:hAnsi="Arial" w:cs="Times New Roman"/>
      <w:sz w:val="20"/>
      <w:szCs w:val="20"/>
    </w:rPr>
  </w:style>
  <w:style w:type="numbering" w:customStyle="1" w:styleId="ZZBullets">
    <w:name w:val="ZZ Bullets"/>
    <w:rsid w:val="00C9215E"/>
    <w:pPr>
      <w:numPr>
        <w:numId w:val="59"/>
      </w:numPr>
    </w:pPr>
  </w:style>
  <w:style w:type="character" w:customStyle="1" w:styleId="Mention4">
    <w:name w:val="Mention4"/>
    <w:basedOn w:val="DefaultParagraphFont"/>
    <w:uiPriority w:val="99"/>
    <w:unhideWhenUsed/>
    <w:rsid w:val="000558FB"/>
    <w:rPr>
      <w:color w:val="2B579A"/>
      <w:shd w:val="clear" w:color="auto" w:fill="E1DFDD"/>
    </w:rPr>
  </w:style>
  <w:style w:type="character" w:customStyle="1" w:styleId="UnresolvedMention200000000000000000010">
    <w:name w:val="Unresolved Mention200000000000000000010"/>
    <w:basedOn w:val="DefaultParagraphFont"/>
    <w:uiPriority w:val="99"/>
    <w:unhideWhenUsed/>
    <w:rsid w:val="000F2B37"/>
    <w:rPr>
      <w:color w:val="605E5C"/>
      <w:shd w:val="clear" w:color="auto" w:fill="E1DFDD"/>
    </w:rPr>
  </w:style>
  <w:style w:type="character" w:customStyle="1" w:styleId="UnresolvedMention2000000000000000000100">
    <w:name w:val="Unresolved Mention2000000000000000000100"/>
    <w:basedOn w:val="DefaultParagraphFont"/>
    <w:uiPriority w:val="99"/>
    <w:unhideWhenUsed/>
    <w:rsid w:val="008E18A9"/>
    <w:rPr>
      <w:color w:val="605E5C"/>
      <w:shd w:val="clear" w:color="auto" w:fill="E1DFDD"/>
    </w:rPr>
  </w:style>
  <w:style w:type="character" w:customStyle="1" w:styleId="UnresolvedMention20000000000000000001000">
    <w:name w:val="Unresolved Mention20000000000000000001000"/>
    <w:basedOn w:val="DefaultParagraphFont"/>
    <w:uiPriority w:val="99"/>
    <w:unhideWhenUsed/>
    <w:rsid w:val="0084359B"/>
    <w:rPr>
      <w:color w:val="605E5C"/>
      <w:shd w:val="clear" w:color="auto" w:fill="E1DFDD"/>
    </w:rPr>
  </w:style>
  <w:style w:type="character" w:customStyle="1" w:styleId="UnresolvedMention200000000000000000010000">
    <w:name w:val="Unresolved Mention200000000000000000010000"/>
    <w:basedOn w:val="DefaultParagraphFont"/>
    <w:uiPriority w:val="99"/>
    <w:unhideWhenUsed/>
    <w:rsid w:val="001A0287"/>
    <w:rPr>
      <w:color w:val="605E5C"/>
      <w:shd w:val="clear" w:color="auto" w:fill="E1DFDD"/>
    </w:rPr>
  </w:style>
  <w:style w:type="character" w:customStyle="1" w:styleId="UnresolvedMention2000000000000000000100000">
    <w:name w:val="Unresolved Mention2000000000000000000100000"/>
    <w:basedOn w:val="DefaultParagraphFont"/>
    <w:uiPriority w:val="99"/>
    <w:unhideWhenUsed/>
    <w:rsid w:val="005E5709"/>
    <w:rPr>
      <w:color w:val="605E5C"/>
      <w:shd w:val="clear" w:color="auto" w:fill="E1DFDD"/>
    </w:rPr>
  </w:style>
  <w:style w:type="character" w:customStyle="1" w:styleId="UnresolvedMention20000000000000000001000000">
    <w:name w:val="Unresolved Mention20000000000000000001000000"/>
    <w:basedOn w:val="DefaultParagraphFont"/>
    <w:uiPriority w:val="99"/>
    <w:unhideWhenUsed/>
    <w:rsid w:val="001C68DF"/>
    <w:rPr>
      <w:color w:val="605E5C"/>
      <w:shd w:val="clear" w:color="auto" w:fill="E1DFDD"/>
    </w:rPr>
  </w:style>
  <w:style w:type="character" w:customStyle="1" w:styleId="UnresolvedMention200000000000000000010000000">
    <w:name w:val="Unresolved Mention200000000000000000010000000"/>
    <w:basedOn w:val="DefaultParagraphFont"/>
    <w:uiPriority w:val="99"/>
    <w:unhideWhenUsed/>
    <w:rsid w:val="004D27AE"/>
    <w:rPr>
      <w:color w:val="605E5C"/>
      <w:shd w:val="clear" w:color="auto" w:fill="E1DFDD"/>
    </w:rPr>
  </w:style>
  <w:style w:type="character" w:customStyle="1" w:styleId="UnresolvedMention2000000000000000000100000000">
    <w:name w:val="Unresolved Mention2000000000000000000100000000"/>
    <w:basedOn w:val="DefaultParagraphFont"/>
    <w:uiPriority w:val="99"/>
    <w:unhideWhenUsed/>
    <w:rsid w:val="00015633"/>
    <w:rPr>
      <w:color w:val="605E5C"/>
      <w:shd w:val="clear" w:color="auto" w:fill="E1DFDD"/>
    </w:rPr>
  </w:style>
  <w:style w:type="character" w:customStyle="1" w:styleId="UnresolvedMention20000000000000000001000000000">
    <w:name w:val="Unresolved Mention20000000000000000001000000000"/>
    <w:basedOn w:val="DefaultParagraphFont"/>
    <w:uiPriority w:val="99"/>
    <w:unhideWhenUsed/>
    <w:rsid w:val="00D44E16"/>
    <w:rPr>
      <w:color w:val="605E5C"/>
      <w:shd w:val="clear" w:color="auto" w:fill="E1DFDD"/>
    </w:rPr>
  </w:style>
  <w:style w:type="character" w:customStyle="1" w:styleId="UnresolvedMention200000000000000000010000000000">
    <w:name w:val="Unresolved Mention200000000000000000010000000000"/>
    <w:basedOn w:val="DefaultParagraphFont"/>
    <w:uiPriority w:val="99"/>
    <w:unhideWhenUsed/>
    <w:rsid w:val="007B26D7"/>
    <w:rPr>
      <w:color w:val="605E5C"/>
      <w:shd w:val="clear" w:color="auto" w:fill="E1DFDD"/>
    </w:rPr>
  </w:style>
  <w:style w:type="character" w:customStyle="1" w:styleId="UnresolvedMention2000000000000000000100000000000">
    <w:name w:val="Unresolved Mention2000000000000000000100000000000"/>
    <w:basedOn w:val="DefaultParagraphFont"/>
    <w:uiPriority w:val="99"/>
    <w:unhideWhenUsed/>
    <w:rsid w:val="00E47C95"/>
    <w:rPr>
      <w:color w:val="605E5C"/>
      <w:shd w:val="clear" w:color="auto" w:fill="E1DFDD"/>
    </w:rPr>
  </w:style>
  <w:style w:type="character" w:customStyle="1" w:styleId="UnresolvedMention20000000000000000001000000000000">
    <w:name w:val="Unresolved Mention20000000000000000001000000000000"/>
    <w:basedOn w:val="DefaultParagraphFont"/>
    <w:uiPriority w:val="99"/>
    <w:unhideWhenUsed/>
    <w:rsid w:val="00B07288"/>
    <w:rPr>
      <w:color w:val="605E5C"/>
      <w:shd w:val="clear" w:color="auto" w:fill="E1DFDD"/>
    </w:rPr>
  </w:style>
  <w:style w:type="character" w:customStyle="1" w:styleId="UnresolvedMention200000000000000000010000000000000">
    <w:name w:val="Unresolved Mention200000000000000000010000000000000"/>
    <w:basedOn w:val="DefaultParagraphFont"/>
    <w:uiPriority w:val="99"/>
    <w:unhideWhenUsed/>
    <w:rsid w:val="003E5785"/>
    <w:rPr>
      <w:color w:val="605E5C"/>
      <w:shd w:val="clear" w:color="auto" w:fill="E1DFDD"/>
    </w:rPr>
  </w:style>
  <w:style w:type="character" w:customStyle="1" w:styleId="UnresolvedMention2000000000000000000100000000000000">
    <w:name w:val="Unresolved Mention2000000000000000000100000000000000"/>
    <w:basedOn w:val="DefaultParagraphFont"/>
    <w:uiPriority w:val="99"/>
    <w:unhideWhenUsed/>
    <w:rsid w:val="00273216"/>
    <w:rPr>
      <w:color w:val="605E5C"/>
      <w:shd w:val="clear" w:color="auto" w:fill="E1DFDD"/>
    </w:rPr>
  </w:style>
  <w:style w:type="character" w:customStyle="1" w:styleId="UnresolvedMention20000000000000000001000000000000000">
    <w:name w:val="Unresolved Mention20000000000000000001000000000000000"/>
    <w:basedOn w:val="DefaultParagraphFont"/>
    <w:uiPriority w:val="99"/>
    <w:unhideWhenUsed/>
    <w:rsid w:val="006F562C"/>
    <w:rPr>
      <w:color w:val="605E5C"/>
      <w:shd w:val="clear" w:color="auto" w:fill="E1DFDD"/>
    </w:rPr>
  </w:style>
  <w:style w:type="character" w:customStyle="1" w:styleId="UnresolvedMention200000000000000000010000000000000000">
    <w:name w:val="Unresolved Mention200000000000000000010000000000000000"/>
    <w:basedOn w:val="DefaultParagraphFont"/>
    <w:uiPriority w:val="99"/>
    <w:unhideWhenUsed/>
    <w:rsid w:val="00DE0FAB"/>
    <w:rPr>
      <w:color w:val="605E5C"/>
      <w:shd w:val="clear" w:color="auto" w:fill="E1DFDD"/>
    </w:rPr>
  </w:style>
  <w:style w:type="character" w:customStyle="1" w:styleId="UnresolvedMention2000000000000000000100000000000000000">
    <w:name w:val="Unresolved Mention2000000000000000000100000000000000000"/>
    <w:basedOn w:val="DefaultParagraphFont"/>
    <w:uiPriority w:val="99"/>
    <w:unhideWhenUsed/>
    <w:rsid w:val="007F031A"/>
    <w:rPr>
      <w:color w:val="605E5C"/>
      <w:shd w:val="clear" w:color="auto" w:fill="E1DFDD"/>
    </w:rPr>
  </w:style>
  <w:style w:type="character" w:customStyle="1" w:styleId="UnresolvedMention20000000000000000001000000000000000000">
    <w:name w:val="Unresolved Mention20000000000000000001000000000000000000"/>
    <w:basedOn w:val="DefaultParagraphFont"/>
    <w:uiPriority w:val="99"/>
    <w:unhideWhenUsed/>
    <w:rsid w:val="00DB1424"/>
    <w:rPr>
      <w:color w:val="605E5C"/>
      <w:shd w:val="clear" w:color="auto" w:fill="E1DFDD"/>
    </w:rPr>
  </w:style>
  <w:style w:type="character" w:customStyle="1" w:styleId="UnresolvedMention200000000000000000010000000000000000000">
    <w:name w:val="Unresolved Mention200000000000000000010000000000000000000"/>
    <w:basedOn w:val="DefaultParagraphFont"/>
    <w:uiPriority w:val="99"/>
    <w:unhideWhenUsed/>
    <w:rsid w:val="0037769B"/>
    <w:rPr>
      <w:color w:val="605E5C"/>
      <w:shd w:val="clear" w:color="auto" w:fill="E1DFDD"/>
    </w:rPr>
  </w:style>
  <w:style w:type="character" w:customStyle="1" w:styleId="UnresolvedMention2000000000000000000100000000000000000000">
    <w:name w:val="Unresolved Mention2000000000000000000100000000000000000000"/>
    <w:basedOn w:val="DefaultParagraphFont"/>
    <w:uiPriority w:val="99"/>
    <w:unhideWhenUsed/>
    <w:rsid w:val="00FA7EA2"/>
    <w:rPr>
      <w:color w:val="605E5C"/>
      <w:shd w:val="clear" w:color="auto" w:fill="E1DFDD"/>
    </w:rPr>
  </w:style>
  <w:style w:type="character" w:customStyle="1" w:styleId="UnresolvedMention20000000000000000001000000000000000000000">
    <w:name w:val="Unresolved Mention20000000000000000001000000000000000000000"/>
    <w:basedOn w:val="DefaultParagraphFont"/>
    <w:uiPriority w:val="99"/>
    <w:unhideWhenUsed/>
    <w:rsid w:val="00D039CD"/>
    <w:rPr>
      <w:color w:val="605E5C"/>
      <w:shd w:val="clear" w:color="auto" w:fill="E1DFDD"/>
    </w:rPr>
  </w:style>
  <w:style w:type="character" w:customStyle="1" w:styleId="UnresolvedMention200000000000000000010000000000000000000000">
    <w:name w:val="Unresolved Mention200000000000000000010000000000000000000000"/>
    <w:basedOn w:val="DefaultParagraphFont"/>
    <w:uiPriority w:val="99"/>
    <w:unhideWhenUsed/>
    <w:rsid w:val="00F703B5"/>
    <w:rPr>
      <w:color w:val="605E5C"/>
      <w:shd w:val="clear" w:color="auto" w:fill="E1DFDD"/>
    </w:rPr>
  </w:style>
  <w:style w:type="character" w:customStyle="1" w:styleId="UnresolvedMention2000000000000000000100000000000000000000000">
    <w:name w:val="Unresolved Mention2000000000000000000100000000000000000000000"/>
    <w:basedOn w:val="DefaultParagraphFont"/>
    <w:uiPriority w:val="99"/>
    <w:unhideWhenUsed/>
    <w:rsid w:val="00453CEA"/>
    <w:rPr>
      <w:color w:val="605E5C"/>
      <w:shd w:val="clear" w:color="auto" w:fill="E1DFDD"/>
    </w:rPr>
  </w:style>
  <w:style w:type="character" w:customStyle="1" w:styleId="UnresolvedMention20000000000000000001000000000000000000000000">
    <w:name w:val="Unresolved Mention20000000000000000001000000000000000000000000"/>
    <w:basedOn w:val="DefaultParagraphFont"/>
    <w:uiPriority w:val="99"/>
    <w:unhideWhenUsed/>
    <w:rsid w:val="005052FC"/>
    <w:rPr>
      <w:color w:val="605E5C"/>
      <w:shd w:val="clear" w:color="auto" w:fill="E1DFDD"/>
    </w:rPr>
  </w:style>
  <w:style w:type="character" w:customStyle="1" w:styleId="UnresolvedMention200000000000000000010000000000000000000000000">
    <w:name w:val="Unresolved Mention200000000000000000010000000000000000000000000"/>
    <w:basedOn w:val="DefaultParagraphFont"/>
    <w:uiPriority w:val="99"/>
    <w:unhideWhenUsed/>
    <w:rsid w:val="002C6084"/>
    <w:rPr>
      <w:color w:val="605E5C"/>
      <w:shd w:val="clear" w:color="auto" w:fill="E1DFDD"/>
    </w:rPr>
  </w:style>
  <w:style w:type="character" w:customStyle="1" w:styleId="UnresolvedMention2000000000000000000100000000000000000000000000">
    <w:name w:val="Unresolved Mention2000000000000000000100000000000000000000000000"/>
    <w:basedOn w:val="DefaultParagraphFont"/>
    <w:uiPriority w:val="99"/>
    <w:unhideWhenUsed/>
    <w:rsid w:val="00E46C49"/>
    <w:rPr>
      <w:color w:val="605E5C"/>
      <w:shd w:val="clear" w:color="auto" w:fill="E1DFDD"/>
    </w:rPr>
  </w:style>
  <w:style w:type="character" w:customStyle="1" w:styleId="UnresolvedMention20000000000000000001000000000000000000000000000">
    <w:name w:val="Unresolved Mention20000000000000000001000000000000000000000000000"/>
    <w:basedOn w:val="DefaultParagraphFont"/>
    <w:uiPriority w:val="99"/>
    <w:unhideWhenUsed/>
    <w:rsid w:val="00E9407E"/>
    <w:rPr>
      <w:color w:val="605E5C"/>
      <w:shd w:val="clear" w:color="auto" w:fill="E1DFDD"/>
    </w:rPr>
  </w:style>
  <w:style w:type="character" w:customStyle="1" w:styleId="UnresolvedMention200000000000000000010000000000000000000000000000">
    <w:name w:val="Unresolved Mention200000000000000000010000000000000000000000000000"/>
    <w:basedOn w:val="DefaultParagraphFont"/>
    <w:uiPriority w:val="99"/>
    <w:unhideWhenUsed/>
    <w:rsid w:val="00B71B45"/>
    <w:rPr>
      <w:color w:val="605E5C"/>
      <w:shd w:val="clear" w:color="auto" w:fill="E1DFDD"/>
    </w:rPr>
  </w:style>
  <w:style w:type="character" w:customStyle="1" w:styleId="UnresolvedMention2000000000000000000100000000000000000000000000001">
    <w:name w:val="Unresolved Mention2000000000000000000100000000000000000000000000001"/>
    <w:basedOn w:val="DefaultParagraphFont"/>
    <w:uiPriority w:val="99"/>
    <w:unhideWhenUsed/>
    <w:rsid w:val="00C6435C"/>
    <w:rPr>
      <w:color w:val="605E5C"/>
      <w:shd w:val="clear" w:color="auto" w:fill="E1DFDD"/>
    </w:rPr>
  </w:style>
  <w:style w:type="character" w:customStyle="1" w:styleId="UnresolvedMention20000000000000000001000000000000000000000000000010">
    <w:name w:val="Unresolved Mention20000000000000000001000000000000000000000000000010"/>
    <w:basedOn w:val="DefaultParagraphFont"/>
    <w:uiPriority w:val="99"/>
    <w:unhideWhenUsed/>
    <w:rsid w:val="00E52445"/>
    <w:rPr>
      <w:color w:val="605E5C"/>
      <w:shd w:val="clear" w:color="auto" w:fill="E1DFDD"/>
    </w:rPr>
  </w:style>
  <w:style w:type="character" w:customStyle="1" w:styleId="UnresolvedMention4">
    <w:name w:val="Unresolved Mention4"/>
    <w:basedOn w:val="DefaultParagraphFont"/>
    <w:uiPriority w:val="99"/>
    <w:unhideWhenUsed/>
    <w:rsid w:val="008366A1"/>
    <w:rPr>
      <w:color w:val="605E5C"/>
      <w:shd w:val="clear" w:color="auto" w:fill="E1DFDD"/>
    </w:rPr>
  </w:style>
  <w:style w:type="character" w:customStyle="1" w:styleId="Mention5">
    <w:name w:val="Mention5"/>
    <w:basedOn w:val="DefaultParagraphFont"/>
    <w:uiPriority w:val="99"/>
    <w:unhideWhenUsed/>
    <w:rsid w:val="008366A1"/>
    <w:rPr>
      <w:color w:val="2B579A"/>
      <w:shd w:val="clear" w:color="auto" w:fill="E1DFDD"/>
    </w:rPr>
  </w:style>
  <w:style w:type="character" w:customStyle="1" w:styleId="UnresolvedMention200000000000000000010000000000000000000000000000100">
    <w:name w:val="Unresolved Mention200000000000000000010000000000000000000000000000100"/>
    <w:basedOn w:val="DefaultParagraphFont"/>
    <w:uiPriority w:val="99"/>
    <w:unhideWhenUsed/>
    <w:rsid w:val="00734E83"/>
    <w:rPr>
      <w:color w:val="605E5C"/>
      <w:shd w:val="clear" w:color="auto" w:fill="E1DFDD"/>
    </w:rPr>
  </w:style>
  <w:style w:type="character" w:customStyle="1" w:styleId="UnresolvedMention2000000000000000000100000000000000000000000000001000">
    <w:name w:val="Unresolved Mention2000000000000000000100000000000000000000000000001000"/>
    <w:basedOn w:val="DefaultParagraphFont"/>
    <w:uiPriority w:val="99"/>
    <w:unhideWhenUsed/>
    <w:rsid w:val="00126D38"/>
    <w:rPr>
      <w:color w:val="605E5C"/>
      <w:shd w:val="clear" w:color="auto" w:fill="E1DFDD"/>
    </w:rPr>
  </w:style>
  <w:style w:type="character" w:customStyle="1" w:styleId="UnresolvedMention20000000000000000001000000000000000000000000000010000">
    <w:name w:val="Unresolved Mention20000000000000000001000000000000000000000000000010000"/>
    <w:basedOn w:val="DefaultParagraphFont"/>
    <w:uiPriority w:val="99"/>
    <w:unhideWhenUsed/>
    <w:rsid w:val="00027000"/>
    <w:rPr>
      <w:color w:val="605E5C"/>
      <w:shd w:val="clear" w:color="auto" w:fill="E1DFDD"/>
    </w:rPr>
  </w:style>
  <w:style w:type="character" w:customStyle="1" w:styleId="UnresolvedMention200000000000000000010000000000000000000000000000100000">
    <w:name w:val="Unresolved Mention200000000000000000010000000000000000000000000000100000"/>
    <w:basedOn w:val="DefaultParagraphFont"/>
    <w:uiPriority w:val="99"/>
    <w:unhideWhenUsed/>
    <w:rsid w:val="001F01A6"/>
    <w:rPr>
      <w:color w:val="605E5C"/>
      <w:shd w:val="clear" w:color="auto" w:fill="E1DFDD"/>
    </w:rPr>
  </w:style>
  <w:style w:type="character" w:customStyle="1" w:styleId="UnresolvedMention2000000000000000000100000000000000000000000000001000000">
    <w:name w:val="Unresolved Mention2000000000000000000100000000000000000000000000001000000"/>
    <w:basedOn w:val="DefaultParagraphFont"/>
    <w:uiPriority w:val="99"/>
    <w:unhideWhenUsed/>
    <w:rsid w:val="002A4A98"/>
    <w:rPr>
      <w:color w:val="605E5C"/>
      <w:shd w:val="clear" w:color="auto" w:fill="E1DFDD"/>
    </w:rPr>
  </w:style>
  <w:style w:type="character" w:customStyle="1" w:styleId="UnresolvedMention20000000000000000001000000000000000000000000000010000000">
    <w:name w:val="Unresolved Mention20000000000000000001000000000000000000000000000010000000"/>
    <w:basedOn w:val="DefaultParagraphFont"/>
    <w:uiPriority w:val="99"/>
    <w:unhideWhenUsed/>
    <w:rsid w:val="000F53EE"/>
    <w:rPr>
      <w:color w:val="605E5C"/>
      <w:shd w:val="clear" w:color="auto" w:fill="E1DFDD"/>
    </w:rPr>
  </w:style>
  <w:style w:type="character" w:customStyle="1" w:styleId="UnresolvedMention200000000000000000010000000000000000000000000000100000000">
    <w:name w:val="Unresolved Mention200000000000000000010000000000000000000000000000100000000"/>
    <w:basedOn w:val="DefaultParagraphFont"/>
    <w:uiPriority w:val="99"/>
    <w:unhideWhenUsed/>
    <w:rsid w:val="00AC1E3B"/>
    <w:rPr>
      <w:color w:val="605E5C"/>
      <w:shd w:val="clear" w:color="auto" w:fill="E1DFDD"/>
    </w:rPr>
  </w:style>
  <w:style w:type="character" w:customStyle="1" w:styleId="UnresolvedMention2000000000000000000100000000000000000000000000001000000000">
    <w:name w:val="Unresolved Mention2000000000000000000100000000000000000000000000001000000000"/>
    <w:basedOn w:val="DefaultParagraphFont"/>
    <w:uiPriority w:val="99"/>
    <w:unhideWhenUsed/>
    <w:rsid w:val="00191322"/>
    <w:rPr>
      <w:color w:val="605E5C"/>
      <w:shd w:val="clear" w:color="auto" w:fill="E1DFDD"/>
    </w:rPr>
  </w:style>
  <w:style w:type="character" w:customStyle="1" w:styleId="UnresolvedMention20000000000000000001000000000000000000000000000010000000000">
    <w:name w:val="Unresolved Mention20000000000000000001000000000000000000000000000010000000000"/>
    <w:basedOn w:val="DefaultParagraphFont"/>
    <w:uiPriority w:val="99"/>
    <w:unhideWhenUsed/>
    <w:rsid w:val="0083780C"/>
    <w:rPr>
      <w:color w:val="605E5C"/>
      <w:shd w:val="clear" w:color="auto" w:fill="E1DFDD"/>
    </w:rPr>
  </w:style>
  <w:style w:type="character" w:customStyle="1" w:styleId="UnresolvedMention5">
    <w:name w:val="Unresolved Mention5"/>
    <w:basedOn w:val="DefaultParagraphFont"/>
    <w:uiPriority w:val="99"/>
    <w:unhideWhenUsed/>
    <w:rsid w:val="00D52066"/>
    <w:rPr>
      <w:color w:val="605E5C"/>
      <w:shd w:val="clear" w:color="auto" w:fill="E1DFDD"/>
    </w:rPr>
  </w:style>
  <w:style w:type="character" w:customStyle="1" w:styleId="Mention6">
    <w:name w:val="Mention6"/>
    <w:basedOn w:val="DefaultParagraphFont"/>
    <w:uiPriority w:val="99"/>
    <w:unhideWhenUsed/>
    <w:rsid w:val="00D52066"/>
    <w:rPr>
      <w:color w:val="2B579A"/>
      <w:shd w:val="clear" w:color="auto" w:fill="E1DFDD"/>
    </w:rPr>
  </w:style>
  <w:style w:type="character" w:customStyle="1" w:styleId="UnresolvedMention200000000000000000010000000000000000000000000000100000000000">
    <w:name w:val="Unresolved Mention200000000000000000010000000000000000000000000000100000000000"/>
    <w:basedOn w:val="DefaultParagraphFont"/>
    <w:uiPriority w:val="99"/>
    <w:unhideWhenUsed/>
    <w:rsid w:val="006876CD"/>
    <w:rPr>
      <w:color w:val="605E5C"/>
      <w:shd w:val="clear" w:color="auto" w:fill="E1DFDD"/>
    </w:rPr>
  </w:style>
  <w:style w:type="character" w:customStyle="1" w:styleId="UnresolvedMention6">
    <w:name w:val="Unresolved Mention6"/>
    <w:basedOn w:val="DefaultParagraphFont"/>
    <w:uiPriority w:val="99"/>
    <w:unhideWhenUsed/>
    <w:rsid w:val="006876CD"/>
    <w:rPr>
      <w:color w:val="605E5C"/>
      <w:shd w:val="clear" w:color="auto" w:fill="E1DFDD"/>
    </w:rPr>
  </w:style>
  <w:style w:type="character" w:customStyle="1" w:styleId="Mention7">
    <w:name w:val="Mention7"/>
    <w:basedOn w:val="DefaultParagraphFont"/>
    <w:uiPriority w:val="99"/>
    <w:unhideWhenUsed/>
    <w:rsid w:val="006876CD"/>
    <w:rPr>
      <w:color w:val="2B579A"/>
      <w:shd w:val="clear" w:color="auto" w:fill="E1DFDD"/>
    </w:rPr>
  </w:style>
  <w:style w:type="character" w:customStyle="1" w:styleId="UnresolvedMention2000000000000000000100000000000000000000000000001000000000000">
    <w:name w:val="Unresolved Mention2000000000000000000100000000000000000000000000001000000000000"/>
    <w:basedOn w:val="DefaultParagraphFont"/>
    <w:uiPriority w:val="99"/>
    <w:unhideWhenUsed/>
    <w:rsid w:val="00890C15"/>
    <w:rPr>
      <w:color w:val="605E5C"/>
      <w:shd w:val="clear" w:color="auto" w:fill="E1DFDD"/>
    </w:rPr>
  </w:style>
  <w:style w:type="table" w:styleId="TableGridLight">
    <w:name w:val="Grid Table Light"/>
    <w:basedOn w:val="TableNormal"/>
    <w:uiPriority w:val="40"/>
    <w:rsid w:val="007E1B0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20000000000000000001000000000000000000000000000010000000000000">
    <w:name w:val="Unresolved Mention20000000000000000001000000000000000000000000000010000000000000"/>
    <w:basedOn w:val="DefaultParagraphFont"/>
    <w:uiPriority w:val="99"/>
    <w:unhideWhenUsed/>
    <w:rsid w:val="00E630E3"/>
    <w:rPr>
      <w:color w:val="605E5C"/>
      <w:shd w:val="clear" w:color="auto" w:fill="E1DFDD"/>
    </w:rPr>
  </w:style>
  <w:style w:type="paragraph" w:customStyle="1" w:styleId="paragraph">
    <w:name w:val="paragraph"/>
    <w:basedOn w:val="Normal"/>
    <w:rsid w:val="00E85A4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E85A43"/>
  </w:style>
  <w:style w:type="character" w:customStyle="1" w:styleId="eop">
    <w:name w:val="eop"/>
    <w:basedOn w:val="DefaultParagraphFont"/>
    <w:rsid w:val="00E85A43"/>
  </w:style>
  <w:style w:type="character" w:customStyle="1" w:styleId="UnresolvedMention7">
    <w:name w:val="Unresolved Mention7"/>
    <w:basedOn w:val="DefaultParagraphFont"/>
    <w:uiPriority w:val="99"/>
    <w:unhideWhenUsed/>
    <w:rsid w:val="003A39A7"/>
    <w:rPr>
      <w:color w:val="605E5C"/>
      <w:shd w:val="clear" w:color="auto" w:fill="E1DFDD"/>
    </w:rPr>
  </w:style>
  <w:style w:type="character" w:customStyle="1" w:styleId="Mention8">
    <w:name w:val="Mention8"/>
    <w:basedOn w:val="DefaultParagraphFont"/>
    <w:uiPriority w:val="99"/>
    <w:unhideWhenUsed/>
    <w:rsid w:val="003A39A7"/>
    <w:rPr>
      <w:color w:val="2B579A"/>
      <w:shd w:val="clear" w:color="auto" w:fill="E1DFDD"/>
    </w:rPr>
  </w:style>
  <w:style w:type="character" w:customStyle="1" w:styleId="UnresolvedMention200000000000000000010000000000000000000000000000100000000000000">
    <w:name w:val="Unresolved Mention200000000000000000010000000000000000000000000000100000000000000"/>
    <w:basedOn w:val="DefaultParagraphFont"/>
    <w:uiPriority w:val="99"/>
    <w:unhideWhenUsed/>
    <w:rsid w:val="0012555C"/>
    <w:rPr>
      <w:color w:val="605E5C"/>
      <w:shd w:val="clear" w:color="auto" w:fill="E1DFDD"/>
    </w:rPr>
  </w:style>
  <w:style w:type="character" w:customStyle="1" w:styleId="UnresolvedMention2000000000000000000100000000000000000000000000001000000000000000">
    <w:name w:val="Unresolved Mention2000000000000000000100000000000000000000000000001000000000000000"/>
    <w:basedOn w:val="DefaultParagraphFont"/>
    <w:uiPriority w:val="99"/>
    <w:unhideWhenUsed/>
    <w:rsid w:val="00235A59"/>
    <w:rPr>
      <w:color w:val="605E5C"/>
      <w:shd w:val="clear" w:color="auto" w:fill="E1DFDD"/>
    </w:rPr>
  </w:style>
  <w:style w:type="character" w:customStyle="1" w:styleId="UnresolvedMention20000000000000000001000000000000000000000000000010000000000000000">
    <w:name w:val="Unresolved Mention20000000000000000001000000000000000000000000000010000000000000000"/>
    <w:basedOn w:val="DefaultParagraphFont"/>
    <w:uiPriority w:val="99"/>
    <w:unhideWhenUsed/>
    <w:rsid w:val="008772BA"/>
    <w:rPr>
      <w:color w:val="605E5C"/>
      <w:shd w:val="clear" w:color="auto" w:fill="E1DFDD"/>
    </w:rPr>
  </w:style>
  <w:style w:type="character" w:customStyle="1" w:styleId="UnresolvedMention200000000000000000010000000000000000000000000000100000000000000000">
    <w:name w:val="Unresolved Mention200000000000000000010000000000000000000000000000100000000000000000"/>
    <w:basedOn w:val="DefaultParagraphFont"/>
    <w:uiPriority w:val="99"/>
    <w:unhideWhenUsed/>
    <w:rsid w:val="00056FB8"/>
    <w:rPr>
      <w:color w:val="605E5C"/>
      <w:shd w:val="clear" w:color="auto" w:fill="E1DFDD"/>
    </w:rPr>
  </w:style>
  <w:style w:type="character" w:customStyle="1" w:styleId="UnresolvedMention2000000000000000000100000000000000000000000000001000000000000000000">
    <w:name w:val="Unresolved Mention2000000000000000000100000000000000000000000000001000000000000000000"/>
    <w:basedOn w:val="DefaultParagraphFont"/>
    <w:uiPriority w:val="99"/>
    <w:unhideWhenUsed/>
    <w:rsid w:val="00965350"/>
    <w:rPr>
      <w:color w:val="605E5C"/>
      <w:shd w:val="clear" w:color="auto" w:fill="E1DFDD"/>
    </w:rPr>
  </w:style>
  <w:style w:type="character" w:customStyle="1" w:styleId="UnresolvedMention20000000000000000001000000000000000000000000000010000000000000000000">
    <w:name w:val="Unresolved Mention20000000000000000001000000000000000000000000000010000000000000000000"/>
    <w:basedOn w:val="DefaultParagraphFont"/>
    <w:uiPriority w:val="99"/>
    <w:unhideWhenUsed/>
    <w:rsid w:val="000F4DCB"/>
    <w:rPr>
      <w:color w:val="605E5C"/>
      <w:shd w:val="clear" w:color="auto" w:fill="E1DFDD"/>
    </w:rPr>
  </w:style>
  <w:style w:type="character" w:customStyle="1" w:styleId="UnresolvedMention200000000000000000010000000000000000000000000000100000000000000000000">
    <w:name w:val="Unresolved Mention200000000000000000010000000000000000000000000000100000000000000000000"/>
    <w:basedOn w:val="DefaultParagraphFont"/>
    <w:uiPriority w:val="99"/>
    <w:unhideWhenUsed/>
    <w:rsid w:val="00606934"/>
    <w:rPr>
      <w:color w:val="605E5C"/>
      <w:shd w:val="clear" w:color="auto" w:fill="E1DFDD"/>
    </w:rPr>
  </w:style>
  <w:style w:type="character" w:customStyle="1" w:styleId="UnresolvedMention2000000000000000000100000000000000000000000000001000000000000000000000">
    <w:name w:val="Unresolved Mention2000000000000000000100000000000000000000000000001000000000000000000000"/>
    <w:basedOn w:val="DefaultParagraphFont"/>
    <w:uiPriority w:val="99"/>
    <w:unhideWhenUsed/>
    <w:rsid w:val="0088215F"/>
    <w:rPr>
      <w:color w:val="605E5C"/>
      <w:shd w:val="clear" w:color="auto" w:fill="E1DFDD"/>
    </w:rPr>
  </w:style>
  <w:style w:type="character" w:customStyle="1" w:styleId="UnresolvedMention20000000000000000001000000000000000000000000000010000000000000000000000">
    <w:name w:val="Unresolved Mention20000000000000000001000000000000000000000000000010000000000000000000000"/>
    <w:basedOn w:val="DefaultParagraphFont"/>
    <w:uiPriority w:val="99"/>
    <w:unhideWhenUsed/>
    <w:rsid w:val="00BB3816"/>
    <w:rPr>
      <w:color w:val="605E5C"/>
      <w:shd w:val="clear" w:color="auto" w:fill="E1DFDD"/>
    </w:rPr>
  </w:style>
  <w:style w:type="character" w:customStyle="1" w:styleId="UnresolvedMention200000000000000000010000000000000000000000000000100000000000000000000000">
    <w:name w:val="Unresolved Mention200000000000000000010000000000000000000000000000100000000000000000000000"/>
    <w:basedOn w:val="DefaultParagraphFont"/>
    <w:uiPriority w:val="99"/>
    <w:unhideWhenUsed/>
    <w:rsid w:val="00FD7618"/>
    <w:rPr>
      <w:color w:val="605E5C"/>
      <w:shd w:val="clear" w:color="auto" w:fill="E1DFDD"/>
    </w:rPr>
  </w:style>
  <w:style w:type="character" w:customStyle="1" w:styleId="UnresolvedMention2000000000000000000100000000000000000000000000001000000000000000000000000">
    <w:name w:val="Unresolved Mention2000000000000000000100000000000000000000000000001000000000000000000000000"/>
    <w:basedOn w:val="DefaultParagraphFont"/>
    <w:uiPriority w:val="99"/>
    <w:unhideWhenUsed/>
    <w:rsid w:val="00B32E35"/>
    <w:rPr>
      <w:color w:val="605E5C"/>
      <w:shd w:val="clear" w:color="auto" w:fill="E1DFDD"/>
    </w:rPr>
  </w:style>
  <w:style w:type="character" w:customStyle="1" w:styleId="UnresolvedMention20000000000000000001000000000000000000000000000010000000000000000000000000">
    <w:name w:val="Unresolved Mention20000000000000000001000000000000000000000000000010000000000000000000000000"/>
    <w:basedOn w:val="DefaultParagraphFont"/>
    <w:uiPriority w:val="99"/>
    <w:unhideWhenUsed/>
    <w:rsid w:val="00B32E35"/>
    <w:rPr>
      <w:color w:val="605E5C"/>
      <w:shd w:val="clear" w:color="auto" w:fill="E1DFDD"/>
    </w:rPr>
  </w:style>
  <w:style w:type="character" w:customStyle="1" w:styleId="UnresolvedMention200000000000000000010000000000000000000000000000100000000000000000000000000">
    <w:name w:val="Unresolved Mention200000000000000000010000000000000000000000000000100000000000000000000000000"/>
    <w:basedOn w:val="DefaultParagraphFont"/>
    <w:uiPriority w:val="99"/>
    <w:unhideWhenUsed/>
    <w:rsid w:val="00B32E35"/>
    <w:rPr>
      <w:color w:val="605E5C"/>
      <w:shd w:val="clear" w:color="auto" w:fill="E1DFDD"/>
    </w:rPr>
  </w:style>
  <w:style w:type="character" w:customStyle="1" w:styleId="UnresolvedMention2000000000000000000100000000000000000000000000001000000000000000000000000000">
    <w:name w:val="Unresolved Mention2000000000000000000100000000000000000000000000001000000000000000000000000000"/>
    <w:basedOn w:val="DefaultParagraphFont"/>
    <w:uiPriority w:val="99"/>
    <w:unhideWhenUsed/>
    <w:rsid w:val="00B32E35"/>
    <w:rPr>
      <w:color w:val="605E5C"/>
      <w:shd w:val="clear" w:color="auto" w:fill="E1DFDD"/>
    </w:rPr>
  </w:style>
  <w:style w:type="character" w:customStyle="1" w:styleId="UnresolvedMention20000000000000000001000000000000000000000000000010000000000000000000000000000">
    <w:name w:val="Unresolved Mention20000000000000000001000000000000000000000000000010000000000000000000000000000"/>
    <w:basedOn w:val="DefaultParagraphFont"/>
    <w:uiPriority w:val="99"/>
    <w:unhideWhenUsed/>
    <w:rsid w:val="00B32E35"/>
    <w:rPr>
      <w:color w:val="605E5C"/>
      <w:shd w:val="clear" w:color="auto" w:fill="E1DFDD"/>
    </w:rPr>
  </w:style>
  <w:style w:type="character" w:customStyle="1" w:styleId="UnresolvedMention200000000000000000010000000000000000000000000000100000000000000000000000000000">
    <w:name w:val="Unresolved Mention200000000000000000010000000000000000000000000000100000000000000000000000000000"/>
    <w:basedOn w:val="DefaultParagraphFont"/>
    <w:uiPriority w:val="99"/>
    <w:unhideWhenUsed/>
    <w:rsid w:val="00B32E35"/>
    <w:rPr>
      <w:color w:val="605E5C"/>
      <w:shd w:val="clear" w:color="auto" w:fill="E1DFDD"/>
    </w:rPr>
  </w:style>
  <w:style w:type="character" w:customStyle="1" w:styleId="UnresolvedMention2000000000000000000100000000000000000000000000001000000000000000000000000000000">
    <w:name w:val="Unresolved Mention2000000000000000000100000000000000000000000000001000000000000000000000000000000"/>
    <w:basedOn w:val="DefaultParagraphFont"/>
    <w:uiPriority w:val="99"/>
    <w:unhideWhenUsed/>
    <w:rsid w:val="00B32E35"/>
    <w:rPr>
      <w:color w:val="605E5C"/>
      <w:shd w:val="clear" w:color="auto" w:fill="E1DFDD"/>
    </w:rPr>
  </w:style>
  <w:style w:type="character" w:customStyle="1" w:styleId="UnresolvedMention20000000000000000001000000000000000000000000000010000000000000000000000000000000">
    <w:name w:val="Unresolved Mention20000000000000000001000000000000000000000000000010000000000000000000000000000000"/>
    <w:basedOn w:val="DefaultParagraphFont"/>
    <w:uiPriority w:val="99"/>
    <w:unhideWhenUsed/>
    <w:rsid w:val="00B32E35"/>
    <w:rPr>
      <w:color w:val="605E5C"/>
      <w:shd w:val="clear" w:color="auto" w:fill="E1DFDD"/>
    </w:rPr>
  </w:style>
  <w:style w:type="character" w:customStyle="1" w:styleId="UnresolvedMention200000000000000000010000000000000000000000000000100000000000000000000000000000000">
    <w:name w:val="Unresolved Mention200000000000000000010000000000000000000000000000100000000000000000000000000000000"/>
    <w:basedOn w:val="DefaultParagraphFont"/>
    <w:uiPriority w:val="99"/>
    <w:unhideWhenUsed/>
    <w:rsid w:val="00B32E35"/>
    <w:rPr>
      <w:color w:val="605E5C"/>
      <w:shd w:val="clear" w:color="auto" w:fill="E1DFDD"/>
    </w:rPr>
  </w:style>
  <w:style w:type="character" w:customStyle="1" w:styleId="UnresolvedMention2000000000000000000100000000000000000000000000001000000000000000000000000000000000">
    <w:name w:val="Unresolved Mention2000000000000000000100000000000000000000000000001000000000000000000000000000000000"/>
    <w:basedOn w:val="DefaultParagraphFont"/>
    <w:uiPriority w:val="99"/>
    <w:unhideWhenUsed/>
    <w:rsid w:val="00B32E35"/>
    <w:rPr>
      <w:color w:val="605E5C"/>
      <w:shd w:val="clear" w:color="auto" w:fill="E1DFDD"/>
    </w:rPr>
  </w:style>
  <w:style w:type="character" w:customStyle="1" w:styleId="UnresolvedMention20000000000000000001000000000000000000000000000010000000000000000000000000000000000">
    <w:name w:val="Unresolved Mention20000000000000000001000000000000000000000000000010000000000000000000000000000000000"/>
    <w:basedOn w:val="DefaultParagraphFont"/>
    <w:uiPriority w:val="99"/>
    <w:unhideWhenUsed/>
    <w:rsid w:val="00B32E35"/>
    <w:rPr>
      <w:color w:val="605E5C"/>
      <w:shd w:val="clear" w:color="auto" w:fill="E1DFDD"/>
    </w:rPr>
  </w:style>
  <w:style w:type="character" w:customStyle="1" w:styleId="UnresolvedMention200000000000000000010000000000000000000000000000100000000000000000000000000000000000">
    <w:name w:val="Unresolved Mention200000000000000000010000000000000000000000000000100000000000000000000000000000000000"/>
    <w:basedOn w:val="DefaultParagraphFont"/>
    <w:uiPriority w:val="99"/>
    <w:unhideWhenUsed/>
    <w:rsid w:val="00B32E35"/>
    <w:rPr>
      <w:color w:val="605E5C"/>
      <w:shd w:val="clear" w:color="auto" w:fill="E1DFDD"/>
    </w:rPr>
  </w:style>
  <w:style w:type="character" w:customStyle="1" w:styleId="UnresolvedMention2000000000000000000100000000000000000000000000001000000000000000000000000000000000000">
    <w:name w:val="Unresolved Mention2000000000000000000100000000000000000000000000001000000000000000000000000000000000000"/>
    <w:basedOn w:val="DefaultParagraphFont"/>
    <w:uiPriority w:val="99"/>
    <w:unhideWhenUsed/>
    <w:rsid w:val="00B32E35"/>
    <w:rPr>
      <w:color w:val="605E5C"/>
      <w:shd w:val="clear" w:color="auto" w:fill="E1DFDD"/>
    </w:rPr>
  </w:style>
  <w:style w:type="character" w:customStyle="1" w:styleId="UnresolvedMention20000000000000000001000000000000000000000000000010000000000000000000000000000000000000">
    <w:name w:val="Unresolved Mention20000000000000000001000000000000000000000000000010000000000000000000000000000000000000"/>
    <w:basedOn w:val="DefaultParagraphFont"/>
    <w:uiPriority w:val="99"/>
    <w:unhideWhenUsed/>
    <w:rsid w:val="00B32E35"/>
    <w:rPr>
      <w:color w:val="605E5C"/>
      <w:shd w:val="clear" w:color="auto" w:fill="E1DFDD"/>
    </w:rPr>
  </w:style>
  <w:style w:type="character" w:customStyle="1" w:styleId="UnresolvedMention200000000000000000010000000000000000000000000000100000000000000000000000000000000000000">
    <w:name w:val="Unresolved Mention200000000000000000010000000000000000000000000000100000000000000000000000000000000000000"/>
    <w:basedOn w:val="DefaultParagraphFont"/>
    <w:uiPriority w:val="99"/>
    <w:unhideWhenUsed/>
    <w:rsid w:val="00B32E35"/>
    <w:rPr>
      <w:color w:val="605E5C"/>
      <w:shd w:val="clear" w:color="auto" w:fill="E1DFDD"/>
    </w:rPr>
  </w:style>
  <w:style w:type="character" w:customStyle="1" w:styleId="UnresolvedMention8">
    <w:name w:val="Unresolved Mention8"/>
    <w:basedOn w:val="DefaultParagraphFont"/>
    <w:uiPriority w:val="99"/>
    <w:unhideWhenUsed/>
    <w:rsid w:val="00DB4215"/>
    <w:rPr>
      <w:color w:val="605E5C"/>
      <w:shd w:val="clear" w:color="auto" w:fill="E1DFDD"/>
    </w:rPr>
  </w:style>
  <w:style w:type="character" w:customStyle="1" w:styleId="Mention9">
    <w:name w:val="Mention9"/>
    <w:basedOn w:val="DefaultParagraphFont"/>
    <w:uiPriority w:val="99"/>
    <w:unhideWhenUsed/>
    <w:rsid w:val="00DB4215"/>
    <w:rPr>
      <w:color w:val="2B579A"/>
      <w:shd w:val="clear" w:color="auto" w:fill="E1DFDD"/>
    </w:rPr>
  </w:style>
  <w:style w:type="character" w:customStyle="1" w:styleId="UnresolvedMention2000000000000000000100000000000000000000000000001000000000000000000000000000000000000000">
    <w:name w:val="Unresolved Mention2000000000000000000100000000000000000000000000001000000000000000000000000000000000000000"/>
    <w:basedOn w:val="DefaultParagraphFont"/>
    <w:uiPriority w:val="99"/>
    <w:unhideWhenUsed/>
    <w:rsid w:val="00DB4215"/>
    <w:rPr>
      <w:color w:val="605E5C"/>
      <w:shd w:val="clear" w:color="auto" w:fill="E1DFDD"/>
    </w:rPr>
  </w:style>
  <w:style w:type="character" w:customStyle="1" w:styleId="UnresolvedMention20000000000000000001000000000000000000000000000010000000000000000000000000000000000000000">
    <w:name w:val="Unresolved Mention20000000000000000001000000000000000000000000000010000000000000000000000000000000000000000"/>
    <w:basedOn w:val="DefaultParagraphFont"/>
    <w:uiPriority w:val="99"/>
    <w:unhideWhenUsed/>
    <w:rsid w:val="00DB4215"/>
    <w:rPr>
      <w:color w:val="605E5C"/>
      <w:shd w:val="clear" w:color="auto" w:fill="E1DFDD"/>
    </w:rPr>
  </w:style>
  <w:style w:type="character" w:customStyle="1" w:styleId="UnresolvedMention200000000000000000010000000000000000000000000000100000000000000000000000000000000000000000">
    <w:name w:val="Unresolved Mention200000000000000000010000000000000000000000000000100000000000000000000000000000000000000000"/>
    <w:basedOn w:val="DefaultParagraphFont"/>
    <w:uiPriority w:val="99"/>
    <w:unhideWhenUsed/>
    <w:rsid w:val="00E64E90"/>
    <w:rPr>
      <w:color w:val="605E5C"/>
      <w:shd w:val="clear" w:color="auto" w:fill="E1DFDD"/>
    </w:rPr>
  </w:style>
  <w:style w:type="character" w:customStyle="1" w:styleId="UnresolvedMention2000000000000000000100000000000000000000000000001000000000000000000000000000000000000000000">
    <w:name w:val="Unresolved Mention2000000000000000000100000000000000000000000000001000000000000000000000000000000000000000000"/>
    <w:basedOn w:val="DefaultParagraphFont"/>
    <w:uiPriority w:val="99"/>
    <w:unhideWhenUsed/>
    <w:rsid w:val="00316FB8"/>
    <w:rPr>
      <w:color w:val="605E5C"/>
      <w:shd w:val="clear" w:color="auto" w:fill="E1DFDD"/>
    </w:rPr>
  </w:style>
  <w:style w:type="character" w:customStyle="1" w:styleId="UnresolvedMention9">
    <w:name w:val="Unresolved Mention9"/>
    <w:basedOn w:val="DefaultParagraphFont"/>
    <w:uiPriority w:val="99"/>
    <w:unhideWhenUsed/>
    <w:rsid w:val="00A17B6F"/>
    <w:rPr>
      <w:color w:val="605E5C"/>
      <w:shd w:val="clear" w:color="auto" w:fill="E1DFDD"/>
    </w:rPr>
  </w:style>
  <w:style w:type="character" w:customStyle="1" w:styleId="Mention10">
    <w:name w:val="Mention10"/>
    <w:basedOn w:val="DefaultParagraphFont"/>
    <w:uiPriority w:val="99"/>
    <w:unhideWhenUsed/>
    <w:rsid w:val="00A17B6F"/>
    <w:rPr>
      <w:color w:val="2B579A"/>
      <w:shd w:val="clear" w:color="auto" w:fill="E1DFDD"/>
    </w:rPr>
  </w:style>
  <w:style w:type="character" w:customStyle="1" w:styleId="UnresolvedMention10">
    <w:name w:val="Unresolved Mention10"/>
    <w:basedOn w:val="DefaultParagraphFont"/>
    <w:uiPriority w:val="99"/>
    <w:semiHidden/>
    <w:unhideWhenUsed/>
    <w:rsid w:val="004333C7"/>
    <w:rPr>
      <w:color w:val="605E5C"/>
      <w:shd w:val="clear" w:color="auto" w:fill="E1DFDD"/>
    </w:rPr>
  </w:style>
  <w:style w:type="character" w:customStyle="1" w:styleId="UnresolvedMention20000000000000000001000000000000000000000000000010000000000000000000000000000000000000000000000000">
    <w:name w:val="Unresolved Mention20000000000000000001000000000000000000000000000010000000000000000000000000000000000000000000000000"/>
    <w:basedOn w:val="DefaultParagraphFont"/>
    <w:uiPriority w:val="99"/>
    <w:unhideWhenUsed/>
    <w:rsid w:val="008E7B5B"/>
    <w:rPr>
      <w:color w:val="605E5C"/>
      <w:shd w:val="clear" w:color="auto" w:fill="E1DFDD"/>
    </w:rPr>
  </w:style>
  <w:style w:type="character" w:customStyle="1" w:styleId="UnresolvedMention20000000000000000001000000000000000000000000000010000000000000000000000000000000000000000000000001">
    <w:name w:val="Unresolved Mention20000000000000000001000000000000000000000000000010000000000000000000000000000000000000000000000001"/>
    <w:basedOn w:val="DefaultParagraphFont"/>
    <w:uiPriority w:val="99"/>
    <w:unhideWhenUsed/>
    <w:rsid w:val="00CD6256"/>
    <w:rPr>
      <w:color w:val="605E5C"/>
      <w:shd w:val="clear" w:color="auto" w:fill="E1DFDD"/>
    </w:rPr>
  </w:style>
  <w:style w:type="character" w:customStyle="1" w:styleId="UnresolvedMention20000000000000000001000000000000000000000000000010000000000000000000000000000000000000000000">
    <w:name w:val="Unresolved Mention20000000000000000001000000000000000000000000000010000000000000000000000000000000000000000000"/>
    <w:basedOn w:val="DefaultParagraphFont"/>
    <w:uiPriority w:val="99"/>
    <w:unhideWhenUsed/>
    <w:rsid w:val="005335CC"/>
    <w:rPr>
      <w:color w:val="605E5C"/>
      <w:shd w:val="clear" w:color="auto" w:fill="E1DFDD"/>
    </w:rPr>
  </w:style>
  <w:style w:type="character" w:customStyle="1" w:styleId="UnresolvedMention200000000000000000010000000000000000000000000000100000000000000000000000000000000000000000000">
    <w:name w:val="Unresolved Mention200000000000000000010000000000000000000000000000100000000000000000000000000000000000000000000"/>
    <w:basedOn w:val="DefaultParagraphFont"/>
    <w:uiPriority w:val="99"/>
    <w:unhideWhenUsed/>
    <w:rsid w:val="00BF1217"/>
    <w:rPr>
      <w:color w:val="605E5C"/>
      <w:shd w:val="clear" w:color="auto" w:fill="E1DFDD"/>
    </w:rPr>
  </w:style>
  <w:style w:type="character" w:customStyle="1" w:styleId="UnresolvedMention2000000000000000000100000000000000000000000000001000000000000000000000000000000000000000000000">
    <w:name w:val="Unresolved Mention2000000000000000000100000000000000000000000000001000000000000000000000000000000000000000000000"/>
    <w:basedOn w:val="DefaultParagraphFont"/>
    <w:uiPriority w:val="99"/>
    <w:unhideWhenUsed/>
    <w:rsid w:val="00196838"/>
    <w:rPr>
      <w:color w:val="605E5C"/>
      <w:shd w:val="clear" w:color="auto" w:fill="E1DFDD"/>
    </w:rPr>
  </w:style>
  <w:style w:type="character" w:customStyle="1" w:styleId="UnresolvedMention20000000000000000001000000000000000000000000000010000000000000000000000000000000000000000000000">
    <w:name w:val="Unresolved Mention20000000000000000001000000000000000000000000000010000000000000000000000000000000000000000000000"/>
    <w:basedOn w:val="DefaultParagraphFont"/>
    <w:uiPriority w:val="99"/>
    <w:unhideWhenUsed/>
    <w:rsid w:val="00324EE6"/>
    <w:rPr>
      <w:color w:val="605E5C"/>
      <w:shd w:val="clear" w:color="auto" w:fill="E1DFDD"/>
    </w:rPr>
  </w:style>
  <w:style w:type="character" w:customStyle="1" w:styleId="UnresolvedMention200000000000000000010000000000000000000000000000100000000000000000000000000000000000000000000000">
    <w:name w:val="Unresolved Mention200000000000000000010000000000000000000000000000100000000000000000000000000000000000000000000000"/>
    <w:basedOn w:val="DefaultParagraphFont"/>
    <w:uiPriority w:val="99"/>
    <w:unhideWhenUsed/>
    <w:rsid w:val="004B6766"/>
    <w:rPr>
      <w:color w:val="605E5C"/>
      <w:shd w:val="clear" w:color="auto" w:fill="E1DFDD"/>
    </w:rPr>
  </w:style>
  <w:style w:type="character" w:customStyle="1" w:styleId="UnresolvedMention2000000000000000000100000000000000000000000000001000000000000000000000000000000000000000000000000">
    <w:name w:val="Unresolved Mention2000000000000000000100000000000000000000000000001000000000000000000000000000000000000000000000000"/>
    <w:basedOn w:val="DefaultParagraphFont"/>
    <w:uiPriority w:val="99"/>
    <w:unhideWhenUsed/>
    <w:rsid w:val="00B97B75"/>
    <w:rPr>
      <w:color w:val="605E5C"/>
      <w:shd w:val="clear" w:color="auto" w:fill="E1DFDD"/>
    </w:rPr>
  </w:style>
  <w:style w:type="character" w:customStyle="1" w:styleId="UnresolvedMention20000000000000000001000000000000000000000000000010000000000000000000000000000000000000000000000002">
    <w:name w:val="Unresolved Mention20000000000000000001000000000000000000000000000010000000000000000000000000000000000000000000000002"/>
    <w:basedOn w:val="DefaultParagraphFont"/>
    <w:uiPriority w:val="99"/>
    <w:unhideWhenUsed/>
    <w:rsid w:val="00E40CF2"/>
    <w:rPr>
      <w:color w:val="605E5C"/>
      <w:shd w:val="clear" w:color="auto" w:fill="E1DFDD"/>
    </w:rPr>
  </w:style>
  <w:style w:type="character" w:customStyle="1" w:styleId="UnresolvedMention11">
    <w:name w:val="Unresolved Mention11"/>
    <w:basedOn w:val="DefaultParagraphFont"/>
    <w:uiPriority w:val="99"/>
    <w:unhideWhenUsed/>
    <w:rsid w:val="009660C6"/>
    <w:rPr>
      <w:color w:val="605E5C"/>
      <w:shd w:val="clear" w:color="auto" w:fill="E1DFDD"/>
    </w:rPr>
  </w:style>
  <w:style w:type="character" w:customStyle="1" w:styleId="Mention11">
    <w:name w:val="Mention11"/>
    <w:basedOn w:val="DefaultParagraphFont"/>
    <w:uiPriority w:val="99"/>
    <w:unhideWhenUsed/>
    <w:rsid w:val="009660C6"/>
    <w:rPr>
      <w:color w:val="2B579A"/>
      <w:shd w:val="clear" w:color="auto" w:fill="E1DFDD"/>
    </w:rPr>
  </w:style>
  <w:style w:type="character" w:customStyle="1" w:styleId="UnresolvedMention20000000000000000001000000000000000000000000000010000000000000000000000000000000000000000000000002001000">
    <w:name w:val="Unresolved Mention20000000000000000001000000000000000000000000000010000000000000000000000000000000000000000000000002001000"/>
    <w:basedOn w:val="DefaultParagraphFont"/>
    <w:uiPriority w:val="99"/>
    <w:unhideWhenUsed/>
    <w:rsid w:val="004E3DBF"/>
    <w:rPr>
      <w:color w:val="605E5C"/>
      <w:shd w:val="clear" w:color="auto" w:fill="E1DFDD"/>
    </w:rPr>
  </w:style>
  <w:style w:type="character" w:customStyle="1" w:styleId="UnresolvedMention200000000000000000010000000000000000000000000000100000000000000000000000000000000000000000000000020">
    <w:name w:val="Unresolved Mention200000000000000000010000000000000000000000000000100000000000000000000000000000000000000000000000020"/>
    <w:basedOn w:val="DefaultParagraphFont"/>
    <w:uiPriority w:val="99"/>
    <w:unhideWhenUsed/>
    <w:rsid w:val="00FD1D63"/>
    <w:rPr>
      <w:color w:val="605E5C"/>
      <w:shd w:val="clear" w:color="auto" w:fill="E1DFDD"/>
    </w:rPr>
  </w:style>
  <w:style w:type="character" w:customStyle="1" w:styleId="UnresolvedMention20000000000000000001000000000000000000000000000010000000000000000000000000000000000000000000000002000">
    <w:name w:val="Unresolved Mention20000000000000000001000000000000000000000000000010000000000000000000000000000000000000000000000002000"/>
    <w:basedOn w:val="DefaultParagraphFont"/>
    <w:uiPriority w:val="99"/>
    <w:unhideWhenUsed/>
    <w:rsid w:val="00755172"/>
    <w:rPr>
      <w:color w:val="605E5C"/>
      <w:shd w:val="clear" w:color="auto" w:fill="E1DFDD"/>
    </w:rPr>
  </w:style>
  <w:style w:type="character" w:customStyle="1" w:styleId="UnresolvedMention2000000000000000000100000000000000000000000000001000000000000000000000000000000000000000000000000200">
    <w:name w:val="Unresolved Mention2000000000000000000100000000000000000000000000001000000000000000000000000000000000000000000000000200"/>
    <w:basedOn w:val="DefaultParagraphFont"/>
    <w:uiPriority w:val="99"/>
    <w:unhideWhenUsed/>
    <w:rsid w:val="006430BA"/>
    <w:rPr>
      <w:color w:val="605E5C"/>
      <w:shd w:val="clear" w:color="auto" w:fill="E1DFDD"/>
    </w:rPr>
  </w:style>
  <w:style w:type="character" w:customStyle="1" w:styleId="UnresolvedMention20000000000000000001000000000000000000000000000010000000000000000000000000000000000000000000000002001">
    <w:name w:val="Unresolved Mention20000000000000000001000000000000000000000000000010000000000000000000000000000000000000000000000002001"/>
    <w:basedOn w:val="DefaultParagraphFont"/>
    <w:uiPriority w:val="99"/>
    <w:unhideWhenUsed/>
    <w:rsid w:val="007D604E"/>
    <w:rPr>
      <w:color w:val="605E5C"/>
      <w:shd w:val="clear" w:color="auto" w:fill="E1DFDD"/>
    </w:rPr>
  </w:style>
  <w:style w:type="character" w:customStyle="1" w:styleId="UnresolvedMention12">
    <w:name w:val="Unresolved Mention12"/>
    <w:basedOn w:val="DefaultParagraphFont"/>
    <w:uiPriority w:val="99"/>
    <w:unhideWhenUsed/>
    <w:rsid w:val="0069330F"/>
    <w:rPr>
      <w:color w:val="605E5C"/>
      <w:shd w:val="clear" w:color="auto" w:fill="E1DFDD"/>
    </w:rPr>
  </w:style>
  <w:style w:type="character" w:customStyle="1" w:styleId="Mention12">
    <w:name w:val="Mention12"/>
    <w:basedOn w:val="DefaultParagraphFont"/>
    <w:uiPriority w:val="99"/>
    <w:unhideWhenUsed/>
    <w:rsid w:val="008E7952"/>
    <w:rPr>
      <w:color w:val="2B579A"/>
      <w:shd w:val="clear" w:color="auto" w:fill="E1DFDD"/>
    </w:rPr>
  </w:style>
  <w:style w:type="character" w:customStyle="1" w:styleId="UnresolvedMention200000000000000000010000000000000000000000000000100000000000000000000000000000000000000000000000020010">
    <w:name w:val="Unresolved Mention200000000000000000010000000000000000000000000000100000000000000000000000000000000000000000000000020010"/>
    <w:basedOn w:val="DefaultParagraphFont"/>
    <w:uiPriority w:val="99"/>
    <w:unhideWhenUsed/>
    <w:rsid w:val="008B5749"/>
    <w:rPr>
      <w:color w:val="605E5C"/>
      <w:shd w:val="clear" w:color="auto" w:fill="E1DFDD"/>
    </w:rPr>
  </w:style>
  <w:style w:type="character" w:customStyle="1" w:styleId="UnresolvedMention2000000000000000000100000000000000000000000000001000000000000000000000000000000000000000000000000200100">
    <w:name w:val="Unresolved Mention2000000000000000000100000000000000000000000000001000000000000000000000000000000000000000000000000200100"/>
    <w:basedOn w:val="DefaultParagraphFont"/>
    <w:uiPriority w:val="99"/>
    <w:unhideWhenUsed/>
    <w:rsid w:val="008B5749"/>
    <w:rPr>
      <w:color w:val="605E5C"/>
      <w:shd w:val="clear" w:color="auto" w:fill="E1DFDD"/>
    </w:rPr>
  </w:style>
  <w:style w:type="character" w:customStyle="1" w:styleId="UnresolvedMention20000000000000000001000000000000000000000000000010000000000000000000000000000000000000000000000002001001">
    <w:name w:val="Unresolved Mention20000000000000000001000000000000000000000000000010000000000000000000000000000000000000000000000002001001"/>
    <w:basedOn w:val="DefaultParagraphFont"/>
    <w:uiPriority w:val="99"/>
    <w:unhideWhenUsed/>
    <w:rsid w:val="008B5749"/>
    <w:rPr>
      <w:color w:val="605E5C"/>
      <w:shd w:val="clear" w:color="auto" w:fill="E1DFDD"/>
    </w:rPr>
  </w:style>
  <w:style w:type="character" w:customStyle="1" w:styleId="Mention13">
    <w:name w:val="Mention13"/>
    <w:basedOn w:val="DefaultParagraphFont"/>
    <w:uiPriority w:val="99"/>
    <w:unhideWhenUsed/>
    <w:rsid w:val="006D02DD"/>
    <w:rPr>
      <w:color w:val="2B579A"/>
      <w:shd w:val="clear" w:color="auto" w:fill="E1DFDD"/>
    </w:rPr>
  </w:style>
  <w:style w:type="character" w:customStyle="1" w:styleId="UnresolvedMention13">
    <w:name w:val="Unresolved Mention13"/>
    <w:basedOn w:val="DefaultParagraphFont"/>
    <w:uiPriority w:val="99"/>
    <w:semiHidden/>
    <w:unhideWhenUsed/>
    <w:rsid w:val="00A74D25"/>
    <w:rPr>
      <w:color w:val="605E5C"/>
      <w:shd w:val="clear" w:color="auto" w:fill="E1DFDD"/>
    </w:rPr>
  </w:style>
  <w:style w:type="character" w:customStyle="1" w:styleId="UnresolvedMention14">
    <w:name w:val="Unresolved Mention14"/>
    <w:basedOn w:val="DefaultParagraphFont"/>
    <w:uiPriority w:val="99"/>
    <w:unhideWhenUsed/>
    <w:rsid w:val="00F83873"/>
    <w:rPr>
      <w:color w:val="605E5C"/>
      <w:shd w:val="clear" w:color="auto" w:fill="E1DFDD"/>
    </w:rPr>
  </w:style>
  <w:style w:type="character" w:customStyle="1" w:styleId="Mention14">
    <w:name w:val="Mention14"/>
    <w:basedOn w:val="DefaultParagraphFont"/>
    <w:uiPriority w:val="99"/>
    <w:unhideWhenUsed/>
    <w:rsid w:val="00D04671"/>
    <w:rPr>
      <w:color w:val="2B579A"/>
      <w:shd w:val="clear" w:color="auto" w:fill="E1DFDD"/>
    </w:rPr>
  </w:style>
  <w:style w:type="character" w:customStyle="1" w:styleId="UnresolvedMention15">
    <w:name w:val="Unresolved Mention15"/>
    <w:basedOn w:val="DefaultParagraphFont"/>
    <w:uiPriority w:val="99"/>
    <w:unhideWhenUsed/>
    <w:rsid w:val="0048615D"/>
    <w:rPr>
      <w:color w:val="605E5C"/>
      <w:shd w:val="clear" w:color="auto" w:fill="E1DFDD"/>
    </w:rPr>
  </w:style>
  <w:style w:type="character" w:customStyle="1" w:styleId="Mention15">
    <w:name w:val="Mention15"/>
    <w:basedOn w:val="DefaultParagraphFont"/>
    <w:uiPriority w:val="99"/>
    <w:unhideWhenUsed/>
    <w:rsid w:val="0048615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58866">
      <w:bodyDiv w:val="1"/>
      <w:marLeft w:val="0"/>
      <w:marRight w:val="0"/>
      <w:marTop w:val="0"/>
      <w:marBottom w:val="0"/>
      <w:divBdr>
        <w:top w:val="none" w:sz="0" w:space="0" w:color="auto"/>
        <w:left w:val="none" w:sz="0" w:space="0" w:color="auto"/>
        <w:bottom w:val="none" w:sz="0" w:space="0" w:color="auto"/>
        <w:right w:val="none" w:sz="0" w:space="0" w:color="auto"/>
      </w:divBdr>
    </w:div>
    <w:div w:id="12996672">
      <w:bodyDiv w:val="1"/>
      <w:marLeft w:val="0"/>
      <w:marRight w:val="0"/>
      <w:marTop w:val="0"/>
      <w:marBottom w:val="0"/>
      <w:divBdr>
        <w:top w:val="none" w:sz="0" w:space="0" w:color="auto"/>
        <w:left w:val="none" w:sz="0" w:space="0" w:color="auto"/>
        <w:bottom w:val="none" w:sz="0" w:space="0" w:color="auto"/>
        <w:right w:val="none" w:sz="0" w:space="0" w:color="auto"/>
      </w:divBdr>
    </w:div>
    <w:div w:id="25300258">
      <w:bodyDiv w:val="1"/>
      <w:marLeft w:val="0"/>
      <w:marRight w:val="0"/>
      <w:marTop w:val="0"/>
      <w:marBottom w:val="0"/>
      <w:divBdr>
        <w:top w:val="none" w:sz="0" w:space="0" w:color="auto"/>
        <w:left w:val="none" w:sz="0" w:space="0" w:color="auto"/>
        <w:bottom w:val="none" w:sz="0" w:space="0" w:color="auto"/>
        <w:right w:val="none" w:sz="0" w:space="0" w:color="auto"/>
      </w:divBdr>
    </w:div>
    <w:div w:id="27729402">
      <w:bodyDiv w:val="1"/>
      <w:marLeft w:val="0"/>
      <w:marRight w:val="0"/>
      <w:marTop w:val="0"/>
      <w:marBottom w:val="0"/>
      <w:divBdr>
        <w:top w:val="none" w:sz="0" w:space="0" w:color="auto"/>
        <w:left w:val="none" w:sz="0" w:space="0" w:color="auto"/>
        <w:bottom w:val="none" w:sz="0" w:space="0" w:color="auto"/>
        <w:right w:val="none" w:sz="0" w:space="0" w:color="auto"/>
      </w:divBdr>
    </w:div>
    <w:div w:id="62653144">
      <w:bodyDiv w:val="1"/>
      <w:marLeft w:val="0"/>
      <w:marRight w:val="0"/>
      <w:marTop w:val="0"/>
      <w:marBottom w:val="0"/>
      <w:divBdr>
        <w:top w:val="none" w:sz="0" w:space="0" w:color="auto"/>
        <w:left w:val="none" w:sz="0" w:space="0" w:color="auto"/>
        <w:bottom w:val="none" w:sz="0" w:space="0" w:color="auto"/>
        <w:right w:val="none" w:sz="0" w:space="0" w:color="auto"/>
      </w:divBdr>
    </w:div>
    <w:div w:id="126553065">
      <w:bodyDiv w:val="1"/>
      <w:marLeft w:val="0"/>
      <w:marRight w:val="0"/>
      <w:marTop w:val="0"/>
      <w:marBottom w:val="0"/>
      <w:divBdr>
        <w:top w:val="none" w:sz="0" w:space="0" w:color="auto"/>
        <w:left w:val="none" w:sz="0" w:space="0" w:color="auto"/>
        <w:bottom w:val="none" w:sz="0" w:space="0" w:color="auto"/>
        <w:right w:val="none" w:sz="0" w:space="0" w:color="auto"/>
      </w:divBdr>
    </w:div>
    <w:div w:id="139198998">
      <w:bodyDiv w:val="1"/>
      <w:marLeft w:val="0"/>
      <w:marRight w:val="0"/>
      <w:marTop w:val="0"/>
      <w:marBottom w:val="0"/>
      <w:divBdr>
        <w:top w:val="none" w:sz="0" w:space="0" w:color="auto"/>
        <w:left w:val="none" w:sz="0" w:space="0" w:color="auto"/>
        <w:bottom w:val="none" w:sz="0" w:space="0" w:color="auto"/>
        <w:right w:val="none" w:sz="0" w:space="0" w:color="auto"/>
      </w:divBdr>
    </w:div>
    <w:div w:id="143737269">
      <w:bodyDiv w:val="1"/>
      <w:marLeft w:val="0"/>
      <w:marRight w:val="0"/>
      <w:marTop w:val="0"/>
      <w:marBottom w:val="0"/>
      <w:divBdr>
        <w:top w:val="none" w:sz="0" w:space="0" w:color="auto"/>
        <w:left w:val="none" w:sz="0" w:space="0" w:color="auto"/>
        <w:bottom w:val="none" w:sz="0" w:space="0" w:color="auto"/>
        <w:right w:val="none" w:sz="0" w:space="0" w:color="auto"/>
      </w:divBdr>
    </w:div>
    <w:div w:id="143739819">
      <w:bodyDiv w:val="1"/>
      <w:marLeft w:val="0"/>
      <w:marRight w:val="0"/>
      <w:marTop w:val="0"/>
      <w:marBottom w:val="0"/>
      <w:divBdr>
        <w:top w:val="none" w:sz="0" w:space="0" w:color="auto"/>
        <w:left w:val="none" w:sz="0" w:space="0" w:color="auto"/>
        <w:bottom w:val="none" w:sz="0" w:space="0" w:color="auto"/>
        <w:right w:val="none" w:sz="0" w:space="0" w:color="auto"/>
      </w:divBdr>
    </w:div>
    <w:div w:id="145240845">
      <w:bodyDiv w:val="1"/>
      <w:marLeft w:val="0"/>
      <w:marRight w:val="0"/>
      <w:marTop w:val="0"/>
      <w:marBottom w:val="0"/>
      <w:divBdr>
        <w:top w:val="none" w:sz="0" w:space="0" w:color="auto"/>
        <w:left w:val="none" w:sz="0" w:space="0" w:color="auto"/>
        <w:bottom w:val="none" w:sz="0" w:space="0" w:color="auto"/>
        <w:right w:val="none" w:sz="0" w:space="0" w:color="auto"/>
      </w:divBdr>
    </w:div>
    <w:div w:id="153301404">
      <w:bodyDiv w:val="1"/>
      <w:marLeft w:val="0"/>
      <w:marRight w:val="0"/>
      <w:marTop w:val="0"/>
      <w:marBottom w:val="0"/>
      <w:divBdr>
        <w:top w:val="none" w:sz="0" w:space="0" w:color="auto"/>
        <w:left w:val="none" w:sz="0" w:space="0" w:color="auto"/>
        <w:bottom w:val="none" w:sz="0" w:space="0" w:color="auto"/>
        <w:right w:val="none" w:sz="0" w:space="0" w:color="auto"/>
      </w:divBdr>
    </w:div>
    <w:div w:id="154686418">
      <w:bodyDiv w:val="1"/>
      <w:marLeft w:val="0"/>
      <w:marRight w:val="0"/>
      <w:marTop w:val="0"/>
      <w:marBottom w:val="0"/>
      <w:divBdr>
        <w:top w:val="none" w:sz="0" w:space="0" w:color="auto"/>
        <w:left w:val="none" w:sz="0" w:space="0" w:color="auto"/>
        <w:bottom w:val="none" w:sz="0" w:space="0" w:color="auto"/>
        <w:right w:val="none" w:sz="0" w:space="0" w:color="auto"/>
      </w:divBdr>
    </w:div>
    <w:div w:id="167251236">
      <w:bodyDiv w:val="1"/>
      <w:marLeft w:val="0"/>
      <w:marRight w:val="0"/>
      <w:marTop w:val="0"/>
      <w:marBottom w:val="0"/>
      <w:divBdr>
        <w:top w:val="none" w:sz="0" w:space="0" w:color="auto"/>
        <w:left w:val="none" w:sz="0" w:space="0" w:color="auto"/>
        <w:bottom w:val="none" w:sz="0" w:space="0" w:color="auto"/>
        <w:right w:val="none" w:sz="0" w:space="0" w:color="auto"/>
      </w:divBdr>
    </w:div>
    <w:div w:id="170338110">
      <w:bodyDiv w:val="1"/>
      <w:marLeft w:val="0"/>
      <w:marRight w:val="0"/>
      <w:marTop w:val="0"/>
      <w:marBottom w:val="0"/>
      <w:divBdr>
        <w:top w:val="none" w:sz="0" w:space="0" w:color="auto"/>
        <w:left w:val="none" w:sz="0" w:space="0" w:color="auto"/>
        <w:bottom w:val="none" w:sz="0" w:space="0" w:color="auto"/>
        <w:right w:val="none" w:sz="0" w:space="0" w:color="auto"/>
      </w:divBdr>
    </w:div>
    <w:div w:id="192426936">
      <w:bodyDiv w:val="1"/>
      <w:marLeft w:val="0"/>
      <w:marRight w:val="0"/>
      <w:marTop w:val="0"/>
      <w:marBottom w:val="0"/>
      <w:divBdr>
        <w:top w:val="none" w:sz="0" w:space="0" w:color="auto"/>
        <w:left w:val="none" w:sz="0" w:space="0" w:color="auto"/>
        <w:bottom w:val="none" w:sz="0" w:space="0" w:color="auto"/>
        <w:right w:val="none" w:sz="0" w:space="0" w:color="auto"/>
      </w:divBdr>
    </w:div>
    <w:div w:id="204029722">
      <w:bodyDiv w:val="1"/>
      <w:marLeft w:val="0"/>
      <w:marRight w:val="0"/>
      <w:marTop w:val="0"/>
      <w:marBottom w:val="0"/>
      <w:divBdr>
        <w:top w:val="none" w:sz="0" w:space="0" w:color="auto"/>
        <w:left w:val="none" w:sz="0" w:space="0" w:color="auto"/>
        <w:bottom w:val="none" w:sz="0" w:space="0" w:color="auto"/>
        <w:right w:val="none" w:sz="0" w:space="0" w:color="auto"/>
      </w:divBdr>
    </w:div>
    <w:div w:id="205024812">
      <w:bodyDiv w:val="1"/>
      <w:marLeft w:val="0"/>
      <w:marRight w:val="0"/>
      <w:marTop w:val="0"/>
      <w:marBottom w:val="0"/>
      <w:divBdr>
        <w:top w:val="none" w:sz="0" w:space="0" w:color="auto"/>
        <w:left w:val="none" w:sz="0" w:space="0" w:color="auto"/>
        <w:bottom w:val="none" w:sz="0" w:space="0" w:color="auto"/>
        <w:right w:val="none" w:sz="0" w:space="0" w:color="auto"/>
      </w:divBdr>
    </w:div>
    <w:div w:id="214052669">
      <w:bodyDiv w:val="1"/>
      <w:marLeft w:val="0"/>
      <w:marRight w:val="0"/>
      <w:marTop w:val="0"/>
      <w:marBottom w:val="0"/>
      <w:divBdr>
        <w:top w:val="none" w:sz="0" w:space="0" w:color="auto"/>
        <w:left w:val="none" w:sz="0" w:space="0" w:color="auto"/>
        <w:bottom w:val="none" w:sz="0" w:space="0" w:color="auto"/>
        <w:right w:val="none" w:sz="0" w:space="0" w:color="auto"/>
      </w:divBdr>
    </w:div>
    <w:div w:id="225262677">
      <w:bodyDiv w:val="1"/>
      <w:marLeft w:val="0"/>
      <w:marRight w:val="0"/>
      <w:marTop w:val="0"/>
      <w:marBottom w:val="0"/>
      <w:divBdr>
        <w:top w:val="none" w:sz="0" w:space="0" w:color="auto"/>
        <w:left w:val="none" w:sz="0" w:space="0" w:color="auto"/>
        <w:bottom w:val="none" w:sz="0" w:space="0" w:color="auto"/>
        <w:right w:val="none" w:sz="0" w:space="0" w:color="auto"/>
      </w:divBdr>
    </w:div>
    <w:div w:id="226183041">
      <w:bodyDiv w:val="1"/>
      <w:marLeft w:val="0"/>
      <w:marRight w:val="0"/>
      <w:marTop w:val="0"/>
      <w:marBottom w:val="0"/>
      <w:divBdr>
        <w:top w:val="none" w:sz="0" w:space="0" w:color="auto"/>
        <w:left w:val="none" w:sz="0" w:space="0" w:color="auto"/>
        <w:bottom w:val="none" w:sz="0" w:space="0" w:color="auto"/>
        <w:right w:val="none" w:sz="0" w:space="0" w:color="auto"/>
      </w:divBdr>
    </w:div>
    <w:div w:id="227614227">
      <w:bodyDiv w:val="1"/>
      <w:marLeft w:val="0"/>
      <w:marRight w:val="0"/>
      <w:marTop w:val="0"/>
      <w:marBottom w:val="0"/>
      <w:divBdr>
        <w:top w:val="none" w:sz="0" w:space="0" w:color="auto"/>
        <w:left w:val="none" w:sz="0" w:space="0" w:color="auto"/>
        <w:bottom w:val="none" w:sz="0" w:space="0" w:color="auto"/>
        <w:right w:val="none" w:sz="0" w:space="0" w:color="auto"/>
      </w:divBdr>
    </w:div>
    <w:div w:id="227694623">
      <w:bodyDiv w:val="1"/>
      <w:marLeft w:val="0"/>
      <w:marRight w:val="0"/>
      <w:marTop w:val="0"/>
      <w:marBottom w:val="0"/>
      <w:divBdr>
        <w:top w:val="none" w:sz="0" w:space="0" w:color="auto"/>
        <w:left w:val="none" w:sz="0" w:space="0" w:color="auto"/>
        <w:bottom w:val="none" w:sz="0" w:space="0" w:color="auto"/>
        <w:right w:val="none" w:sz="0" w:space="0" w:color="auto"/>
      </w:divBdr>
    </w:div>
    <w:div w:id="232861245">
      <w:bodyDiv w:val="1"/>
      <w:marLeft w:val="0"/>
      <w:marRight w:val="0"/>
      <w:marTop w:val="0"/>
      <w:marBottom w:val="0"/>
      <w:divBdr>
        <w:top w:val="none" w:sz="0" w:space="0" w:color="auto"/>
        <w:left w:val="none" w:sz="0" w:space="0" w:color="auto"/>
        <w:bottom w:val="none" w:sz="0" w:space="0" w:color="auto"/>
        <w:right w:val="none" w:sz="0" w:space="0" w:color="auto"/>
      </w:divBdr>
      <w:divsChild>
        <w:div w:id="1791703308">
          <w:marLeft w:val="0"/>
          <w:marRight w:val="0"/>
          <w:marTop w:val="0"/>
          <w:marBottom w:val="0"/>
          <w:divBdr>
            <w:top w:val="none" w:sz="0" w:space="0" w:color="auto"/>
            <w:left w:val="none" w:sz="0" w:space="0" w:color="auto"/>
            <w:bottom w:val="none" w:sz="0" w:space="0" w:color="auto"/>
            <w:right w:val="none" w:sz="0" w:space="0" w:color="auto"/>
          </w:divBdr>
          <w:divsChild>
            <w:div w:id="182342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585110">
      <w:bodyDiv w:val="1"/>
      <w:marLeft w:val="0"/>
      <w:marRight w:val="0"/>
      <w:marTop w:val="0"/>
      <w:marBottom w:val="0"/>
      <w:divBdr>
        <w:top w:val="none" w:sz="0" w:space="0" w:color="auto"/>
        <w:left w:val="none" w:sz="0" w:space="0" w:color="auto"/>
        <w:bottom w:val="none" w:sz="0" w:space="0" w:color="auto"/>
        <w:right w:val="none" w:sz="0" w:space="0" w:color="auto"/>
      </w:divBdr>
    </w:div>
    <w:div w:id="252668926">
      <w:bodyDiv w:val="1"/>
      <w:marLeft w:val="0"/>
      <w:marRight w:val="0"/>
      <w:marTop w:val="0"/>
      <w:marBottom w:val="0"/>
      <w:divBdr>
        <w:top w:val="none" w:sz="0" w:space="0" w:color="auto"/>
        <w:left w:val="none" w:sz="0" w:space="0" w:color="auto"/>
        <w:bottom w:val="none" w:sz="0" w:space="0" w:color="auto"/>
        <w:right w:val="none" w:sz="0" w:space="0" w:color="auto"/>
      </w:divBdr>
    </w:div>
    <w:div w:id="254241556">
      <w:bodyDiv w:val="1"/>
      <w:marLeft w:val="0"/>
      <w:marRight w:val="0"/>
      <w:marTop w:val="0"/>
      <w:marBottom w:val="0"/>
      <w:divBdr>
        <w:top w:val="none" w:sz="0" w:space="0" w:color="auto"/>
        <w:left w:val="none" w:sz="0" w:space="0" w:color="auto"/>
        <w:bottom w:val="none" w:sz="0" w:space="0" w:color="auto"/>
        <w:right w:val="none" w:sz="0" w:space="0" w:color="auto"/>
      </w:divBdr>
    </w:div>
    <w:div w:id="306788579">
      <w:bodyDiv w:val="1"/>
      <w:marLeft w:val="0"/>
      <w:marRight w:val="0"/>
      <w:marTop w:val="0"/>
      <w:marBottom w:val="0"/>
      <w:divBdr>
        <w:top w:val="none" w:sz="0" w:space="0" w:color="auto"/>
        <w:left w:val="none" w:sz="0" w:space="0" w:color="auto"/>
        <w:bottom w:val="none" w:sz="0" w:space="0" w:color="auto"/>
        <w:right w:val="none" w:sz="0" w:space="0" w:color="auto"/>
      </w:divBdr>
    </w:div>
    <w:div w:id="310404905">
      <w:bodyDiv w:val="1"/>
      <w:marLeft w:val="0"/>
      <w:marRight w:val="0"/>
      <w:marTop w:val="0"/>
      <w:marBottom w:val="0"/>
      <w:divBdr>
        <w:top w:val="none" w:sz="0" w:space="0" w:color="auto"/>
        <w:left w:val="none" w:sz="0" w:space="0" w:color="auto"/>
        <w:bottom w:val="none" w:sz="0" w:space="0" w:color="auto"/>
        <w:right w:val="none" w:sz="0" w:space="0" w:color="auto"/>
      </w:divBdr>
    </w:div>
    <w:div w:id="310406106">
      <w:bodyDiv w:val="1"/>
      <w:marLeft w:val="0"/>
      <w:marRight w:val="0"/>
      <w:marTop w:val="0"/>
      <w:marBottom w:val="0"/>
      <w:divBdr>
        <w:top w:val="none" w:sz="0" w:space="0" w:color="auto"/>
        <w:left w:val="none" w:sz="0" w:space="0" w:color="auto"/>
        <w:bottom w:val="none" w:sz="0" w:space="0" w:color="auto"/>
        <w:right w:val="none" w:sz="0" w:space="0" w:color="auto"/>
      </w:divBdr>
    </w:div>
    <w:div w:id="356935210">
      <w:bodyDiv w:val="1"/>
      <w:marLeft w:val="0"/>
      <w:marRight w:val="0"/>
      <w:marTop w:val="0"/>
      <w:marBottom w:val="0"/>
      <w:divBdr>
        <w:top w:val="none" w:sz="0" w:space="0" w:color="auto"/>
        <w:left w:val="none" w:sz="0" w:space="0" w:color="auto"/>
        <w:bottom w:val="none" w:sz="0" w:space="0" w:color="auto"/>
        <w:right w:val="none" w:sz="0" w:space="0" w:color="auto"/>
      </w:divBdr>
    </w:div>
    <w:div w:id="378096563">
      <w:bodyDiv w:val="1"/>
      <w:marLeft w:val="0"/>
      <w:marRight w:val="0"/>
      <w:marTop w:val="0"/>
      <w:marBottom w:val="0"/>
      <w:divBdr>
        <w:top w:val="none" w:sz="0" w:space="0" w:color="auto"/>
        <w:left w:val="none" w:sz="0" w:space="0" w:color="auto"/>
        <w:bottom w:val="none" w:sz="0" w:space="0" w:color="auto"/>
        <w:right w:val="none" w:sz="0" w:space="0" w:color="auto"/>
      </w:divBdr>
    </w:div>
    <w:div w:id="381252812">
      <w:bodyDiv w:val="1"/>
      <w:marLeft w:val="0"/>
      <w:marRight w:val="0"/>
      <w:marTop w:val="0"/>
      <w:marBottom w:val="0"/>
      <w:divBdr>
        <w:top w:val="none" w:sz="0" w:space="0" w:color="auto"/>
        <w:left w:val="none" w:sz="0" w:space="0" w:color="auto"/>
        <w:bottom w:val="none" w:sz="0" w:space="0" w:color="auto"/>
        <w:right w:val="none" w:sz="0" w:space="0" w:color="auto"/>
      </w:divBdr>
    </w:div>
    <w:div w:id="388655738">
      <w:bodyDiv w:val="1"/>
      <w:marLeft w:val="0"/>
      <w:marRight w:val="0"/>
      <w:marTop w:val="0"/>
      <w:marBottom w:val="0"/>
      <w:divBdr>
        <w:top w:val="none" w:sz="0" w:space="0" w:color="auto"/>
        <w:left w:val="none" w:sz="0" w:space="0" w:color="auto"/>
        <w:bottom w:val="none" w:sz="0" w:space="0" w:color="auto"/>
        <w:right w:val="none" w:sz="0" w:space="0" w:color="auto"/>
      </w:divBdr>
    </w:div>
    <w:div w:id="408305371">
      <w:bodyDiv w:val="1"/>
      <w:marLeft w:val="0"/>
      <w:marRight w:val="0"/>
      <w:marTop w:val="0"/>
      <w:marBottom w:val="0"/>
      <w:divBdr>
        <w:top w:val="none" w:sz="0" w:space="0" w:color="auto"/>
        <w:left w:val="none" w:sz="0" w:space="0" w:color="auto"/>
        <w:bottom w:val="none" w:sz="0" w:space="0" w:color="auto"/>
        <w:right w:val="none" w:sz="0" w:space="0" w:color="auto"/>
      </w:divBdr>
    </w:div>
    <w:div w:id="413477344">
      <w:bodyDiv w:val="1"/>
      <w:marLeft w:val="0"/>
      <w:marRight w:val="0"/>
      <w:marTop w:val="0"/>
      <w:marBottom w:val="0"/>
      <w:divBdr>
        <w:top w:val="none" w:sz="0" w:space="0" w:color="auto"/>
        <w:left w:val="none" w:sz="0" w:space="0" w:color="auto"/>
        <w:bottom w:val="none" w:sz="0" w:space="0" w:color="auto"/>
        <w:right w:val="none" w:sz="0" w:space="0" w:color="auto"/>
      </w:divBdr>
    </w:div>
    <w:div w:id="417750764">
      <w:bodyDiv w:val="1"/>
      <w:marLeft w:val="0"/>
      <w:marRight w:val="0"/>
      <w:marTop w:val="0"/>
      <w:marBottom w:val="0"/>
      <w:divBdr>
        <w:top w:val="none" w:sz="0" w:space="0" w:color="auto"/>
        <w:left w:val="none" w:sz="0" w:space="0" w:color="auto"/>
        <w:bottom w:val="none" w:sz="0" w:space="0" w:color="auto"/>
        <w:right w:val="none" w:sz="0" w:space="0" w:color="auto"/>
      </w:divBdr>
    </w:div>
    <w:div w:id="432432460">
      <w:bodyDiv w:val="1"/>
      <w:marLeft w:val="0"/>
      <w:marRight w:val="0"/>
      <w:marTop w:val="0"/>
      <w:marBottom w:val="0"/>
      <w:divBdr>
        <w:top w:val="none" w:sz="0" w:space="0" w:color="auto"/>
        <w:left w:val="none" w:sz="0" w:space="0" w:color="auto"/>
        <w:bottom w:val="none" w:sz="0" w:space="0" w:color="auto"/>
        <w:right w:val="none" w:sz="0" w:space="0" w:color="auto"/>
      </w:divBdr>
    </w:div>
    <w:div w:id="434323770">
      <w:bodyDiv w:val="1"/>
      <w:marLeft w:val="0"/>
      <w:marRight w:val="0"/>
      <w:marTop w:val="0"/>
      <w:marBottom w:val="0"/>
      <w:divBdr>
        <w:top w:val="none" w:sz="0" w:space="0" w:color="auto"/>
        <w:left w:val="none" w:sz="0" w:space="0" w:color="auto"/>
        <w:bottom w:val="none" w:sz="0" w:space="0" w:color="auto"/>
        <w:right w:val="none" w:sz="0" w:space="0" w:color="auto"/>
      </w:divBdr>
    </w:div>
    <w:div w:id="443155633">
      <w:bodyDiv w:val="1"/>
      <w:marLeft w:val="0"/>
      <w:marRight w:val="0"/>
      <w:marTop w:val="0"/>
      <w:marBottom w:val="0"/>
      <w:divBdr>
        <w:top w:val="none" w:sz="0" w:space="0" w:color="auto"/>
        <w:left w:val="none" w:sz="0" w:space="0" w:color="auto"/>
        <w:bottom w:val="none" w:sz="0" w:space="0" w:color="auto"/>
        <w:right w:val="none" w:sz="0" w:space="0" w:color="auto"/>
      </w:divBdr>
    </w:div>
    <w:div w:id="444159525">
      <w:bodyDiv w:val="1"/>
      <w:marLeft w:val="0"/>
      <w:marRight w:val="0"/>
      <w:marTop w:val="0"/>
      <w:marBottom w:val="0"/>
      <w:divBdr>
        <w:top w:val="none" w:sz="0" w:space="0" w:color="auto"/>
        <w:left w:val="none" w:sz="0" w:space="0" w:color="auto"/>
        <w:bottom w:val="none" w:sz="0" w:space="0" w:color="auto"/>
        <w:right w:val="none" w:sz="0" w:space="0" w:color="auto"/>
      </w:divBdr>
    </w:div>
    <w:div w:id="449470339">
      <w:bodyDiv w:val="1"/>
      <w:marLeft w:val="0"/>
      <w:marRight w:val="0"/>
      <w:marTop w:val="0"/>
      <w:marBottom w:val="0"/>
      <w:divBdr>
        <w:top w:val="none" w:sz="0" w:space="0" w:color="auto"/>
        <w:left w:val="none" w:sz="0" w:space="0" w:color="auto"/>
        <w:bottom w:val="none" w:sz="0" w:space="0" w:color="auto"/>
        <w:right w:val="none" w:sz="0" w:space="0" w:color="auto"/>
      </w:divBdr>
    </w:div>
    <w:div w:id="452477816">
      <w:bodyDiv w:val="1"/>
      <w:marLeft w:val="0"/>
      <w:marRight w:val="0"/>
      <w:marTop w:val="0"/>
      <w:marBottom w:val="0"/>
      <w:divBdr>
        <w:top w:val="none" w:sz="0" w:space="0" w:color="auto"/>
        <w:left w:val="none" w:sz="0" w:space="0" w:color="auto"/>
        <w:bottom w:val="none" w:sz="0" w:space="0" w:color="auto"/>
        <w:right w:val="none" w:sz="0" w:space="0" w:color="auto"/>
      </w:divBdr>
    </w:div>
    <w:div w:id="490171475">
      <w:bodyDiv w:val="1"/>
      <w:marLeft w:val="0"/>
      <w:marRight w:val="0"/>
      <w:marTop w:val="0"/>
      <w:marBottom w:val="0"/>
      <w:divBdr>
        <w:top w:val="none" w:sz="0" w:space="0" w:color="auto"/>
        <w:left w:val="none" w:sz="0" w:space="0" w:color="auto"/>
        <w:bottom w:val="none" w:sz="0" w:space="0" w:color="auto"/>
        <w:right w:val="none" w:sz="0" w:space="0" w:color="auto"/>
      </w:divBdr>
    </w:div>
    <w:div w:id="513228164">
      <w:bodyDiv w:val="1"/>
      <w:marLeft w:val="0"/>
      <w:marRight w:val="0"/>
      <w:marTop w:val="0"/>
      <w:marBottom w:val="0"/>
      <w:divBdr>
        <w:top w:val="none" w:sz="0" w:space="0" w:color="auto"/>
        <w:left w:val="none" w:sz="0" w:space="0" w:color="auto"/>
        <w:bottom w:val="none" w:sz="0" w:space="0" w:color="auto"/>
        <w:right w:val="none" w:sz="0" w:space="0" w:color="auto"/>
      </w:divBdr>
    </w:div>
    <w:div w:id="523986173">
      <w:bodyDiv w:val="1"/>
      <w:marLeft w:val="0"/>
      <w:marRight w:val="0"/>
      <w:marTop w:val="0"/>
      <w:marBottom w:val="0"/>
      <w:divBdr>
        <w:top w:val="none" w:sz="0" w:space="0" w:color="auto"/>
        <w:left w:val="none" w:sz="0" w:space="0" w:color="auto"/>
        <w:bottom w:val="none" w:sz="0" w:space="0" w:color="auto"/>
        <w:right w:val="none" w:sz="0" w:space="0" w:color="auto"/>
      </w:divBdr>
    </w:div>
    <w:div w:id="528875870">
      <w:bodyDiv w:val="1"/>
      <w:marLeft w:val="0"/>
      <w:marRight w:val="0"/>
      <w:marTop w:val="0"/>
      <w:marBottom w:val="0"/>
      <w:divBdr>
        <w:top w:val="none" w:sz="0" w:space="0" w:color="auto"/>
        <w:left w:val="none" w:sz="0" w:space="0" w:color="auto"/>
        <w:bottom w:val="none" w:sz="0" w:space="0" w:color="auto"/>
        <w:right w:val="none" w:sz="0" w:space="0" w:color="auto"/>
      </w:divBdr>
    </w:div>
    <w:div w:id="530581210">
      <w:bodyDiv w:val="1"/>
      <w:marLeft w:val="0"/>
      <w:marRight w:val="0"/>
      <w:marTop w:val="0"/>
      <w:marBottom w:val="0"/>
      <w:divBdr>
        <w:top w:val="none" w:sz="0" w:space="0" w:color="auto"/>
        <w:left w:val="none" w:sz="0" w:space="0" w:color="auto"/>
        <w:bottom w:val="none" w:sz="0" w:space="0" w:color="auto"/>
        <w:right w:val="none" w:sz="0" w:space="0" w:color="auto"/>
      </w:divBdr>
    </w:div>
    <w:div w:id="538592330">
      <w:bodyDiv w:val="1"/>
      <w:marLeft w:val="0"/>
      <w:marRight w:val="0"/>
      <w:marTop w:val="0"/>
      <w:marBottom w:val="0"/>
      <w:divBdr>
        <w:top w:val="none" w:sz="0" w:space="0" w:color="auto"/>
        <w:left w:val="none" w:sz="0" w:space="0" w:color="auto"/>
        <w:bottom w:val="none" w:sz="0" w:space="0" w:color="auto"/>
        <w:right w:val="none" w:sz="0" w:space="0" w:color="auto"/>
      </w:divBdr>
    </w:div>
    <w:div w:id="550970097">
      <w:bodyDiv w:val="1"/>
      <w:marLeft w:val="0"/>
      <w:marRight w:val="0"/>
      <w:marTop w:val="0"/>
      <w:marBottom w:val="0"/>
      <w:divBdr>
        <w:top w:val="none" w:sz="0" w:space="0" w:color="auto"/>
        <w:left w:val="none" w:sz="0" w:space="0" w:color="auto"/>
        <w:bottom w:val="none" w:sz="0" w:space="0" w:color="auto"/>
        <w:right w:val="none" w:sz="0" w:space="0" w:color="auto"/>
      </w:divBdr>
    </w:div>
    <w:div w:id="554005321">
      <w:bodyDiv w:val="1"/>
      <w:marLeft w:val="0"/>
      <w:marRight w:val="0"/>
      <w:marTop w:val="0"/>
      <w:marBottom w:val="0"/>
      <w:divBdr>
        <w:top w:val="none" w:sz="0" w:space="0" w:color="auto"/>
        <w:left w:val="none" w:sz="0" w:space="0" w:color="auto"/>
        <w:bottom w:val="none" w:sz="0" w:space="0" w:color="auto"/>
        <w:right w:val="none" w:sz="0" w:space="0" w:color="auto"/>
      </w:divBdr>
    </w:div>
    <w:div w:id="578028854">
      <w:bodyDiv w:val="1"/>
      <w:marLeft w:val="0"/>
      <w:marRight w:val="0"/>
      <w:marTop w:val="0"/>
      <w:marBottom w:val="0"/>
      <w:divBdr>
        <w:top w:val="none" w:sz="0" w:space="0" w:color="auto"/>
        <w:left w:val="none" w:sz="0" w:space="0" w:color="auto"/>
        <w:bottom w:val="none" w:sz="0" w:space="0" w:color="auto"/>
        <w:right w:val="none" w:sz="0" w:space="0" w:color="auto"/>
      </w:divBdr>
    </w:div>
    <w:div w:id="583224564">
      <w:bodyDiv w:val="1"/>
      <w:marLeft w:val="0"/>
      <w:marRight w:val="0"/>
      <w:marTop w:val="0"/>
      <w:marBottom w:val="0"/>
      <w:divBdr>
        <w:top w:val="none" w:sz="0" w:space="0" w:color="auto"/>
        <w:left w:val="none" w:sz="0" w:space="0" w:color="auto"/>
        <w:bottom w:val="none" w:sz="0" w:space="0" w:color="auto"/>
        <w:right w:val="none" w:sz="0" w:space="0" w:color="auto"/>
      </w:divBdr>
    </w:div>
    <w:div w:id="612203871">
      <w:bodyDiv w:val="1"/>
      <w:marLeft w:val="0"/>
      <w:marRight w:val="0"/>
      <w:marTop w:val="0"/>
      <w:marBottom w:val="0"/>
      <w:divBdr>
        <w:top w:val="none" w:sz="0" w:space="0" w:color="auto"/>
        <w:left w:val="none" w:sz="0" w:space="0" w:color="auto"/>
        <w:bottom w:val="none" w:sz="0" w:space="0" w:color="auto"/>
        <w:right w:val="none" w:sz="0" w:space="0" w:color="auto"/>
      </w:divBdr>
    </w:div>
    <w:div w:id="612906268">
      <w:bodyDiv w:val="1"/>
      <w:marLeft w:val="0"/>
      <w:marRight w:val="0"/>
      <w:marTop w:val="0"/>
      <w:marBottom w:val="0"/>
      <w:divBdr>
        <w:top w:val="none" w:sz="0" w:space="0" w:color="auto"/>
        <w:left w:val="none" w:sz="0" w:space="0" w:color="auto"/>
        <w:bottom w:val="none" w:sz="0" w:space="0" w:color="auto"/>
        <w:right w:val="none" w:sz="0" w:space="0" w:color="auto"/>
      </w:divBdr>
      <w:divsChild>
        <w:div w:id="949118670">
          <w:marLeft w:val="0"/>
          <w:marRight w:val="0"/>
          <w:marTop w:val="0"/>
          <w:marBottom w:val="0"/>
          <w:divBdr>
            <w:top w:val="none" w:sz="0" w:space="0" w:color="auto"/>
            <w:left w:val="none" w:sz="0" w:space="0" w:color="auto"/>
            <w:bottom w:val="none" w:sz="0" w:space="0" w:color="auto"/>
            <w:right w:val="none" w:sz="0" w:space="0" w:color="auto"/>
          </w:divBdr>
        </w:div>
        <w:div w:id="1617980400">
          <w:marLeft w:val="0"/>
          <w:marRight w:val="0"/>
          <w:marTop w:val="0"/>
          <w:marBottom w:val="0"/>
          <w:divBdr>
            <w:top w:val="none" w:sz="0" w:space="0" w:color="auto"/>
            <w:left w:val="none" w:sz="0" w:space="0" w:color="auto"/>
            <w:bottom w:val="none" w:sz="0" w:space="0" w:color="auto"/>
            <w:right w:val="none" w:sz="0" w:space="0" w:color="auto"/>
          </w:divBdr>
        </w:div>
        <w:div w:id="1734935937">
          <w:marLeft w:val="0"/>
          <w:marRight w:val="0"/>
          <w:marTop w:val="0"/>
          <w:marBottom w:val="0"/>
          <w:divBdr>
            <w:top w:val="none" w:sz="0" w:space="0" w:color="auto"/>
            <w:left w:val="none" w:sz="0" w:space="0" w:color="auto"/>
            <w:bottom w:val="none" w:sz="0" w:space="0" w:color="auto"/>
            <w:right w:val="none" w:sz="0" w:space="0" w:color="auto"/>
          </w:divBdr>
        </w:div>
        <w:div w:id="1860510501">
          <w:marLeft w:val="0"/>
          <w:marRight w:val="0"/>
          <w:marTop w:val="0"/>
          <w:marBottom w:val="0"/>
          <w:divBdr>
            <w:top w:val="none" w:sz="0" w:space="0" w:color="auto"/>
            <w:left w:val="none" w:sz="0" w:space="0" w:color="auto"/>
            <w:bottom w:val="none" w:sz="0" w:space="0" w:color="auto"/>
            <w:right w:val="none" w:sz="0" w:space="0" w:color="auto"/>
          </w:divBdr>
        </w:div>
        <w:div w:id="2006086874">
          <w:marLeft w:val="0"/>
          <w:marRight w:val="0"/>
          <w:marTop w:val="0"/>
          <w:marBottom w:val="0"/>
          <w:divBdr>
            <w:top w:val="none" w:sz="0" w:space="0" w:color="auto"/>
            <w:left w:val="none" w:sz="0" w:space="0" w:color="auto"/>
            <w:bottom w:val="none" w:sz="0" w:space="0" w:color="auto"/>
            <w:right w:val="none" w:sz="0" w:space="0" w:color="auto"/>
          </w:divBdr>
        </w:div>
      </w:divsChild>
    </w:div>
    <w:div w:id="616255895">
      <w:bodyDiv w:val="1"/>
      <w:marLeft w:val="0"/>
      <w:marRight w:val="0"/>
      <w:marTop w:val="0"/>
      <w:marBottom w:val="0"/>
      <w:divBdr>
        <w:top w:val="none" w:sz="0" w:space="0" w:color="auto"/>
        <w:left w:val="none" w:sz="0" w:space="0" w:color="auto"/>
        <w:bottom w:val="none" w:sz="0" w:space="0" w:color="auto"/>
        <w:right w:val="none" w:sz="0" w:space="0" w:color="auto"/>
      </w:divBdr>
    </w:div>
    <w:div w:id="627317841">
      <w:bodyDiv w:val="1"/>
      <w:marLeft w:val="0"/>
      <w:marRight w:val="0"/>
      <w:marTop w:val="0"/>
      <w:marBottom w:val="0"/>
      <w:divBdr>
        <w:top w:val="none" w:sz="0" w:space="0" w:color="auto"/>
        <w:left w:val="none" w:sz="0" w:space="0" w:color="auto"/>
        <w:bottom w:val="none" w:sz="0" w:space="0" w:color="auto"/>
        <w:right w:val="none" w:sz="0" w:space="0" w:color="auto"/>
      </w:divBdr>
    </w:div>
    <w:div w:id="636498600">
      <w:bodyDiv w:val="1"/>
      <w:marLeft w:val="0"/>
      <w:marRight w:val="0"/>
      <w:marTop w:val="0"/>
      <w:marBottom w:val="0"/>
      <w:divBdr>
        <w:top w:val="none" w:sz="0" w:space="0" w:color="auto"/>
        <w:left w:val="none" w:sz="0" w:space="0" w:color="auto"/>
        <w:bottom w:val="none" w:sz="0" w:space="0" w:color="auto"/>
        <w:right w:val="none" w:sz="0" w:space="0" w:color="auto"/>
      </w:divBdr>
    </w:div>
    <w:div w:id="644429237">
      <w:bodyDiv w:val="1"/>
      <w:marLeft w:val="0"/>
      <w:marRight w:val="0"/>
      <w:marTop w:val="0"/>
      <w:marBottom w:val="0"/>
      <w:divBdr>
        <w:top w:val="none" w:sz="0" w:space="0" w:color="auto"/>
        <w:left w:val="none" w:sz="0" w:space="0" w:color="auto"/>
        <w:bottom w:val="none" w:sz="0" w:space="0" w:color="auto"/>
        <w:right w:val="none" w:sz="0" w:space="0" w:color="auto"/>
      </w:divBdr>
    </w:div>
    <w:div w:id="652488503">
      <w:bodyDiv w:val="1"/>
      <w:marLeft w:val="0"/>
      <w:marRight w:val="0"/>
      <w:marTop w:val="0"/>
      <w:marBottom w:val="0"/>
      <w:divBdr>
        <w:top w:val="none" w:sz="0" w:space="0" w:color="auto"/>
        <w:left w:val="none" w:sz="0" w:space="0" w:color="auto"/>
        <w:bottom w:val="none" w:sz="0" w:space="0" w:color="auto"/>
        <w:right w:val="none" w:sz="0" w:space="0" w:color="auto"/>
      </w:divBdr>
    </w:div>
    <w:div w:id="656567385">
      <w:bodyDiv w:val="1"/>
      <w:marLeft w:val="0"/>
      <w:marRight w:val="0"/>
      <w:marTop w:val="0"/>
      <w:marBottom w:val="0"/>
      <w:divBdr>
        <w:top w:val="none" w:sz="0" w:space="0" w:color="auto"/>
        <w:left w:val="none" w:sz="0" w:space="0" w:color="auto"/>
        <w:bottom w:val="none" w:sz="0" w:space="0" w:color="auto"/>
        <w:right w:val="none" w:sz="0" w:space="0" w:color="auto"/>
      </w:divBdr>
    </w:div>
    <w:div w:id="659388934">
      <w:bodyDiv w:val="1"/>
      <w:marLeft w:val="0"/>
      <w:marRight w:val="0"/>
      <w:marTop w:val="0"/>
      <w:marBottom w:val="0"/>
      <w:divBdr>
        <w:top w:val="none" w:sz="0" w:space="0" w:color="auto"/>
        <w:left w:val="none" w:sz="0" w:space="0" w:color="auto"/>
        <w:bottom w:val="none" w:sz="0" w:space="0" w:color="auto"/>
        <w:right w:val="none" w:sz="0" w:space="0" w:color="auto"/>
      </w:divBdr>
    </w:div>
    <w:div w:id="662247774">
      <w:bodyDiv w:val="1"/>
      <w:marLeft w:val="0"/>
      <w:marRight w:val="0"/>
      <w:marTop w:val="0"/>
      <w:marBottom w:val="0"/>
      <w:divBdr>
        <w:top w:val="none" w:sz="0" w:space="0" w:color="auto"/>
        <w:left w:val="none" w:sz="0" w:space="0" w:color="auto"/>
        <w:bottom w:val="none" w:sz="0" w:space="0" w:color="auto"/>
        <w:right w:val="none" w:sz="0" w:space="0" w:color="auto"/>
      </w:divBdr>
    </w:div>
    <w:div w:id="687566658">
      <w:bodyDiv w:val="1"/>
      <w:marLeft w:val="0"/>
      <w:marRight w:val="0"/>
      <w:marTop w:val="0"/>
      <w:marBottom w:val="0"/>
      <w:divBdr>
        <w:top w:val="none" w:sz="0" w:space="0" w:color="auto"/>
        <w:left w:val="none" w:sz="0" w:space="0" w:color="auto"/>
        <w:bottom w:val="none" w:sz="0" w:space="0" w:color="auto"/>
        <w:right w:val="none" w:sz="0" w:space="0" w:color="auto"/>
      </w:divBdr>
    </w:div>
    <w:div w:id="696194319">
      <w:bodyDiv w:val="1"/>
      <w:marLeft w:val="0"/>
      <w:marRight w:val="0"/>
      <w:marTop w:val="0"/>
      <w:marBottom w:val="0"/>
      <w:divBdr>
        <w:top w:val="none" w:sz="0" w:space="0" w:color="auto"/>
        <w:left w:val="none" w:sz="0" w:space="0" w:color="auto"/>
        <w:bottom w:val="none" w:sz="0" w:space="0" w:color="auto"/>
        <w:right w:val="none" w:sz="0" w:space="0" w:color="auto"/>
      </w:divBdr>
    </w:div>
    <w:div w:id="750346167">
      <w:bodyDiv w:val="1"/>
      <w:marLeft w:val="0"/>
      <w:marRight w:val="0"/>
      <w:marTop w:val="0"/>
      <w:marBottom w:val="0"/>
      <w:divBdr>
        <w:top w:val="none" w:sz="0" w:space="0" w:color="auto"/>
        <w:left w:val="none" w:sz="0" w:space="0" w:color="auto"/>
        <w:bottom w:val="none" w:sz="0" w:space="0" w:color="auto"/>
        <w:right w:val="none" w:sz="0" w:space="0" w:color="auto"/>
      </w:divBdr>
    </w:div>
    <w:div w:id="756025714">
      <w:bodyDiv w:val="1"/>
      <w:marLeft w:val="0"/>
      <w:marRight w:val="0"/>
      <w:marTop w:val="0"/>
      <w:marBottom w:val="0"/>
      <w:divBdr>
        <w:top w:val="none" w:sz="0" w:space="0" w:color="auto"/>
        <w:left w:val="none" w:sz="0" w:space="0" w:color="auto"/>
        <w:bottom w:val="none" w:sz="0" w:space="0" w:color="auto"/>
        <w:right w:val="none" w:sz="0" w:space="0" w:color="auto"/>
      </w:divBdr>
    </w:div>
    <w:div w:id="770664485">
      <w:bodyDiv w:val="1"/>
      <w:marLeft w:val="0"/>
      <w:marRight w:val="0"/>
      <w:marTop w:val="0"/>
      <w:marBottom w:val="0"/>
      <w:divBdr>
        <w:top w:val="none" w:sz="0" w:space="0" w:color="auto"/>
        <w:left w:val="none" w:sz="0" w:space="0" w:color="auto"/>
        <w:bottom w:val="none" w:sz="0" w:space="0" w:color="auto"/>
        <w:right w:val="none" w:sz="0" w:space="0" w:color="auto"/>
      </w:divBdr>
    </w:div>
    <w:div w:id="777724795">
      <w:bodyDiv w:val="1"/>
      <w:marLeft w:val="0"/>
      <w:marRight w:val="0"/>
      <w:marTop w:val="0"/>
      <w:marBottom w:val="0"/>
      <w:divBdr>
        <w:top w:val="none" w:sz="0" w:space="0" w:color="auto"/>
        <w:left w:val="none" w:sz="0" w:space="0" w:color="auto"/>
        <w:bottom w:val="none" w:sz="0" w:space="0" w:color="auto"/>
        <w:right w:val="none" w:sz="0" w:space="0" w:color="auto"/>
      </w:divBdr>
    </w:div>
    <w:div w:id="804273179">
      <w:bodyDiv w:val="1"/>
      <w:marLeft w:val="0"/>
      <w:marRight w:val="0"/>
      <w:marTop w:val="0"/>
      <w:marBottom w:val="0"/>
      <w:divBdr>
        <w:top w:val="none" w:sz="0" w:space="0" w:color="auto"/>
        <w:left w:val="none" w:sz="0" w:space="0" w:color="auto"/>
        <w:bottom w:val="none" w:sz="0" w:space="0" w:color="auto"/>
        <w:right w:val="none" w:sz="0" w:space="0" w:color="auto"/>
      </w:divBdr>
    </w:div>
    <w:div w:id="819493887">
      <w:bodyDiv w:val="1"/>
      <w:marLeft w:val="0"/>
      <w:marRight w:val="0"/>
      <w:marTop w:val="0"/>
      <w:marBottom w:val="0"/>
      <w:divBdr>
        <w:top w:val="none" w:sz="0" w:space="0" w:color="auto"/>
        <w:left w:val="none" w:sz="0" w:space="0" w:color="auto"/>
        <w:bottom w:val="none" w:sz="0" w:space="0" w:color="auto"/>
        <w:right w:val="none" w:sz="0" w:space="0" w:color="auto"/>
      </w:divBdr>
    </w:div>
    <w:div w:id="828790414">
      <w:bodyDiv w:val="1"/>
      <w:marLeft w:val="0"/>
      <w:marRight w:val="0"/>
      <w:marTop w:val="0"/>
      <w:marBottom w:val="0"/>
      <w:divBdr>
        <w:top w:val="none" w:sz="0" w:space="0" w:color="auto"/>
        <w:left w:val="none" w:sz="0" w:space="0" w:color="auto"/>
        <w:bottom w:val="none" w:sz="0" w:space="0" w:color="auto"/>
        <w:right w:val="none" w:sz="0" w:space="0" w:color="auto"/>
      </w:divBdr>
    </w:div>
    <w:div w:id="842622520">
      <w:bodyDiv w:val="1"/>
      <w:marLeft w:val="0"/>
      <w:marRight w:val="0"/>
      <w:marTop w:val="0"/>
      <w:marBottom w:val="0"/>
      <w:divBdr>
        <w:top w:val="none" w:sz="0" w:space="0" w:color="auto"/>
        <w:left w:val="none" w:sz="0" w:space="0" w:color="auto"/>
        <w:bottom w:val="none" w:sz="0" w:space="0" w:color="auto"/>
        <w:right w:val="none" w:sz="0" w:space="0" w:color="auto"/>
      </w:divBdr>
      <w:divsChild>
        <w:div w:id="967778752">
          <w:marLeft w:val="0"/>
          <w:marRight w:val="0"/>
          <w:marTop w:val="0"/>
          <w:marBottom w:val="0"/>
          <w:divBdr>
            <w:top w:val="none" w:sz="0" w:space="0" w:color="auto"/>
            <w:left w:val="none" w:sz="0" w:space="0" w:color="auto"/>
            <w:bottom w:val="none" w:sz="0" w:space="0" w:color="auto"/>
            <w:right w:val="none" w:sz="0" w:space="0" w:color="auto"/>
          </w:divBdr>
        </w:div>
        <w:div w:id="1283807336">
          <w:marLeft w:val="0"/>
          <w:marRight w:val="0"/>
          <w:marTop w:val="0"/>
          <w:marBottom w:val="0"/>
          <w:divBdr>
            <w:top w:val="none" w:sz="0" w:space="0" w:color="auto"/>
            <w:left w:val="none" w:sz="0" w:space="0" w:color="auto"/>
            <w:bottom w:val="none" w:sz="0" w:space="0" w:color="auto"/>
            <w:right w:val="none" w:sz="0" w:space="0" w:color="auto"/>
          </w:divBdr>
        </w:div>
      </w:divsChild>
    </w:div>
    <w:div w:id="852184715">
      <w:bodyDiv w:val="1"/>
      <w:marLeft w:val="0"/>
      <w:marRight w:val="0"/>
      <w:marTop w:val="0"/>
      <w:marBottom w:val="0"/>
      <w:divBdr>
        <w:top w:val="none" w:sz="0" w:space="0" w:color="auto"/>
        <w:left w:val="none" w:sz="0" w:space="0" w:color="auto"/>
        <w:bottom w:val="none" w:sz="0" w:space="0" w:color="auto"/>
        <w:right w:val="none" w:sz="0" w:space="0" w:color="auto"/>
      </w:divBdr>
    </w:div>
    <w:div w:id="862472811">
      <w:bodyDiv w:val="1"/>
      <w:marLeft w:val="0"/>
      <w:marRight w:val="0"/>
      <w:marTop w:val="0"/>
      <w:marBottom w:val="0"/>
      <w:divBdr>
        <w:top w:val="none" w:sz="0" w:space="0" w:color="auto"/>
        <w:left w:val="none" w:sz="0" w:space="0" w:color="auto"/>
        <w:bottom w:val="none" w:sz="0" w:space="0" w:color="auto"/>
        <w:right w:val="none" w:sz="0" w:space="0" w:color="auto"/>
      </w:divBdr>
    </w:div>
    <w:div w:id="864827125">
      <w:bodyDiv w:val="1"/>
      <w:marLeft w:val="0"/>
      <w:marRight w:val="0"/>
      <w:marTop w:val="0"/>
      <w:marBottom w:val="0"/>
      <w:divBdr>
        <w:top w:val="none" w:sz="0" w:space="0" w:color="auto"/>
        <w:left w:val="none" w:sz="0" w:space="0" w:color="auto"/>
        <w:bottom w:val="none" w:sz="0" w:space="0" w:color="auto"/>
        <w:right w:val="none" w:sz="0" w:space="0" w:color="auto"/>
      </w:divBdr>
    </w:div>
    <w:div w:id="868296480">
      <w:bodyDiv w:val="1"/>
      <w:marLeft w:val="0"/>
      <w:marRight w:val="0"/>
      <w:marTop w:val="0"/>
      <w:marBottom w:val="0"/>
      <w:divBdr>
        <w:top w:val="none" w:sz="0" w:space="0" w:color="auto"/>
        <w:left w:val="none" w:sz="0" w:space="0" w:color="auto"/>
        <w:bottom w:val="none" w:sz="0" w:space="0" w:color="auto"/>
        <w:right w:val="none" w:sz="0" w:space="0" w:color="auto"/>
      </w:divBdr>
    </w:div>
    <w:div w:id="875890630">
      <w:bodyDiv w:val="1"/>
      <w:marLeft w:val="0"/>
      <w:marRight w:val="0"/>
      <w:marTop w:val="0"/>
      <w:marBottom w:val="0"/>
      <w:divBdr>
        <w:top w:val="none" w:sz="0" w:space="0" w:color="auto"/>
        <w:left w:val="none" w:sz="0" w:space="0" w:color="auto"/>
        <w:bottom w:val="none" w:sz="0" w:space="0" w:color="auto"/>
        <w:right w:val="none" w:sz="0" w:space="0" w:color="auto"/>
      </w:divBdr>
    </w:div>
    <w:div w:id="886457234">
      <w:bodyDiv w:val="1"/>
      <w:marLeft w:val="0"/>
      <w:marRight w:val="0"/>
      <w:marTop w:val="0"/>
      <w:marBottom w:val="0"/>
      <w:divBdr>
        <w:top w:val="none" w:sz="0" w:space="0" w:color="auto"/>
        <w:left w:val="none" w:sz="0" w:space="0" w:color="auto"/>
        <w:bottom w:val="none" w:sz="0" w:space="0" w:color="auto"/>
        <w:right w:val="none" w:sz="0" w:space="0" w:color="auto"/>
      </w:divBdr>
    </w:div>
    <w:div w:id="902258027">
      <w:bodyDiv w:val="1"/>
      <w:marLeft w:val="0"/>
      <w:marRight w:val="0"/>
      <w:marTop w:val="0"/>
      <w:marBottom w:val="0"/>
      <w:divBdr>
        <w:top w:val="none" w:sz="0" w:space="0" w:color="auto"/>
        <w:left w:val="none" w:sz="0" w:space="0" w:color="auto"/>
        <w:bottom w:val="none" w:sz="0" w:space="0" w:color="auto"/>
        <w:right w:val="none" w:sz="0" w:space="0" w:color="auto"/>
      </w:divBdr>
    </w:div>
    <w:div w:id="925043460">
      <w:bodyDiv w:val="1"/>
      <w:marLeft w:val="0"/>
      <w:marRight w:val="0"/>
      <w:marTop w:val="0"/>
      <w:marBottom w:val="0"/>
      <w:divBdr>
        <w:top w:val="none" w:sz="0" w:space="0" w:color="auto"/>
        <w:left w:val="none" w:sz="0" w:space="0" w:color="auto"/>
        <w:bottom w:val="none" w:sz="0" w:space="0" w:color="auto"/>
        <w:right w:val="none" w:sz="0" w:space="0" w:color="auto"/>
      </w:divBdr>
    </w:div>
    <w:div w:id="927664328">
      <w:bodyDiv w:val="1"/>
      <w:marLeft w:val="0"/>
      <w:marRight w:val="0"/>
      <w:marTop w:val="0"/>
      <w:marBottom w:val="0"/>
      <w:divBdr>
        <w:top w:val="none" w:sz="0" w:space="0" w:color="auto"/>
        <w:left w:val="none" w:sz="0" w:space="0" w:color="auto"/>
        <w:bottom w:val="none" w:sz="0" w:space="0" w:color="auto"/>
        <w:right w:val="none" w:sz="0" w:space="0" w:color="auto"/>
      </w:divBdr>
    </w:div>
    <w:div w:id="937299652">
      <w:bodyDiv w:val="1"/>
      <w:marLeft w:val="0"/>
      <w:marRight w:val="0"/>
      <w:marTop w:val="0"/>
      <w:marBottom w:val="0"/>
      <w:divBdr>
        <w:top w:val="none" w:sz="0" w:space="0" w:color="auto"/>
        <w:left w:val="none" w:sz="0" w:space="0" w:color="auto"/>
        <w:bottom w:val="none" w:sz="0" w:space="0" w:color="auto"/>
        <w:right w:val="none" w:sz="0" w:space="0" w:color="auto"/>
      </w:divBdr>
    </w:div>
    <w:div w:id="979305584">
      <w:bodyDiv w:val="1"/>
      <w:marLeft w:val="0"/>
      <w:marRight w:val="0"/>
      <w:marTop w:val="0"/>
      <w:marBottom w:val="0"/>
      <w:divBdr>
        <w:top w:val="none" w:sz="0" w:space="0" w:color="auto"/>
        <w:left w:val="none" w:sz="0" w:space="0" w:color="auto"/>
        <w:bottom w:val="none" w:sz="0" w:space="0" w:color="auto"/>
        <w:right w:val="none" w:sz="0" w:space="0" w:color="auto"/>
      </w:divBdr>
    </w:div>
    <w:div w:id="982537507">
      <w:bodyDiv w:val="1"/>
      <w:marLeft w:val="0"/>
      <w:marRight w:val="0"/>
      <w:marTop w:val="0"/>
      <w:marBottom w:val="0"/>
      <w:divBdr>
        <w:top w:val="none" w:sz="0" w:space="0" w:color="auto"/>
        <w:left w:val="none" w:sz="0" w:space="0" w:color="auto"/>
        <w:bottom w:val="none" w:sz="0" w:space="0" w:color="auto"/>
        <w:right w:val="none" w:sz="0" w:space="0" w:color="auto"/>
      </w:divBdr>
    </w:div>
    <w:div w:id="994727837">
      <w:bodyDiv w:val="1"/>
      <w:marLeft w:val="0"/>
      <w:marRight w:val="0"/>
      <w:marTop w:val="0"/>
      <w:marBottom w:val="0"/>
      <w:divBdr>
        <w:top w:val="none" w:sz="0" w:space="0" w:color="auto"/>
        <w:left w:val="none" w:sz="0" w:space="0" w:color="auto"/>
        <w:bottom w:val="none" w:sz="0" w:space="0" w:color="auto"/>
        <w:right w:val="none" w:sz="0" w:space="0" w:color="auto"/>
      </w:divBdr>
    </w:div>
    <w:div w:id="1001930799">
      <w:bodyDiv w:val="1"/>
      <w:marLeft w:val="0"/>
      <w:marRight w:val="0"/>
      <w:marTop w:val="0"/>
      <w:marBottom w:val="0"/>
      <w:divBdr>
        <w:top w:val="none" w:sz="0" w:space="0" w:color="auto"/>
        <w:left w:val="none" w:sz="0" w:space="0" w:color="auto"/>
        <w:bottom w:val="none" w:sz="0" w:space="0" w:color="auto"/>
        <w:right w:val="none" w:sz="0" w:space="0" w:color="auto"/>
      </w:divBdr>
    </w:div>
    <w:div w:id="1021122855">
      <w:bodyDiv w:val="1"/>
      <w:marLeft w:val="0"/>
      <w:marRight w:val="0"/>
      <w:marTop w:val="0"/>
      <w:marBottom w:val="0"/>
      <w:divBdr>
        <w:top w:val="none" w:sz="0" w:space="0" w:color="auto"/>
        <w:left w:val="none" w:sz="0" w:space="0" w:color="auto"/>
        <w:bottom w:val="none" w:sz="0" w:space="0" w:color="auto"/>
        <w:right w:val="none" w:sz="0" w:space="0" w:color="auto"/>
      </w:divBdr>
    </w:div>
    <w:div w:id="1030230013">
      <w:bodyDiv w:val="1"/>
      <w:marLeft w:val="0"/>
      <w:marRight w:val="0"/>
      <w:marTop w:val="0"/>
      <w:marBottom w:val="0"/>
      <w:divBdr>
        <w:top w:val="none" w:sz="0" w:space="0" w:color="auto"/>
        <w:left w:val="none" w:sz="0" w:space="0" w:color="auto"/>
        <w:bottom w:val="none" w:sz="0" w:space="0" w:color="auto"/>
        <w:right w:val="none" w:sz="0" w:space="0" w:color="auto"/>
      </w:divBdr>
    </w:div>
    <w:div w:id="1047488181">
      <w:bodyDiv w:val="1"/>
      <w:marLeft w:val="0"/>
      <w:marRight w:val="0"/>
      <w:marTop w:val="0"/>
      <w:marBottom w:val="0"/>
      <w:divBdr>
        <w:top w:val="none" w:sz="0" w:space="0" w:color="auto"/>
        <w:left w:val="none" w:sz="0" w:space="0" w:color="auto"/>
        <w:bottom w:val="none" w:sz="0" w:space="0" w:color="auto"/>
        <w:right w:val="none" w:sz="0" w:space="0" w:color="auto"/>
      </w:divBdr>
    </w:div>
    <w:div w:id="1056702592">
      <w:bodyDiv w:val="1"/>
      <w:marLeft w:val="0"/>
      <w:marRight w:val="0"/>
      <w:marTop w:val="0"/>
      <w:marBottom w:val="0"/>
      <w:divBdr>
        <w:top w:val="none" w:sz="0" w:space="0" w:color="auto"/>
        <w:left w:val="none" w:sz="0" w:space="0" w:color="auto"/>
        <w:bottom w:val="none" w:sz="0" w:space="0" w:color="auto"/>
        <w:right w:val="none" w:sz="0" w:space="0" w:color="auto"/>
      </w:divBdr>
    </w:div>
    <w:div w:id="1060980208">
      <w:bodyDiv w:val="1"/>
      <w:marLeft w:val="0"/>
      <w:marRight w:val="0"/>
      <w:marTop w:val="0"/>
      <w:marBottom w:val="0"/>
      <w:divBdr>
        <w:top w:val="none" w:sz="0" w:space="0" w:color="auto"/>
        <w:left w:val="none" w:sz="0" w:space="0" w:color="auto"/>
        <w:bottom w:val="none" w:sz="0" w:space="0" w:color="auto"/>
        <w:right w:val="none" w:sz="0" w:space="0" w:color="auto"/>
      </w:divBdr>
    </w:div>
    <w:div w:id="1066996854">
      <w:bodyDiv w:val="1"/>
      <w:marLeft w:val="0"/>
      <w:marRight w:val="0"/>
      <w:marTop w:val="0"/>
      <w:marBottom w:val="0"/>
      <w:divBdr>
        <w:top w:val="none" w:sz="0" w:space="0" w:color="auto"/>
        <w:left w:val="none" w:sz="0" w:space="0" w:color="auto"/>
        <w:bottom w:val="none" w:sz="0" w:space="0" w:color="auto"/>
        <w:right w:val="none" w:sz="0" w:space="0" w:color="auto"/>
      </w:divBdr>
    </w:div>
    <w:div w:id="1088889603">
      <w:bodyDiv w:val="1"/>
      <w:marLeft w:val="0"/>
      <w:marRight w:val="0"/>
      <w:marTop w:val="0"/>
      <w:marBottom w:val="0"/>
      <w:divBdr>
        <w:top w:val="none" w:sz="0" w:space="0" w:color="auto"/>
        <w:left w:val="none" w:sz="0" w:space="0" w:color="auto"/>
        <w:bottom w:val="none" w:sz="0" w:space="0" w:color="auto"/>
        <w:right w:val="none" w:sz="0" w:space="0" w:color="auto"/>
      </w:divBdr>
    </w:div>
    <w:div w:id="1090126159">
      <w:bodyDiv w:val="1"/>
      <w:marLeft w:val="0"/>
      <w:marRight w:val="0"/>
      <w:marTop w:val="0"/>
      <w:marBottom w:val="0"/>
      <w:divBdr>
        <w:top w:val="none" w:sz="0" w:space="0" w:color="auto"/>
        <w:left w:val="none" w:sz="0" w:space="0" w:color="auto"/>
        <w:bottom w:val="none" w:sz="0" w:space="0" w:color="auto"/>
        <w:right w:val="none" w:sz="0" w:space="0" w:color="auto"/>
      </w:divBdr>
    </w:div>
    <w:div w:id="1109087140">
      <w:bodyDiv w:val="1"/>
      <w:marLeft w:val="0"/>
      <w:marRight w:val="0"/>
      <w:marTop w:val="0"/>
      <w:marBottom w:val="0"/>
      <w:divBdr>
        <w:top w:val="none" w:sz="0" w:space="0" w:color="auto"/>
        <w:left w:val="none" w:sz="0" w:space="0" w:color="auto"/>
        <w:bottom w:val="none" w:sz="0" w:space="0" w:color="auto"/>
        <w:right w:val="none" w:sz="0" w:space="0" w:color="auto"/>
      </w:divBdr>
    </w:div>
    <w:div w:id="1111975139">
      <w:bodyDiv w:val="1"/>
      <w:marLeft w:val="0"/>
      <w:marRight w:val="0"/>
      <w:marTop w:val="0"/>
      <w:marBottom w:val="0"/>
      <w:divBdr>
        <w:top w:val="none" w:sz="0" w:space="0" w:color="auto"/>
        <w:left w:val="none" w:sz="0" w:space="0" w:color="auto"/>
        <w:bottom w:val="none" w:sz="0" w:space="0" w:color="auto"/>
        <w:right w:val="none" w:sz="0" w:space="0" w:color="auto"/>
      </w:divBdr>
    </w:div>
    <w:div w:id="1112438244">
      <w:bodyDiv w:val="1"/>
      <w:marLeft w:val="0"/>
      <w:marRight w:val="0"/>
      <w:marTop w:val="0"/>
      <w:marBottom w:val="0"/>
      <w:divBdr>
        <w:top w:val="none" w:sz="0" w:space="0" w:color="auto"/>
        <w:left w:val="none" w:sz="0" w:space="0" w:color="auto"/>
        <w:bottom w:val="none" w:sz="0" w:space="0" w:color="auto"/>
        <w:right w:val="none" w:sz="0" w:space="0" w:color="auto"/>
      </w:divBdr>
    </w:div>
    <w:div w:id="1127160637">
      <w:bodyDiv w:val="1"/>
      <w:marLeft w:val="0"/>
      <w:marRight w:val="0"/>
      <w:marTop w:val="0"/>
      <w:marBottom w:val="0"/>
      <w:divBdr>
        <w:top w:val="none" w:sz="0" w:space="0" w:color="auto"/>
        <w:left w:val="none" w:sz="0" w:space="0" w:color="auto"/>
        <w:bottom w:val="none" w:sz="0" w:space="0" w:color="auto"/>
        <w:right w:val="none" w:sz="0" w:space="0" w:color="auto"/>
      </w:divBdr>
    </w:div>
    <w:div w:id="1140341126">
      <w:bodyDiv w:val="1"/>
      <w:marLeft w:val="0"/>
      <w:marRight w:val="0"/>
      <w:marTop w:val="0"/>
      <w:marBottom w:val="0"/>
      <w:divBdr>
        <w:top w:val="none" w:sz="0" w:space="0" w:color="auto"/>
        <w:left w:val="none" w:sz="0" w:space="0" w:color="auto"/>
        <w:bottom w:val="none" w:sz="0" w:space="0" w:color="auto"/>
        <w:right w:val="none" w:sz="0" w:space="0" w:color="auto"/>
      </w:divBdr>
    </w:div>
    <w:div w:id="1161506370">
      <w:bodyDiv w:val="1"/>
      <w:marLeft w:val="0"/>
      <w:marRight w:val="0"/>
      <w:marTop w:val="0"/>
      <w:marBottom w:val="0"/>
      <w:divBdr>
        <w:top w:val="none" w:sz="0" w:space="0" w:color="auto"/>
        <w:left w:val="none" w:sz="0" w:space="0" w:color="auto"/>
        <w:bottom w:val="none" w:sz="0" w:space="0" w:color="auto"/>
        <w:right w:val="none" w:sz="0" w:space="0" w:color="auto"/>
      </w:divBdr>
    </w:div>
    <w:div w:id="1202405651">
      <w:bodyDiv w:val="1"/>
      <w:marLeft w:val="0"/>
      <w:marRight w:val="0"/>
      <w:marTop w:val="0"/>
      <w:marBottom w:val="0"/>
      <w:divBdr>
        <w:top w:val="none" w:sz="0" w:space="0" w:color="auto"/>
        <w:left w:val="none" w:sz="0" w:space="0" w:color="auto"/>
        <w:bottom w:val="none" w:sz="0" w:space="0" w:color="auto"/>
        <w:right w:val="none" w:sz="0" w:space="0" w:color="auto"/>
      </w:divBdr>
    </w:div>
    <w:div w:id="1215048406">
      <w:bodyDiv w:val="1"/>
      <w:marLeft w:val="0"/>
      <w:marRight w:val="0"/>
      <w:marTop w:val="0"/>
      <w:marBottom w:val="0"/>
      <w:divBdr>
        <w:top w:val="none" w:sz="0" w:space="0" w:color="auto"/>
        <w:left w:val="none" w:sz="0" w:space="0" w:color="auto"/>
        <w:bottom w:val="none" w:sz="0" w:space="0" w:color="auto"/>
        <w:right w:val="none" w:sz="0" w:space="0" w:color="auto"/>
      </w:divBdr>
    </w:div>
    <w:div w:id="1222670391">
      <w:bodyDiv w:val="1"/>
      <w:marLeft w:val="0"/>
      <w:marRight w:val="0"/>
      <w:marTop w:val="0"/>
      <w:marBottom w:val="0"/>
      <w:divBdr>
        <w:top w:val="none" w:sz="0" w:space="0" w:color="auto"/>
        <w:left w:val="none" w:sz="0" w:space="0" w:color="auto"/>
        <w:bottom w:val="none" w:sz="0" w:space="0" w:color="auto"/>
        <w:right w:val="none" w:sz="0" w:space="0" w:color="auto"/>
      </w:divBdr>
    </w:div>
    <w:div w:id="1223905999">
      <w:bodyDiv w:val="1"/>
      <w:marLeft w:val="0"/>
      <w:marRight w:val="0"/>
      <w:marTop w:val="0"/>
      <w:marBottom w:val="0"/>
      <w:divBdr>
        <w:top w:val="none" w:sz="0" w:space="0" w:color="auto"/>
        <w:left w:val="none" w:sz="0" w:space="0" w:color="auto"/>
        <w:bottom w:val="none" w:sz="0" w:space="0" w:color="auto"/>
        <w:right w:val="none" w:sz="0" w:space="0" w:color="auto"/>
      </w:divBdr>
      <w:divsChild>
        <w:div w:id="20864631">
          <w:marLeft w:val="0"/>
          <w:marRight w:val="0"/>
          <w:marTop w:val="0"/>
          <w:marBottom w:val="0"/>
          <w:divBdr>
            <w:top w:val="none" w:sz="0" w:space="0" w:color="auto"/>
            <w:left w:val="none" w:sz="0" w:space="0" w:color="auto"/>
            <w:bottom w:val="none" w:sz="0" w:space="0" w:color="auto"/>
            <w:right w:val="none" w:sz="0" w:space="0" w:color="auto"/>
          </w:divBdr>
        </w:div>
        <w:div w:id="62989280">
          <w:marLeft w:val="0"/>
          <w:marRight w:val="0"/>
          <w:marTop w:val="0"/>
          <w:marBottom w:val="0"/>
          <w:divBdr>
            <w:top w:val="none" w:sz="0" w:space="0" w:color="auto"/>
            <w:left w:val="none" w:sz="0" w:space="0" w:color="auto"/>
            <w:bottom w:val="none" w:sz="0" w:space="0" w:color="auto"/>
            <w:right w:val="none" w:sz="0" w:space="0" w:color="auto"/>
          </w:divBdr>
        </w:div>
        <w:div w:id="97062224">
          <w:marLeft w:val="0"/>
          <w:marRight w:val="0"/>
          <w:marTop w:val="0"/>
          <w:marBottom w:val="0"/>
          <w:divBdr>
            <w:top w:val="none" w:sz="0" w:space="0" w:color="auto"/>
            <w:left w:val="none" w:sz="0" w:space="0" w:color="auto"/>
            <w:bottom w:val="none" w:sz="0" w:space="0" w:color="auto"/>
            <w:right w:val="none" w:sz="0" w:space="0" w:color="auto"/>
          </w:divBdr>
        </w:div>
        <w:div w:id="108666618">
          <w:marLeft w:val="0"/>
          <w:marRight w:val="0"/>
          <w:marTop w:val="0"/>
          <w:marBottom w:val="0"/>
          <w:divBdr>
            <w:top w:val="none" w:sz="0" w:space="0" w:color="auto"/>
            <w:left w:val="none" w:sz="0" w:space="0" w:color="auto"/>
            <w:bottom w:val="none" w:sz="0" w:space="0" w:color="auto"/>
            <w:right w:val="none" w:sz="0" w:space="0" w:color="auto"/>
          </w:divBdr>
        </w:div>
        <w:div w:id="133262397">
          <w:marLeft w:val="0"/>
          <w:marRight w:val="0"/>
          <w:marTop w:val="0"/>
          <w:marBottom w:val="0"/>
          <w:divBdr>
            <w:top w:val="none" w:sz="0" w:space="0" w:color="auto"/>
            <w:left w:val="none" w:sz="0" w:space="0" w:color="auto"/>
            <w:bottom w:val="none" w:sz="0" w:space="0" w:color="auto"/>
            <w:right w:val="none" w:sz="0" w:space="0" w:color="auto"/>
          </w:divBdr>
        </w:div>
        <w:div w:id="153957749">
          <w:marLeft w:val="0"/>
          <w:marRight w:val="0"/>
          <w:marTop w:val="0"/>
          <w:marBottom w:val="0"/>
          <w:divBdr>
            <w:top w:val="none" w:sz="0" w:space="0" w:color="auto"/>
            <w:left w:val="none" w:sz="0" w:space="0" w:color="auto"/>
            <w:bottom w:val="none" w:sz="0" w:space="0" w:color="auto"/>
            <w:right w:val="none" w:sz="0" w:space="0" w:color="auto"/>
          </w:divBdr>
        </w:div>
        <w:div w:id="165363064">
          <w:marLeft w:val="0"/>
          <w:marRight w:val="0"/>
          <w:marTop w:val="0"/>
          <w:marBottom w:val="0"/>
          <w:divBdr>
            <w:top w:val="none" w:sz="0" w:space="0" w:color="auto"/>
            <w:left w:val="none" w:sz="0" w:space="0" w:color="auto"/>
            <w:bottom w:val="none" w:sz="0" w:space="0" w:color="auto"/>
            <w:right w:val="none" w:sz="0" w:space="0" w:color="auto"/>
          </w:divBdr>
        </w:div>
        <w:div w:id="176383049">
          <w:marLeft w:val="0"/>
          <w:marRight w:val="0"/>
          <w:marTop w:val="0"/>
          <w:marBottom w:val="0"/>
          <w:divBdr>
            <w:top w:val="none" w:sz="0" w:space="0" w:color="auto"/>
            <w:left w:val="none" w:sz="0" w:space="0" w:color="auto"/>
            <w:bottom w:val="none" w:sz="0" w:space="0" w:color="auto"/>
            <w:right w:val="none" w:sz="0" w:space="0" w:color="auto"/>
          </w:divBdr>
        </w:div>
        <w:div w:id="177164461">
          <w:marLeft w:val="0"/>
          <w:marRight w:val="0"/>
          <w:marTop w:val="0"/>
          <w:marBottom w:val="0"/>
          <w:divBdr>
            <w:top w:val="none" w:sz="0" w:space="0" w:color="auto"/>
            <w:left w:val="none" w:sz="0" w:space="0" w:color="auto"/>
            <w:bottom w:val="none" w:sz="0" w:space="0" w:color="auto"/>
            <w:right w:val="none" w:sz="0" w:space="0" w:color="auto"/>
          </w:divBdr>
        </w:div>
        <w:div w:id="189758172">
          <w:marLeft w:val="0"/>
          <w:marRight w:val="0"/>
          <w:marTop w:val="0"/>
          <w:marBottom w:val="0"/>
          <w:divBdr>
            <w:top w:val="none" w:sz="0" w:space="0" w:color="auto"/>
            <w:left w:val="none" w:sz="0" w:space="0" w:color="auto"/>
            <w:bottom w:val="none" w:sz="0" w:space="0" w:color="auto"/>
            <w:right w:val="none" w:sz="0" w:space="0" w:color="auto"/>
          </w:divBdr>
        </w:div>
        <w:div w:id="223372154">
          <w:marLeft w:val="0"/>
          <w:marRight w:val="0"/>
          <w:marTop w:val="0"/>
          <w:marBottom w:val="0"/>
          <w:divBdr>
            <w:top w:val="none" w:sz="0" w:space="0" w:color="auto"/>
            <w:left w:val="none" w:sz="0" w:space="0" w:color="auto"/>
            <w:bottom w:val="none" w:sz="0" w:space="0" w:color="auto"/>
            <w:right w:val="none" w:sz="0" w:space="0" w:color="auto"/>
          </w:divBdr>
        </w:div>
        <w:div w:id="230044100">
          <w:marLeft w:val="0"/>
          <w:marRight w:val="0"/>
          <w:marTop w:val="0"/>
          <w:marBottom w:val="0"/>
          <w:divBdr>
            <w:top w:val="none" w:sz="0" w:space="0" w:color="auto"/>
            <w:left w:val="none" w:sz="0" w:space="0" w:color="auto"/>
            <w:bottom w:val="none" w:sz="0" w:space="0" w:color="auto"/>
            <w:right w:val="none" w:sz="0" w:space="0" w:color="auto"/>
          </w:divBdr>
        </w:div>
        <w:div w:id="234435320">
          <w:marLeft w:val="0"/>
          <w:marRight w:val="0"/>
          <w:marTop w:val="0"/>
          <w:marBottom w:val="0"/>
          <w:divBdr>
            <w:top w:val="none" w:sz="0" w:space="0" w:color="auto"/>
            <w:left w:val="none" w:sz="0" w:space="0" w:color="auto"/>
            <w:bottom w:val="none" w:sz="0" w:space="0" w:color="auto"/>
            <w:right w:val="none" w:sz="0" w:space="0" w:color="auto"/>
          </w:divBdr>
        </w:div>
        <w:div w:id="234780590">
          <w:marLeft w:val="0"/>
          <w:marRight w:val="0"/>
          <w:marTop w:val="0"/>
          <w:marBottom w:val="0"/>
          <w:divBdr>
            <w:top w:val="none" w:sz="0" w:space="0" w:color="auto"/>
            <w:left w:val="none" w:sz="0" w:space="0" w:color="auto"/>
            <w:bottom w:val="none" w:sz="0" w:space="0" w:color="auto"/>
            <w:right w:val="none" w:sz="0" w:space="0" w:color="auto"/>
          </w:divBdr>
        </w:div>
        <w:div w:id="238058168">
          <w:marLeft w:val="0"/>
          <w:marRight w:val="0"/>
          <w:marTop w:val="0"/>
          <w:marBottom w:val="0"/>
          <w:divBdr>
            <w:top w:val="none" w:sz="0" w:space="0" w:color="auto"/>
            <w:left w:val="none" w:sz="0" w:space="0" w:color="auto"/>
            <w:bottom w:val="none" w:sz="0" w:space="0" w:color="auto"/>
            <w:right w:val="none" w:sz="0" w:space="0" w:color="auto"/>
          </w:divBdr>
        </w:div>
        <w:div w:id="240483042">
          <w:marLeft w:val="0"/>
          <w:marRight w:val="0"/>
          <w:marTop w:val="0"/>
          <w:marBottom w:val="0"/>
          <w:divBdr>
            <w:top w:val="none" w:sz="0" w:space="0" w:color="auto"/>
            <w:left w:val="none" w:sz="0" w:space="0" w:color="auto"/>
            <w:bottom w:val="none" w:sz="0" w:space="0" w:color="auto"/>
            <w:right w:val="none" w:sz="0" w:space="0" w:color="auto"/>
          </w:divBdr>
        </w:div>
        <w:div w:id="291635749">
          <w:marLeft w:val="0"/>
          <w:marRight w:val="0"/>
          <w:marTop w:val="0"/>
          <w:marBottom w:val="0"/>
          <w:divBdr>
            <w:top w:val="none" w:sz="0" w:space="0" w:color="auto"/>
            <w:left w:val="none" w:sz="0" w:space="0" w:color="auto"/>
            <w:bottom w:val="none" w:sz="0" w:space="0" w:color="auto"/>
            <w:right w:val="none" w:sz="0" w:space="0" w:color="auto"/>
          </w:divBdr>
        </w:div>
        <w:div w:id="347603681">
          <w:marLeft w:val="0"/>
          <w:marRight w:val="0"/>
          <w:marTop w:val="0"/>
          <w:marBottom w:val="0"/>
          <w:divBdr>
            <w:top w:val="none" w:sz="0" w:space="0" w:color="auto"/>
            <w:left w:val="none" w:sz="0" w:space="0" w:color="auto"/>
            <w:bottom w:val="none" w:sz="0" w:space="0" w:color="auto"/>
            <w:right w:val="none" w:sz="0" w:space="0" w:color="auto"/>
          </w:divBdr>
        </w:div>
        <w:div w:id="618688183">
          <w:marLeft w:val="0"/>
          <w:marRight w:val="0"/>
          <w:marTop w:val="0"/>
          <w:marBottom w:val="0"/>
          <w:divBdr>
            <w:top w:val="none" w:sz="0" w:space="0" w:color="auto"/>
            <w:left w:val="none" w:sz="0" w:space="0" w:color="auto"/>
            <w:bottom w:val="none" w:sz="0" w:space="0" w:color="auto"/>
            <w:right w:val="none" w:sz="0" w:space="0" w:color="auto"/>
          </w:divBdr>
        </w:div>
        <w:div w:id="625477513">
          <w:marLeft w:val="0"/>
          <w:marRight w:val="0"/>
          <w:marTop w:val="0"/>
          <w:marBottom w:val="0"/>
          <w:divBdr>
            <w:top w:val="none" w:sz="0" w:space="0" w:color="auto"/>
            <w:left w:val="none" w:sz="0" w:space="0" w:color="auto"/>
            <w:bottom w:val="none" w:sz="0" w:space="0" w:color="auto"/>
            <w:right w:val="none" w:sz="0" w:space="0" w:color="auto"/>
          </w:divBdr>
        </w:div>
        <w:div w:id="685257685">
          <w:marLeft w:val="0"/>
          <w:marRight w:val="0"/>
          <w:marTop w:val="0"/>
          <w:marBottom w:val="0"/>
          <w:divBdr>
            <w:top w:val="none" w:sz="0" w:space="0" w:color="auto"/>
            <w:left w:val="none" w:sz="0" w:space="0" w:color="auto"/>
            <w:bottom w:val="none" w:sz="0" w:space="0" w:color="auto"/>
            <w:right w:val="none" w:sz="0" w:space="0" w:color="auto"/>
          </w:divBdr>
        </w:div>
        <w:div w:id="758870230">
          <w:marLeft w:val="0"/>
          <w:marRight w:val="0"/>
          <w:marTop w:val="0"/>
          <w:marBottom w:val="0"/>
          <w:divBdr>
            <w:top w:val="none" w:sz="0" w:space="0" w:color="auto"/>
            <w:left w:val="none" w:sz="0" w:space="0" w:color="auto"/>
            <w:bottom w:val="none" w:sz="0" w:space="0" w:color="auto"/>
            <w:right w:val="none" w:sz="0" w:space="0" w:color="auto"/>
          </w:divBdr>
        </w:div>
        <w:div w:id="807625335">
          <w:marLeft w:val="0"/>
          <w:marRight w:val="0"/>
          <w:marTop w:val="0"/>
          <w:marBottom w:val="0"/>
          <w:divBdr>
            <w:top w:val="none" w:sz="0" w:space="0" w:color="auto"/>
            <w:left w:val="none" w:sz="0" w:space="0" w:color="auto"/>
            <w:bottom w:val="none" w:sz="0" w:space="0" w:color="auto"/>
            <w:right w:val="none" w:sz="0" w:space="0" w:color="auto"/>
          </w:divBdr>
        </w:div>
        <w:div w:id="877739234">
          <w:marLeft w:val="0"/>
          <w:marRight w:val="0"/>
          <w:marTop w:val="0"/>
          <w:marBottom w:val="0"/>
          <w:divBdr>
            <w:top w:val="none" w:sz="0" w:space="0" w:color="auto"/>
            <w:left w:val="none" w:sz="0" w:space="0" w:color="auto"/>
            <w:bottom w:val="none" w:sz="0" w:space="0" w:color="auto"/>
            <w:right w:val="none" w:sz="0" w:space="0" w:color="auto"/>
          </w:divBdr>
        </w:div>
        <w:div w:id="897477258">
          <w:marLeft w:val="0"/>
          <w:marRight w:val="0"/>
          <w:marTop w:val="0"/>
          <w:marBottom w:val="0"/>
          <w:divBdr>
            <w:top w:val="none" w:sz="0" w:space="0" w:color="auto"/>
            <w:left w:val="none" w:sz="0" w:space="0" w:color="auto"/>
            <w:bottom w:val="none" w:sz="0" w:space="0" w:color="auto"/>
            <w:right w:val="none" w:sz="0" w:space="0" w:color="auto"/>
          </w:divBdr>
        </w:div>
        <w:div w:id="906191442">
          <w:marLeft w:val="0"/>
          <w:marRight w:val="0"/>
          <w:marTop w:val="0"/>
          <w:marBottom w:val="0"/>
          <w:divBdr>
            <w:top w:val="none" w:sz="0" w:space="0" w:color="auto"/>
            <w:left w:val="none" w:sz="0" w:space="0" w:color="auto"/>
            <w:bottom w:val="none" w:sz="0" w:space="0" w:color="auto"/>
            <w:right w:val="none" w:sz="0" w:space="0" w:color="auto"/>
          </w:divBdr>
        </w:div>
        <w:div w:id="936788191">
          <w:marLeft w:val="0"/>
          <w:marRight w:val="0"/>
          <w:marTop w:val="0"/>
          <w:marBottom w:val="0"/>
          <w:divBdr>
            <w:top w:val="none" w:sz="0" w:space="0" w:color="auto"/>
            <w:left w:val="none" w:sz="0" w:space="0" w:color="auto"/>
            <w:bottom w:val="none" w:sz="0" w:space="0" w:color="auto"/>
            <w:right w:val="none" w:sz="0" w:space="0" w:color="auto"/>
          </w:divBdr>
        </w:div>
        <w:div w:id="972756387">
          <w:marLeft w:val="0"/>
          <w:marRight w:val="0"/>
          <w:marTop w:val="0"/>
          <w:marBottom w:val="0"/>
          <w:divBdr>
            <w:top w:val="none" w:sz="0" w:space="0" w:color="auto"/>
            <w:left w:val="none" w:sz="0" w:space="0" w:color="auto"/>
            <w:bottom w:val="none" w:sz="0" w:space="0" w:color="auto"/>
            <w:right w:val="none" w:sz="0" w:space="0" w:color="auto"/>
          </w:divBdr>
        </w:div>
        <w:div w:id="1021202870">
          <w:marLeft w:val="0"/>
          <w:marRight w:val="0"/>
          <w:marTop w:val="0"/>
          <w:marBottom w:val="0"/>
          <w:divBdr>
            <w:top w:val="none" w:sz="0" w:space="0" w:color="auto"/>
            <w:left w:val="none" w:sz="0" w:space="0" w:color="auto"/>
            <w:bottom w:val="none" w:sz="0" w:space="0" w:color="auto"/>
            <w:right w:val="none" w:sz="0" w:space="0" w:color="auto"/>
          </w:divBdr>
        </w:div>
        <w:div w:id="1028602571">
          <w:marLeft w:val="0"/>
          <w:marRight w:val="0"/>
          <w:marTop w:val="0"/>
          <w:marBottom w:val="0"/>
          <w:divBdr>
            <w:top w:val="none" w:sz="0" w:space="0" w:color="auto"/>
            <w:left w:val="none" w:sz="0" w:space="0" w:color="auto"/>
            <w:bottom w:val="none" w:sz="0" w:space="0" w:color="auto"/>
            <w:right w:val="none" w:sz="0" w:space="0" w:color="auto"/>
          </w:divBdr>
        </w:div>
        <w:div w:id="1038630228">
          <w:marLeft w:val="0"/>
          <w:marRight w:val="0"/>
          <w:marTop w:val="0"/>
          <w:marBottom w:val="0"/>
          <w:divBdr>
            <w:top w:val="none" w:sz="0" w:space="0" w:color="auto"/>
            <w:left w:val="none" w:sz="0" w:space="0" w:color="auto"/>
            <w:bottom w:val="none" w:sz="0" w:space="0" w:color="auto"/>
            <w:right w:val="none" w:sz="0" w:space="0" w:color="auto"/>
          </w:divBdr>
        </w:div>
        <w:div w:id="1080323619">
          <w:marLeft w:val="0"/>
          <w:marRight w:val="0"/>
          <w:marTop w:val="0"/>
          <w:marBottom w:val="0"/>
          <w:divBdr>
            <w:top w:val="none" w:sz="0" w:space="0" w:color="auto"/>
            <w:left w:val="none" w:sz="0" w:space="0" w:color="auto"/>
            <w:bottom w:val="none" w:sz="0" w:space="0" w:color="auto"/>
            <w:right w:val="none" w:sz="0" w:space="0" w:color="auto"/>
          </w:divBdr>
        </w:div>
        <w:div w:id="1116414369">
          <w:marLeft w:val="0"/>
          <w:marRight w:val="0"/>
          <w:marTop w:val="0"/>
          <w:marBottom w:val="0"/>
          <w:divBdr>
            <w:top w:val="none" w:sz="0" w:space="0" w:color="auto"/>
            <w:left w:val="none" w:sz="0" w:space="0" w:color="auto"/>
            <w:bottom w:val="none" w:sz="0" w:space="0" w:color="auto"/>
            <w:right w:val="none" w:sz="0" w:space="0" w:color="auto"/>
          </w:divBdr>
        </w:div>
        <w:div w:id="1143736362">
          <w:marLeft w:val="0"/>
          <w:marRight w:val="0"/>
          <w:marTop w:val="0"/>
          <w:marBottom w:val="0"/>
          <w:divBdr>
            <w:top w:val="none" w:sz="0" w:space="0" w:color="auto"/>
            <w:left w:val="none" w:sz="0" w:space="0" w:color="auto"/>
            <w:bottom w:val="none" w:sz="0" w:space="0" w:color="auto"/>
            <w:right w:val="none" w:sz="0" w:space="0" w:color="auto"/>
          </w:divBdr>
        </w:div>
        <w:div w:id="1144469095">
          <w:marLeft w:val="0"/>
          <w:marRight w:val="0"/>
          <w:marTop w:val="0"/>
          <w:marBottom w:val="0"/>
          <w:divBdr>
            <w:top w:val="none" w:sz="0" w:space="0" w:color="auto"/>
            <w:left w:val="none" w:sz="0" w:space="0" w:color="auto"/>
            <w:bottom w:val="none" w:sz="0" w:space="0" w:color="auto"/>
            <w:right w:val="none" w:sz="0" w:space="0" w:color="auto"/>
          </w:divBdr>
        </w:div>
        <w:div w:id="1260867530">
          <w:marLeft w:val="0"/>
          <w:marRight w:val="0"/>
          <w:marTop w:val="0"/>
          <w:marBottom w:val="0"/>
          <w:divBdr>
            <w:top w:val="none" w:sz="0" w:space="0" w:color="auto"/>
            <w:left w:val="none" w:sz="0" w:space="0" w:color="auto"/>
            <w:bottom w:val="none" w:sz="0" w:space="0" w:color="auto"/>
            <w:right w:val="none" w:sz="0" w:space="0" w:color="auto"/>
          </w:divBdr>
        </w:div>
        <w:div w:id="1272125664">
          <w:marLeft w:val="0"/>
          <w:marRight w:val="0"/>
          <w:marTop w:val="0"/>
          <w:marBottom w:val="0"/>
          <w:divBdr>
            <w:top w:val="none" w:sz="0" w:space="0" w:color="auto"/>
            <w:left w:val="none" w:sz="0" w:space="0" w:color="auto"/>
            <w:bottom w:val="none" w:sz="0" w:space="0" w:color="auto"/>
            <w:right w:val="none" w:sz="0" w:space="0" w:color="auto"/>
          </w:divBdr>
        </w:div>
        <w:div w:id="1308820779">
          <w:marLeft w:val="0"/>
          <w:marRight w:val="0"/>
          <w:marTop w:val="0"/>
          <w:marBottom w:val="0"/>
          <w:divBdr>
            <w:top w:val="none" w:sz="0" w:space="0" w:color="auto"/>
            <w:left w:val="none" w:sz="0" w:space="0" w:color="auto"/>
            <w:bottom w:val="none" w:sz="0" w:space="0" w:color="auto"/>
            <w:right w:val="none" w:sz="0" w:space="0" w:color="auto"/>
          </w:divBdr>
        </w:div>
        <w:div w:id="1373767578">
          <w:marLeft w:val="0"/>
          <w:marRight w:val="0"/>
          <w:marTop w:val="0"/>
          <w:marBottom w:val="0"/>
          <w:divBdr>
            <w:top w:val="none" w:sz="0" w:space="0" w:color="auto"/>
            <w:left w:val="none" w:sz="0" w:space="0" w:color="auto"/>
            <w:bottom w:val="none" w:sz="0" w:space="0" w:color="auto"/>
            <w:right w:val="none" w:sz="0" w:space="0" w:color="auto"/>
          </w:divBdr>
        </w:div>
        <w:div w:id="1417168688">
          <w:marLeft w:val="0"/>
          <w:marRight w:val="0"/>
          <w:marTop w:val="0"/>
          <w:marBottom w:val="0"/>
          <w:divBdr>
            <w:top w:val="none" w:sz="0" w:space="0" w:color="auto"/>
            <w:left w:val="none" w:sz="0" w:space="0" w:color="auto"/>
            <w:bottom w:val="none" w:sz="0" w:space="0" w:color="auto"/>
            <w:right w:val="none" w:sz="0" w:space="0" w:color="auto"/>
          </w:divBdr>
        </w:div>
        <w:div w:id="1465538545">
          <w:marLeft w:val="0"/>
          <w:marRight w:val="0"/>
          <w:marTop w:val="0"/>
          <w:marBottom w:val="0"/>
          <w:divBdr>
            <w:top w:val="none" w:sz="0" w:space="0" w:color="auto"/>
            <w:left w:val="none" w:sz="0" w:space="0" w:color="auto"/>
            <w:bottom w:val="none" w:sz="0" w:space="0" w:color="auto"/>
            <w:right w:val="none" w:sz="0" w:space="0" w:color="auto"/>
          </w:divBdr>
        </w:div>
        <w:div w:id="1494294963">
          <w:marLeft w:val="0"/>
          <w:marRight w:val="0"/>
          <w:marTop w:val="0"/>
          <w:marBottom w:val="0"/>
          <w:divBdr>
            <w:top w:val="none" w:sz="0" w:space="0" w:color="auto"/>
            <w:left w:val="none" w:sz="0" w:space="0" w:color="auto"/>
            <w:bottom w:val="none" w:sz="0" w:space="0" w:color="auto"/>
            <w:right w:val="none" w:sz="0" w:space="0" w:color="auto"/>
          </w:divBdr>
        </w:div>
        <w:div w:id="1570529633">
          <w:marLeft w:val="0"/>
          <w:marRight w:val="0"/>
          <w:marTop w:val="0"/>
          <w:marBottom w:val="0"/>
          <w:divBdr>
            <w:top w:val="none" w:sz="0" w:space="0" w:color="auto"/>
            <w:left w:val="none" w:sz="0" w:space="0" w:color="auto"/>
            <w:bottom w:val="none" w:sz="0" w:space="0" w:color="auto"/>
            <w:right w:val="none" w:sz="0" w:space="0" w:color="auto"/>
          </w:divBdr>
        </w:div>
        <w:div w:id="1571964308">
          <w:marLeft w:val="0"/>
          <w:marRight w:val="0"/>
          <w:marTop w:val="0"/>
          <w:marBottom w:val="0"/>
          <w:divBdr>
            <w:top w:val="none" w:sz="0" w:space="0" w:color="auto"/>
            <w:left w:val="none" w:sz="0" w:space="0" w:color="auto"/>
            <w:bottom w:val="none" w:sz="0" w:space="0" w:color="auto"/>
            <w:right w:val="none" w:sz="0" w:space="0" w:color="auto"/>
          </w:divBdr>
        </w:div>
        <w:div w:id="1609238021">
          <w:marLeft w:val="0"/>
          <w:marRight w:val="0"/>
          <w:marTop w:val="0"/>
          <w:marBottom w:val="0"/>
          <w:divBdr>
            <w:top w:val="none" w:sz="0" w:space="0" w:color="auto"/>
            <w:left w:val="none" w:sz="0" w:space="0" w:color="auto"/>
            <w:bottom w:val="none" w:sz="0" w:space="0" w:color="auto"/>
            <w:right w:val="none" w:sz="0" w:space="0" w:color="auto"/>
          </w:divBdr>
        </w:div>
        <w:div w:id="1618020312">
          <w:marLeft w:val="0"/>
          <w:marRight w:val="0"/>
          <w:marTop w:val="0"/>
          <w:marBottom w:val="0"/>
          <w:divBdr>
            <w:top w:val="none" w:sz="0" w:space="0" w:color="auto"/>
            <w:left w:val="none" w:sz="0" w:space="0" w:color="auto"/>
            <w:bottom w:val="none" w:sz="0" w:space="0" w:color="auto"/>
            <w:right w:val="none" w:sz="0" w:space="0" w:color="auto"/>
          </w:divBdr>
        </w:div>
        <w:div w:id="1649549644">
          <w:marLeft w:val="0"/>
          <w:marRight w:val="0"/>
          <w:marTop w:val="0"/>
          <w:marBottom w:val="0"/>
          <w:divBdr>
            <w:top w:val="none" w:sz="0" w:space="0" w:color="auto"/>
            <w:left w:val="none" w:sz="0" w:space="0" w:color="auto"/>
            <w:bottom w:val="none" w:sz="0" w:space="0" w:color="auto"/>
            <w:right w:val="none" w:sz="0" w:space="0" w:color="auto"/>
          </w:divBdr>
        </w:div>
        <w:div w:id="1688094053">
          <w:marLeft w:val="0"/>
          <w:marRight w:val="0"/>
          <w:marTop w:val="0"/>
          <w:marBottom w:val="0"/>
          <w:divBdr>
            <w:top w:val="none" w:sz="0" w:space="0" w:color="auto"/>
            <w:left w:val="none" w:sz="0" w:space="0" w:color="auto"/>
            <w:bottom w:val="none" w:sz="0" w:space="0" w:color="auto"/>
            <w:right w:val="none" w:sz="0" w:space="0" w:color="auto"/>
          </w:divBdr>
        </w:div>
        <w:div w:id="1688940168">
          <w:marLeft w:val="0"/>
          <w:marRight w:val="0"/>
          <w:marTop w:val="0"/>
          <w:marBottom w:val="0"/>
          <w:divBdr>
            <w:top w:val="none" w:sz="0" w:space="0" w:color="auto"/>
            <w:left w:val="none" w:sz="0" w:space="0" w:color="auto"/>
            <w:bottom w:val="none" w:sz="0" w:space="0" w:color="auto"/>
            <w:right w:val="none" w:sz="0" w:space="0" w:color="auto"/>
          </w:divBdr>
        </w:div>
        <w:div w:id="1688949202">
          <w:marLeft w:val="0"/>
          <w:marRight w:val="0"/>
          <w:marTop w:val="0"/>
          <w:marBottom w:val="0"/>
          <w:divBdr>
            <w:top w:val="none" w:sz="0" w:space="0" w:color="auto"/>
            <w:left w:val="none" w:sz="0" w:space="0" w:color="auto"/>
            <w:bottom w:val="none" w:sz="0" w:space="0" w:color="auto"/>
            <w:right w:val="none" w:sz="0" w:space="0" w:color="auto"/>
          </w:divBdr>
        </w:div>
        <w:div w:id="1734542179">
          <w:marLeft w:val="0"/>
          <w:marRight w:val="0"/>
          <w:marTop w:val="0"/>
          <w:marBottom w:val="0"/>
          <w:divBdr>
            <w:top w:val="none" w:sz="0" w:space="0" w:color="auto"/>
            <w:left w:val="none" w:sz="0" w:space="0" w:color="auto"/>
            <w:bottom w:val="none" w:sz="0" w:space="0" w:color="auto"/>
            <w:right w:val="none" w:sz="0" w:space="0" w:color="auto"/>
          </w:divBdr>
        </w:div>
        <w:div w:id="1760786064">
          <w:marLeft w:val="0"/>
          <w:marRight w:val="0"/>
          <w:marTop w:val="0"/>
          <w:marBottom w:val="0"/>
          <w:divBdr>
            <w:top w:val="none" w:sz="0" w:space="0" w:color="auto"/>
            <w:left w:val="none" w:sz="0" w:space="0" w:color="auto"/>
            <w:bottom w:val="none" w:sz="0" w:space="0" w:color="auto"/>
            <w:right w:val="none" w:sz="0" w:space="0" w:color="auto"/>
          </w:divBdr>
        </w:div>
        <w:div w:id="1780831866">
          <w:marLeft w:val="0"/>
          <w:marRight w:val="0"/>
          <w:marTop w:val="0"/>
          <w:marBottom w:val="0"/>
          <w:divBdr>
            <w:top w:val="none" w:sz="0" w:space="0" w:color="auto"/>
            <w:left w:val="none" w:sz="0" w:space="0" w:color="auto"/>
            <w:bottom w:val="none" w:sz="0" w:space="0" w:color="auto"/>
            <w:right w:val="none" w:sz="0" w:space="0" w:color="auto"/>
          </w:divBdr>
        </w:div>
        <w:div w:id="1801073848">
          <w:marLeft w:val="0"/>
          <w:marRight w:val="0"/>
          <w:marTop w:val="0"/>
          <w:marBottom w:val="0"/>
          <w:divBdr>
            <w:top w:val="none" w:sz="0" w:space="0" w:color="auto"/>
            <w:left w:val="none" w:sz="0" w:space="0" w:color="auto"/>
            <w:bottom w:val="none" w:sz="0" w:space="0" w:color="auto"/>
            <w:right w:val="none" w:sz="0" w:space="0" w:color="auto"/>
          </w:divBdr>
        </w:div>
        <w:div w:id="1874726358">
          <w:marLeft w:val="0"/>
          <w:marRight w:val="0"/>
          <w:marTop w:val="0"/>
          <w:marBottom w:val="0"/>
          <w:divBdr>
            <w:top w:val="none" w:sz="0" w:space="0" w:color="auto"/>
            <w:left w:val="none" w:sz="0" w:space="0" w:color="auto"/>
            <w:bottom w:val="none" w:sz="0" w:space="0" w:color="auto"/>
            <w:right w:val="none" w:sz="0" w:space="0" w:color="auto"/>
          </w:divBdr>
        </w:div>
        <w:div w:id="1912353277">
          <w:marLeft w:val="0"/>
          <w:marRight w:val="0"/>
          <w:marTop w:val="0"/>
          <w:marBottom w:val="0"/>
          <w:divBdr>
            <w:top w:val="none" w:sz="0" w:space="0" w:color="auto"/>
            <w:left w:val="none" w:sz="0" w:space="0" w:color="auto"/>
            <w:bottom w:val="none" w:sz="0" w:space="0" w:color="auto"/>
            <w:right w:val="none" w:sz="0" w:space="0" w:color="auto"/>
          </w:divBdr>
        </w:div>
        <w:div w:id="1917013069">
          <w:marLeft w:val="0"/>
          <w:marRight w:val="0"/>
          <w:marTop w:val="0"/>
          <w:marBottom w:val="0"/>
          <w:divBdr>
            <w:top w:val="none" w:sz="0" w:space="0" w:color="auto"/>
            <w:left w:val="none" w:sz="0" w:space="0" w:color="auto"/>
            <w:bottom w:val="none" w:sz="0" w:space="0" w:color="auto"/>
            <w:right w:val="none" w:sz="0" w:space="0" w:color="auto"/>
          </w:divBdr>
        </w:div>
        <w:div w:id="1960649530">
          <w:marLeft w:val="0"/>
          <w:marRight w:val="0"/>
          <w:marTop w:val="0"/>
          <w:marBottom w:val="0"/>
          <w:divBdr>
            <w:top w:val="none" w:sz="0" w:space="0" w:color="auto"/>
            <w:left w:val="none" w:sz="0" w:space="0" w:color="auto"/>
            <w:bottom w:val="none" w:sz="0" w:space="0" w:color="auto"/>
            <w:right w:val="none" w:sz="0" w:space="0" w:color="auto"/>
          </w:divBdr>
        </w:div>
        <w:div w:id="2037153565">
          <w:marLeft w:val="0"/>
          <w:marRight w:val="0"/>
          <w:marTop w:val="0"/>
          <w:marBottom w:val="0"/>
          <w:divBdr>
            <w:top w:val="none" w:sz="0" w:space="0" w:color="auto"/>
            <w:left w:val="none" w:sz="0" w:space="0" w:color="auto"/>
            <w:bottom w:val="none" w:sz="0" w:space="0" w:color="auto"/>
            <w:right w:val="none" w:sz="0" w:space="0" w:color="auto"/>
          </w:divBdr>
        </w:div>
        <w:div w:id="2094351712">
          <w:marLeft w:val="0"/>
          <w:marRight w:val="0"/>
          <w:marTop w:val="0"/>
          <w:marBottom w:val="0"/>
          <w:divBdr>
            <w:top w:val="none" w:sz="0" w:space="0" w:color="auto"/>
            <w:left w:val="none" w:sz="0" w:space="0" w:color="auto"/>
            <w:bottom w:val="none" w:sz="0" w:space="0" w:color="auto"/>
            <w:right w:val="none" w:sz="0" w:space="0" w:color="auto"/>
          </w:divBdr>
        </w:div>
      </w:divsChild>
    </w:div>
    <w:div w:id="1227254439">
      <w:bodyDiv w:val="1"/>
      <w:marLeft w:val="0"/>
      <w:marRight w:val="0"/>
      <w:marTop w:val="0"/>
      <w:marBottom w:val="0"/>
      <w:divBdr>
        <w:top w:val="none" w:sz="0" w:space="0" w:color="auto"/>
        <w:left w:val="none" w:sz="0" w:space="0" w:color="auto"/>
        <w:bottom w:val="none" w:sz="0" w:space="0" w:color="auto"/>
        <w:right w:val="none" w:sz="0" w:space="0" w:color="auto"/>
      </w:divBdr>
    </w:div>
    <w:div w:id="1230581047">
      <w:bodyDiv w:val="1"/>
      <w:marLeft w:val="0"/>
      <w:marRight w:val="0"/>
      <w:marTop w:val="0"/>
      <w:marBottom w:val="0"/>
      <w:divBdr>
        <w:top w:val="none" w:sz="0" w:space="0" w:color="auto"/>
        <w:left w:val="none" w:sz="0" w:space="0" w:color="auto"/>
        <w:bottom w:val="none" w:sz="0" w:space="0" w:color="auto"/>
        <w:right w:val="none" w:sz="0" w:space="0" w:color="auto"/>
      </w:divBdr>
    </w:div>
    <w:div w:id="1231303729">
      <w:bodyDiv w:val="1"/>
      <w:marLeft w:val="0"/>
      <w:marRight w:val="0"/>
      <w:marTop w:val="0"/>
      <w:marBottom w:val="0"/>
      <w:divBdr>
        <w:top w:val="none" w:sz="0" w:space="0" w:color="auto"/>
        <w:left w:val="none" w:sz="0" w:space="0" w:color="auto"/>
        <w:bottom w:val="none" w:sz="0" w:space="0" w:color="auto"/>
        <w:right w:val="none" w:sz="0" w:space="0" w:color="auto"/>
      </w:divBdr>
    </w:div>
    <w:div w:id="1238785016">
      <w:bodyDiv w:val="1"/>
      <w:marLeft w:val="0"/>
      <w:marRight w:val="0"/>
      <w:marTop w:val="0"/>
      <w:marBottom w:val="0"/>
      <w:divBdr>
        <w:top w:val="none" w:sz="0" w:space="0" w:color="auto"/>
        <w:left w:val="none" w:sz="0" w:space="0" w:color="auto"/>
        <w:bottom w:val="none" w:sz="0" w:space="0" w:color="auto"/>
        <w:right w:val="none" w:sz="0" w:space="0" w:color="auto"/>
      </w:divBdr>
    </w:div>
    <w:div w:id="1240486261">
      <w:bodyDiv w:val="1"/>
      <w:marLeft w:val="0"/>
      <w:marRight w:val="0"/>
      <w:marTop w:val="0"/>
      <w:marBottom w:val="0"/>
      <w:divBdr>
        <w:top w:val="none" w:sz="0" w:space="0" w:color="auto"/>
        <w:left w:val="none" w:sz="0" w:space="0" w:color="auto"/>
        <w:bottom w:val="none" w:sz="0" w:space="0" w:color="auto"/>
        <w:right w:val="none" w:sz="0" w:space="0" w:color="auto"/>
      </w:divBdr>
    </w:div>
    <w:div w:id="1244879305">
      <w:bodyDiv w:val="1"/>
      <w:marLeft w:val="0"/>
      <w:marRight w:val="0"/>
      <w:marTop w:val="0"/>
      <w:marBottom w:val="0"/>
      <w:divBdr>
        <w:top w:val="none" w:sz="0" w:space="0" w:color="auto"/>
        <w:left w:val="none" w:sz="0" w:space="0" w:color="auto"/>
        <w:bottom w:val="none" w:sz="0" w:space="0" w:color="auto"/>
        <w:right w:val="none" w:sz="0" w:space="0" w:color="auto"/>
      </w:divBdr>
    </w:div>
    <w:div w:id="1254321651">
      <w:bodyDiv w:val="1"/>
      <w:marLeft w:val="0"/>
      <w:marRight w:val="0"/>
      <w:marTop w:val="0"/>
      <w:marBottom w:val="0"/>
      <w:divBdr>
        <w:top w:val="none" w:sz="0" w:space="0" w:color="auto"/>
        <w:left w:val="none" w:sz="0" w:space="0" w:color="auto"/>
        <w:bottom w:val="none" w:sz="0" w:space="0" w:color="auto"/>
        <w:right w:val="none" w:sz="0" w:space="0" w:color="auto"/>
      </w:divBdr>
    </w:div>
    <w:div w:id="1258519544">
      <w:bodyDiv w:val="1"/>
      <w:marLeft w:val="0"/>
      <w:marRight w:val="0"/>
      <w:marTop w:val="0"/>
      <w:marBottom w:val="0"/>
      <w:divBdr>
        <w:top w:val="none" w:sz="0" w:space="0" w:color="auto"/>
        <w:left w:val="none" w:sz="0" w:space="0" w:color="auto"/>
        <w:bottom w:val="none" w:sz="0" w:space="0" w:color="auto"/>
        <w:right w:val="none" w:sz="0" w:space="0" w:color="auto"/>
      </w:divBdr>
    </w:div>
    <w:div w:id="1263104533">
      <w:bodyDiv w:val="1"/>
      <w:marLeft w:val="0"/>
      <w:marRight w:val="0"/>
      <w:marTop w:val="0"/>
      <w:marBottom w:val="0"/>
      <w:divBdr>
        <w:top w:val="none" w:sz="0" w:space="0" w:color="auto"/>
        <w:left w:val="none" w:sz="0" w:space="0" w:color="auto"/>
        <w:bottom w:val="none" w:sz="0" w:space="0" w:color="auto"/>
        <w:right w:val="none" w:sz="0" w:space="0" w:color="auto"/>
      </w:divBdr>
    </w:div>
    <w:div w:id="1271863912">
      <w:bodyDiv w:val="1"/>
      <w:marLeft w:val="0"/>
      <w:marRight w:val="0"/>
      <w:marTop w:val="0"/>
      <w:marBottom w:val="0"/>
      <w:divBdr>
        <w:top w:val="none" w:sz="0" w:space="0" w:color="auto"/>
        <w:left w:val="none" w:sz="0" w:space="0" w:color="auto"/>
        <w:bottom w:val="none" w:sz="0" w:space="0" w:color="auto"/>
        <w:right w:val="none" w:sz="0" w:space="0" w:color="auto"/>
      </w:divBdr>
    </w:div>
    <w:div w:id="1280839206">
      <w:bodyDiv w:val="1"/>
      <w:marLeft w:val="0"/>
      <w:marRight w:val="0"/>
      <w:marTop w:val="0"/>
      <w:marBottom w:val="0"/>
      <w:divBdr>
        <w:top w:val="none" w:sz="0" w:space="0" w:color="auto"/>
        <w:left w:val="none" w:sz="0" w:space="0" w:color="auto"/>
        <w:bottom w:val="none" w:sz="0" w:space="0" w:color="auto"/>
        <w:right w:val="none" w:sz="0" w:space="0" w:color="auto"/>
      </w:divBdr>
    </w:div>
    <w:div w:id="1310742437">
      <w:bodyDiv w:val="1"/>
      <w:marLeft w:val="0"/>
      <w:marRight w:val="0"/>
      <w:marTop w:val="0"/>
      <w:marBottom w:val="0"/>
      <w:divBdr>
        <w:top w:val="none" w:sz="0" w:space="0" w:color="auto"/>
        <w:left w:val="none" w:sz="0" w:space="0" w:color="auto"/>
        <w:bottom w:val="none" w:sz="0" w:space="0" w:color="auto"/>
        <w:right w:val="none" w:sz="0" w:space="0" w:color="auto"/>
      </w:divBdr>
    </w:div>
    <w:div w:id="1344279788">
      <w:bodyDiv w:val="1"/>
      <w:marLeft w:val="0"/>
      <w:marRight w:val="0"/>
      <w:marTop w:val="0"/>
      <w:marBottom w:val="0"/>
      <w:divBdr>
        <w:top w:val="none" w:sz="0" w:space="0" w:color="auto"/>
        <w:left w:val="none" w:sz="0" w:space="0" w:color="auto"/>
        <w:bottom w:val="none" w:sz="0" w:space="0" w:color="auto"/>
        <w:right w:val="none" w:sz="0" w:space="0" w:color="auto"/>
      </w:divBdr>
    </w:div>
    <w:div w:id="1348943359">
      <w:bodyDiv w:val="1"/>
      <w:marLeft w:val="0"/>
      <w:marRight w:val="0"/>
      <w:marTop w:val="0"/>
      <w:marBottom w:val="0"/>
      <w:divBdr>
        <w:top w:val="none" w:sz="0" w:space="0" w:color="auto"/>
        <w:left w:val="none" w:sz="0" w:space="0" w:color="auto"/>
        <w:bottom w:val="none" w:sz="0" w:space="0" w:color="auto"/>
        <w:right w:val="none" w:sz="0" w:space="0" w:color="auto"/>
      </w:divBdr>
    </w:div>
    <w:div w:id="1351446560">
      <w:bodyDiv w:val="1"/>
      <w:marLeft w:val="0"/>
      <w:marRight w:val="0"/>
      <w:marTop w:val="0"/>
      <w:marBottom w:val="0"/>
      <w:divBdr>
        <w:top w:val="none" w:sz="0" w:space="0" w:color="auto"/>
        <w:left w:val="none" w:sz="0" w:space="0" w:color="auto"/>
        <w:bottom w:val="none" w:sz="0" w:space="0" w:color="auto"/>
        <w:right w:val="none" w:sz="0" w:space="0" w:color="auto"/>
      </w:divBdr>
    </w:div>
    <w:div w:id="1356343422">
      <w:bodyDiv w:val="1"/>
      <w:marLeft w:val="0"/>
      <w:marRight w:val="0"/>
      <w:marTop w:val="0"/>
      <w:marBottom w:val="0"/>
      <w:divBdr>
        <w:top w:val="none" w:sz="0" w:space="0" w:color="auto"/>
        <w:left w:val="none" w:sz="0" w:space="0" w:color="auto"/>
        <w:bottom w:val="none" w:sz="0" w:space="0" w:color="auto"/>
        <w:right w:val="none" w:sz="0" w:space="0" w:color="auto"/>
      </w:divBdr>
      <w:divsChild>
        <w:div w:id="882208211">
          <w:marLeft w:val="0"/>
          <w:marRight w:val="0"/>
          <w:marTop w:val="0"/>
          <w:marBottom w:val="0"/>
          <w:divBdr>
            <w:top w:val="none" w:sz="0" w:space="0" w:color="auto"/>
            <w:left w:val="none" w:sz="0" w:space="0" w:color="auto"/>
            <w:bottom w:val="none" w:sz="0" w:space="0" w:color="auto"/>
            <w:right w:val="none" w:sz="0" w:space="0" w:color="auto"/>
          </w:divBdr>
        </w:div>
      </w:divsChild>
    </w:div>
    <w:div w:id="1371032355">
      <w:bodyDiv w:val="1"/>
      <w:marLeft w:val="0"/>
      <w:marRight w:val="0"/>
      <w:marTop w:val="0"/>
      <w:marBottom w:val="0"/>
      <w:divBdr>
        <w:top w:val="none" w:sz="0" w:space="0" w:color="auto"/>
        <w:left w:val="none" w:sz="0" w:space="0" w:color="auto"/>
        <w:bottom w:val="none" w:sz="0" w:space="0" w:color="auto"/>
        <w:right w:val="none" w:sz="0" w:space="0" w:color="auto"/>
      </w:divBdr>
    </w:div>
    <w:div w:id="1374690975">
      <w:bodyDiv w:val="1"/>
      <w:marLeft w:val="0"/>
      <w:marRight w:val="0"/>
      <w:marTop w:val="0"/>
      <w:marBottom w:val="0"/>
      <w:divBdr>
        <w:top w:val="none" w:sz="0" w:space="0" w:color="auto"/>
        <w:left w:val="none" w:sz="0" w:space="0" w:color="auto"/>
        <w:bottom w:val="none" w:sz="0" w:space="0" w:color="auto"/>
        <w:right w:val="none" w:sz="0" w:space="0" w:color="auto"/>
      </w:divBdr>
    </w:div>
    <w:div w:id="1399551391">
      <w:bodyDiv w:val="1"/>
      <w:marLeft w:val="0"/>
      <w:marRight w:val="0"/>
      <w:marTop w:val="0"/>
      <w:marBottom w:val="0"/>
      <w:divBdr>
        <w:top w:val="none" w:sz="0" w:space="0" w:color="auto"/>
        <w:left w:val="none" w:sz="0" w:space="0" w:color="auto"/>
        <w:bottom w:val="none" w:sz="0" w:space="0" w:color="auto"/>
        <w:right w:val="none" w:sz="0" w:space="0" w:color="auto"/>
      </w:divBdr>
    </w:div>
    <w:div w:id="1402024694">
      <w:bodyDiv w:val="1"/>
      <w:marLeft w:val="0"/>
      <w:marRight w:val="0"/>
      <w:marTop w:val="0"/>
      <w:marBottom w:val="0"/>
      <w:divBdr>
        <w:top w:val="none" w:sz="0" w:space="0" w:color="auto"/>
        <w:left w:val="none" w:sz="0" w:space="0" w:color="auto"/>
        <w:bottom w:val="none" w:sz="0" w:space="0" w:color="auto"/>
        <w:right w:val="none" w:sz="0" w:space="0" w:color="auto"/>
      </w:divBdr>
    </w:div>
    <w:div w:id="1405758969">
      <w:bodyDiv w:val="1"/>
      <w:marLeft w:val="0"/>
      <w:marRight w:val="0"/>
      <w:marTop w:val="0"/>
      <w:marBottom w:val="0"/>
      <w:divBdr>
        <w:top w:val="none" w:sz="0" w:space="0" w:color="auto"/>
        <w:left w:val="none" w:sz="0" w:space="0" w:color="auto"/>
        <w:bottom w:val="none" w:sz="0" w:space="0" w:color="auto"/>
        <w:right w:val="none" w:sz="0" w:space="0" w:color="auto"/>
      </w:divBdr>
    </w:div>
    <w:div w:id="1406804908">
      <w:bodyDiv w:val="1"/>
      <w:marLeft w:val="0"/>
      <w:marRight w:val="0"/>
      <w:marTop w:val="0"/>
      <w:marBottom w:val="0"/>
      <w:divBdr>
        <w:top w:val="none" w:sz="0" w:space="0" w:color="auto"/>
        <w:left w:val="none" w:sz="0" w:space="0" w:color="auto"/>
        <w:bottom w:val="none" w:sz="0" w:space="0" w:color="auto"/>
        <w:right w:val="none" w:sz="0" w:space="0" w:color="auto"/>
      </w:divBdr>
    </w:div>
    <w:div w:id="1414427152">
      <w:bodyDiv w:val="1"/>
      <w:marLeft w:val="0"/>
      <w:marRight w:val="0"/>
      <w:marTop w:val="0"/>
      <w:marBottom w:val="0"/>
      <w:divBdr>
        <w:top w:val="none" w:sz="0" w:space="0" w:color="auto"/>
        <w:left w:val="none" w:sz="0" w:space="0" w:color="auto"/>
        <w:bottom w:val="none" w:sz="0" w:space="0" w:color="auto"/>
        <w:right w:val="none" w:sz="0" w:space="0" w:color="auto"/>
      </w:divBdr>
    </w:div>
    <w:div w:id="1434473308">
      <w:bodyDiv w:val="1"/>
      <w:marLeft w:val="0"/>
      <w:marRight w:val="0"/>
      <w:marTop w:val="0"/>
      <w:marBottom w:val="0"/>
      <w:divBdr>
        <w:top w:val="none" w:sz="0" w:space="0" w:color="auto"/>
        <w:left w:val="none" w:sz="0" w:space="0" w:color="auto"/>
        <w:bottom w:val="none" w:sz="0" w:space="0" w:color="auto"/>
        <w:right w:val="none" w:sz="0" w:space="0" w:color="auto"/>
      </w:divBdr>
    </w:div>
    <w:div w:id="1439983414">
      <w:bodyDiv w:val="1"/>
      <w:marLeft w:val="0"/>
      <w:marRight w:val="0"/>
      <w:marTop w:val="0"/>
      <w:marBottom w:val="0"/>
      <w:divBdr>
        <w:top w:val="none" w:sz="0" w:space="0" w:color="auto"/>
        <w:left w:val="none" w:sz="0" w:space="0" w:color="auto"/>
        <w:bottom w:val="none" w:sz="0" w:space="0" w:color="auto"/>
        <w:right w:val="none" w:sz="0" w:space="0" w:color="auto"/>
      </w:divBdr>
    </w:div>
    <w:div w:id="1465463744">
      <w:bodyDiv w:val="1"/>
      <w:marLeft w:val="0"/>
      <w:marRight w:val="0"/>
      <w:marTop w:val="0"/>
      <w:marBottom w:val="0"/>
      <w:divBdr>
        <w:top w:val="none" w:sz="0" w:space="0" w:color="auto"/>
        <w:left w:val="none" w:sz="0" w:space="0" w:color="auto"/>
        <w:bottom w:val="none" w:sz="0" w:space="0" w:color="auto"/>
        <w:right w:val="none" w:sz="0" w:space="0" w:color="auto"/>
      </w:divBdr>
    </w:div>
    <w:div w:id="1479803331">
      <w:bodyDiv w:val="1"/>
      <w:marLeft w:val="0"/>
      <w:marRight w:val="0"/>
      <w:marTop w:val="0"/>
      <w:marBottom w:val="0"/>
      <w:divBdr>
        <w:top w:val="none" w:sz="0" w:space="0" w:color="auto"/>
        <w:left w:val="none" w:sz="0" w:space="0" w:color="auto"/>
        <w:bottom w:val="none" w:sz="0" w:space="0" w:color="auto"/>
        <w:right w:val="none" w:sz="0" w:space="0" w:color="auto"/>
      </w:divBdr>
    </w:div>
    <w:div w:id="1480924982">
      <w:bodyDiv w:val="1"/>
      <w:marLeft w:val="0"/>
      <w:marRight w:val="0"/>
      <w:marTop w:val="0"/>
      <w:marBottom w:val="0"/>
      <w:divBdr>
        <w:top w:val="none" w:sz="0" w:space="0" w:color="auto"/>
        <w:left w:val="none" w:sz="0" w:space="0" w:color="auto"/>
        <w:bottom w:val="none" w:sz="0" w:space="0" w:color="auto"/>
        <w:right w:val="none" w:sz="0" w:space="0" w:color="auto"/>
      </w:divBdr>
    </w:div>
    <w:div w:id="1492411159">
      <w:bodyDiv w:val="1"/>
      <w:marLeft w:val="0"/>
      <w:marRight w:val="0"/>
      <w:marTop w:val="0"/>
      <w:marBottom w:val="0"/>
      <w:divBdr>
        <w:top w:val="none" w:sz="0" w:space="0" w:color="auto"/>
        <w:left w:val="none" w:sz="0" w:space="0" w:color="auto"/>
        <w:bottom w:val="none" w:sz="0" w:space="0" w:color="auto"/>
        <w:right w:val="none" w:sz="0" w:space="0" w:color="auto"/>
      </w:divBdr>
    </w:div>
    <w:div w:id="1503427585">
      <w:bodyDiv w:val="1"/>
      <w:marLeft w:val="0"/>
      <w:marRight w:val="0"/>
      <w:marTop w:val="0"/>
      <w:marBottom w:val="0"/>
      <w:divBdr>
        <w:top w:val="none" w:sz="0" w:space="0" w:color="auto"/>
        <w:left w:val="none" w:sz="0" w:space="0" w:color="auto"/>
        <w:bottom w:val="none" w:sz="0" w:space="0" w:color="auto"/>
        <w:right w:val="none" w:sz="0" w:space="0" w:color="auto"/>
      </w:divBdr>
    </w:div>
    <w:div w:id="1510218534">
      <w:bodyDiv w:val="1"/>
      <w:marLeft w:val="0"/>
      <w:marRight w:val="0"/>
      <w:marTop w:val="0"/>
      <w:marBottom w:val="0"/>
      <w:divBdr>
        <w:top w:val="none" w:sz="0" w:space="0" w:color="auto"/>
        <w:left w:val="none" w:sz="0" w:space="0" w:color="auto"/>
        <w:bottom w:val="none" w:sz="0" w:space="0" w:color="auto"/>
        <w:right w:val="none" w:sz="0" w:space="0" w:color="auto"/>
      </w:divBdr>
    </w:div>
    <w:div w:id="1510556535">
      <w:bodyDiv w:val="1"/>
      <w:marLeft w:val="0"/>
      <w:marRight w:val="0"/>
      <w:marTop w:val="0"/>
      <w:marBottom w:val="0"/>
      <w:divBdr>
        <w:top w:val="none" w:sz="0" w:space="0" w:color="auto"/>
        <w:left w:val="none" w:sz="0" w:space="0" w:color="auto"/>
        <w:bottom w:val="none" w:sz="0" w:space="0" w:color="auto"/>
        <w:right w:val="none" w:sz="0" w:space="0" w:color="auto"/>
      </w:divBdr>
    </w:div>
    <w:div w:id="1517499225">
      <w:bodyDiv w:val="1"/>
      <w:marLeft w:val="0"/>
      <w:marRight w:val="0"/>
      <w:marTop w:val="0"/>
      <w:marBottom w:val="0"/>
      <w:divBdr>
        <w:top w:val="none" w:sz="0" w:space="0" w:color="auto"/>
        <w:left w:val="none" w:sz="0" w:space="0" w:color="auto"/>
        <w:bottom w:val="none" w:sz="0" w:space="0" w:color="auto"/>
        <w:right w:val="none" w:sz="0" w:space="0" w:color="auto"/>
      </w:divBdr>
    </w:div>
    <w:div w:id="1540891668">
      <w:bodyDiv w:val="1"/>
      <w:marLeft w:val="0"/>
      <w:marRight w:val="0"/>
      <w:marTop w:val="0"/>
      <w:marBottom w:val="0"/>
      <w:divBdr>
        <w:top w:val="none" w:sz="0" w:space="0" w:color="auto"/>
        <w:left w:val="none" w:sz="0" w:space="0" w:color="auto"/>
        <w:bottom w:val="none" w:sz="0" w:space="0" w:color="auto"/>
        <w:right w:val="none" w:sz="0" w:space="0" w:color="auto"/>
      </w:divBdr>
    </w:div>
    <w:div w:id="1563255851">
      <w:bodyDiv w:val="1"/>
      <w:marLeft w:val="0"/>
      <w:marRight w:val="0"/>
      <w:marTop w:val="0"/>
      <w:marBottom w:val="0"/>
      <w:divBdr>
        <w:top w:val="none" w:sz="0" w:space="0" w:color="auto"/>
        <w:left w:val="none" w:sz="0" w:space="0" w:color="auto"/>
        <w:bottom w:val="none" w:sz="0" w:space="0" w:color="auto"/>
        <w:right w:val="none" w:sz="0" w:space="0" w:color="auto"/>
      </w:divBdr>
    </w:div>
    <w:div w:id="1578444965">
      <w:bodyDiv w:val="1"/>
      <w:marLeft w:val="0"/>
      <w:marRight w:val="0"/>
      <w:marTop w:val="0"/>
      <w:marBottom w:val="0"/>
      <w:divBdr>
        <w:top w:val="none" w:sz="0" w:space="0" w:color="auto"/>
        <w:left w:val="none" w:sz="0" w:space="0" w:color="auto"/>
        <w:bottom w:val="none" w:sz="0" w:space="0" w:color="auto"/>
        <w:right w:val="none" w:sz="0" w:space="0" w:color="auto"/>
      </w:divBdr>
    </w:div>
    <w:div w:id="1617711417">
      <w:bodyDiv w:val="1"/>
      <w:marLeft w:val="0"/>
      <w:marRight w:val="0"/>
      <w:marTop w:val="0"/>
      <w:marBottom w:val="0"/>
      <w:divBdr>
        <w:top w:val="none" w:sz="0" w:space="0" w:color="auto"/>
        <w:left w:val="none" w:sz="0" w:space="0" w:color="auto"/>
        <w:bottom w:val="none" w:sz="0" w:space="0" w:color="auto"/>
        <w:right w:val="none" w:sz="0" w:space="0" w:color="auto"/>
      </w:divBdr>
    </w:div>
    <w:div w:id="1617982278">
      <w:bodyDiv w:val="1"/>
      <w:marLeft w:val="0"/>
      <w:marRight w:val="0"/>
      <w:marTop w:val="0"/>
      <w:marBottom w:val="0"/>
      <w:divBdr>
        <w:top w:val="none" w:sz="0" w:space="0" w:color="auto"/>
        <w:left w:val="none" w:sz="0" w:space="0" w:color="auto"/>
        <w:bottom w:val="none" w:sz="0" w:space="0" w:color="auto"/>
        <w:right w:val="none" w:sz="0" w:space="0" w:color="auto"/>
      </w:divBdr>
    </w:div>
    <w:div w:id="1619990092">
      <w:bodyDiv w:val="1"/>
      <w:marLeft w:val="0"/>
      <w:marRight w:val="0"/>
      <w:marTop w:val="0"/>
      <w:marBottom w:val="0"/>
      <w:divBdr>
        <w:top w:val="none" w:sz="0" w:space="0" w:color="auto"/>
        <w:left w:val="none" w:sz="0" w:space="0" w:color="auto"/>
        <w:bottom w:val="none" w:sz="0" w:space="0" w:color="auto"/>
        <w:right w:val="none" w:sz="0" w:space="0" w:color="auto"/>
      </w:divBdr>
    </w:div>
    <w:div w:id="1646086626">
      <w:bodyDiv w:val="1"/>
      <w:marLeft w:val="0"/>
      <w:marRight w:val="0"/>
      <w:marTop w:val="0"/>
      <w:marBottom w:val="0"/>
      <w:divBdr>
        <w:top w:val="none" w:sz="0" w:space="0" w:color="auto"/>
        <w:left w:val="none" w:sz="0" w:space="0" w:color="auto"/>
        <w:bottom w:val="none" w:sz="0" w:space="0" w:color="auto"/>
        <w:right w:val="none" w:sz="0" w:space="0" w:color="auto"/>
      </w:divBdr>
    </w:div>
    <w:div w:id="1671517470">
      <w:bodyDiv w:val="1"/>
      <w:marLeft w:val="0"/>
      <w:marRight w:val="0"/>
      <w:marTop w:val="0"/>
      <w:marBottom w:val="0"/>
      <w:divBdr>
        <w:top w:val="none" w:sz="0" w:space="0" w:color="auto"/>
        <w:left w:val="none" w:sz="0" w:space="0" w:color="auto"/>
        <w:bottom w:val="none" w:sz="0" w:space="0" w:color="auto"/>
        <w:right w:val="none" w:sz="0" w:space="0" w:color="auto"/>
      </w:divBdr>
      <w:divsChild>
        <w:div w:id="543181198">
          <w:marLeft w:val="446"/>
          <w:marRight w:val="0"/>
          <w:marTop w:val="0"/>
          <w:marBottom w:val="120"/>
          <w:divBdr>
            <w:top w:val="none" w:sz="0" w:space="0" w:color="auto"/>
            <w:left w:val="none" w:sz="0" w:space="0" w:color="auto"/>
            <w:bottom w:val="none" w:sz="0" w:space="0" w:color="auto"/>
            <w:right w:val="none" w:sz="0" w:space="0" w:color="auto"/>
          </w:divBdr>
        </w:div>
        <w:div w:id="917786989">
          <w:marLeft w:val="446"/>
          <w:marRight w:val="0"/>
          <w:marTop w:val="0"/>
          <w:marBottom w:val="120"/>
          <w:divBdr>
            <w:top w:val="none" w:sz="0" w:space="0" w:color="auto"/>
            <w:left w:val="none" w:sz="0" w:space="0" w:color="auto"/>
            <w:bottom w:val="none" w:sz="0" w:space="0" w:color="auto"/>
            <w:right w:val="none" w:sz="0" w:space="0" w:color="auto"/>
          </w:divBdr>
        </w:div>
        <w:div w:id="1529491450">
          <w:marLeft w:val="446"/>
          <w:marRight w:val="0"/>
          <w:marTop w:val="0"/>
          <w:marBottom w:val="120"/>
          <w:divBdr>
            <w:top w:val="none" w:sz="0" w:space="0" w:color="auto"/>
            <w:left w:val="none" w:sz="0" w:space="0" w:color="auto"/>
            <w:bottom w:val="none" w:sz="0" w:space="0" w:color="auto"/>
            <w:right w:val="none" w:sz="0" w:space="0" w:color="auto"/>
          </w:divBdr>
        </w:div>
        <w:div w:id="1818380662">
          <w:marLeft w:val="446"/>
          <w:marRight w:val="0"/>
          <w:marTop w:val="0"/>
          <w:marBottom w:val="120"/>
          <w:divBdr>
            <w:top w:val="none" w:sz="0" w:space="0" w:color="auto"/>
            <w:left w:val="none" w:sz="0" w:space="0" w:color="auto"/>
            <w:bottom w:val="none" w:sz="0" w:space="0" w:color="auto"/>
            <w:right w:val="none" w:sz="0" w:space="0" w:color="auto"/>
          </w:divBdr>
        </w:div>
      </w:divsChild>
    </w:div>
    <w:div w:id="1693799848">
      <w:bodyDiv w:val="1"/>
      <w:marLeft w:val="0"/>
      <w:marRight w:val="0"/>
      <w:marTop w:val="0"/>
      <w:marBottom w:val="0"/>
      <w:divBdr>
        <w:top w:val="none" w:sz="0" w:space="0" w:color="auto"/>
        <w:left w:val="none" w:sz="0" w:space="0" w:color="auto"/>
        <w:bottom w:val="none" w:sz="0" w:space="0" w:color="auto"/>
        <w:right w:val="none" w:sz="0" w:space="0" w:color="auto"/>
      </w:divBdr>
    </w:div>
    <w:div w:id="1736973959">
      <w:bodyDiv w:val="1"/>
      <w:marLeft w:val="0"/>
      <w:marRight w:val="0"/>
      <w:marTop w:val="0"/>
      <w:marBottom w:val="0"/>
      <w:divBdr>
        <w:top w:val="none" w:sz="0" w:space="0" w:color="auto"/>
        <w:left w:val="none" w:sz="0" w:space="0" w:color="auto"/>
        <w:bottom w:val="none" w:sz="0" w:space="0" w:color="auto"/>
        <w:right w:val="none" w:sz="0" w:space="0" w:color="auto"/>
      </w:divBdr>
    </w:div>
    <w:div w:id="1752460561">
      <w:bodyDiv w:val="1"/>
      <w:marLeft w:val="0"/>
      <w:marRight w:val="0"/>
      <w:marTop w:val="0"/>
      <w:marBottom w:val="0"/>
      <w:divBdr>
        <w:top w:val="none" w:sz="0" w:space="0" w:color="auto"/>
        <w:left w:val="none" w:sz="0" w:space="0" w:color="auto"/>
        <w:bottom w:val="none" w:sz="0" w:space="0" w:color="auto"/>
        <w:right w:val="none" w:sz="0" w:space="0" w:color="auto"/>
      </w:divBdr>
    </w:div>
    <w:div w:id="1753627016">
      <w:bodyDiv w:val="1"/>
      <w:marLeft w:val="0"/>
      <w:marRight w:val="0"/>
      <w:marTop w:val="0"/>
      <w:marBottom w:val="0"/>
      <w:divBdr>
        <w:top w:val="none" w:sz="0" w:space="0" w:color="auto"/>
        <w:left w:val="none" w:sz="0" w:space="0" w:color="auto"/>
        <w:bottom w:val="none" w:sz="0" w:space="0" w:color="auto"/>
        <w:right w:val="none" w:sz="0" w:space="0" w:color="auto"/>
      </w:divBdr>
    </w:div>
    <w:div w:id="1758481248">
      <w:bodyDiv w:val="1"/>
      <w:marLeft w:val="0"/>
      <w:marRight w:val="0"/>
      <w:marTop w:val="0"/>
      <w:marBottom w:val="0"/>
      <w:divBdr>
        <w:top w:val="none" w:sz="0" w:space="0" w:color="auto"/>
        <w:left w:val="none" w:sz="0" w:space="0" w:color="auto"/>
        <w:bottom w:val="none" w:sz="0" w:space="0" w:color="auto"/>
        <w:right w:val="none" w:sz="0" w:space="0" w:color="auto"/>
      </w:divBdr>
    </w:div>
    <w:div w:id="1774548616">
      <w:bodyDiv w:val="1"/>
      <w:marLeft w:val="0"/>
      <w:marRight w:val="0"/>
      <w:marTop w:val="0"/>
      <w:marBottom w:val="0"/>
      <w:divBdr>
        <w:top w:val="none" w:sz="0" w:space="0" w:color="auto"/>
        <w:left w:val="none" w:sz="0" w:space="0" w:color="auto"/>
        <w:bottom w:val="none" w:sz="0" w:space="0" w:color="auto"/>
        <w:right w:val="none" w:sz="0" w:space="0" w:color="auto"/>
      </w:divBdr>
    </w:div>
    <w:div w:id="1777672471">
      <w:bodyDiv w:val="1"/>
      <w:marLeft w:val="0"/>
      <w:marRight w:val="0"/>
      <w:marTop w:val="0"/>
      <w:marBottom w:val="0"/>
      <w:divBdr>
        <w:top w:val="none" w:sz="0" w:space="0" w:color="auto"/>
        <w:left w:val="none" w:sz="0" w:space="0" w:color="auto"/>
        <w:bottom w:val="none" w:sz="0" w:space="0" w:color="auto"/>
        <w:right w:val="none" w:sz="0" w:space="0" w:color="auto"/>
      </w:divBdr>
    </w:div>
    <w:div w:id="1782534188">
      <w:bodyDiv w:val="1"/>
      <w:marLeft w:val="0"/>
      <w:marRight w:val="0"/>
      <w:marTop w:val="0"/>
      <w:marBottom w:val="0"/>
      <w:divBdr>
        <w:top w:val="none" w:sz="0" w:space="0" w:color="auto"/>
        <w:left w:val="none" w:sz="0" w:space="0" w:color="auto"/>
        <w:bottom w:val="none" w:sz="0" w:space="0" w:color="auto"/>
        <w:right w:val="none" w:sz="0" w:space="0" w:color="auto"/>
      </w:divBdr>
    </w:div>
    <w:div w:id="1789858148">
      <w:bodyDiv w:val="1"/>
      <w:marLeft w:val="0"/>
      <w:marRight w:val="0"/>
      <w:marTop w:val="0"/>
      <w:marBottom w:val="0"/>
      <w:divBdr>
        <w:top w:val="none" w:sz="0" w:space="0" w:color="auto"/>
        <w:left w:val="none" w:sz="0" w:space="0" w:color="auto"/>
        <w:bottom w:val="none" w:sz="0" w:space="0" w:color="auto"/>
        <w:right w:val="none" w:sz="0" w:space="0" w:color="auto"/>
      </w:divBdr>
    </w:div>
    <w:div w:id="1790859647">
      <w:bodyDiv w:val="1"/>
      <w:marLeft w:val="0"/>
      <w:marRight w:val="0"/>
      <w:marTop w:val="0"/>
      <w:marBottom w:val="0"/>
      <w:divBdr>
        <w:top w:val="none" w:sz="0" w:space="0" w:color="auto"/>
        <w:left w:val="none" w:sz="0" w:space="0" w:color="auto"/>
        <w:bottom w:val="none" w:sz="0" w:space="0" w:color="auto"/>
        <w:right w:val="none" w:sz="0" w:space="0" w:color="auto"/>
      </w:divBdr>
    </w:div>
    <w:div w:id="1809663587">
      <w:bodyDiv w:val="1"/>
      <w:marLeft w:val="0"/>
      <w:marRight w:val="0"/>
      <w:marTop w:val="0"/>
      <w:marBottom w:val="0"/>
      <w:divBdr>
        <w:top w:val="none" w:sz="0" w:space="0" w:color="auto"/>
        <w:left w:val="none" w:sz="0" w:space="0" w:color="auto"/>
        <w:bottom w:val="none" w:sz="0" w:space="0" w:color="auto"/>
        <w:right w:val="none" w:sz="0" w:space="0" w:color="auto"/>
      </w:divBdr>
    </w:div>
    <w:div w:id="1815439999">
      <w:bodyDiv w:val="1"/>
      <w:marLeft w:val="0"/>
      <w:marRight w:val="0"/>
      <w:marTop w:val="0"/>
      <w:marBottom w:val="0"/>
      <w:divBdr>
        <w:top w:val="none" w:sz="0" w:space="0" w:color="auto"/>
        <w:left w:val="none" w:sz="0" w:space="0" w:color="auto"/>
        <w:bottom w:val="none" w:sz="0" w:space="0" w:color="auto"/>
        <w:right w:val="none" w:sz="0" w:space="0" w:color="auto"/>
      </w:divBdr>
    </w:div>
    <w:div w:id="1818259046">
      <w:bodyDiv w:val="1"/>
      <w:marLeft w:val="0"/>
      <w:marRight w:val="0"/>
      <w:marTop w:val="0"/>
      <w:marBottom w:val="0"/>
      <w:divBdr>
        <w:top w:val="none" w:sz="0" w:space="0" w:color="auto"/>
        <w:left w:val="none" w:sz="0" w:space="0" w:color="auto"/>
        <w:bottom w:val="none" w:sz="0" w:space="0" w:color="auto"/>
        <w:right w:val="none" w:sz="0" w:space="0" w:color="auto"/>
      </w:divBdr>
    </w:div>
    <w:div w:id="1824155771">
      <w:bodyDiv w:val="1"/>
      <w:marLeft w:val="0"/>
      <w:marRight w:val="0"/>
      <w:marTop w:val="0"/>
      <w:marBottom w:val="0"/>
      <w:divBdr>
        <w:top w:val="none" w:sz="0" w:space="0" w:color="auto"/>
        <w:left w:val="none" w:sz="0" w:space="0" w:color="auto"/>
        <w:bottom w:val="none" w:sz="0" w:space="0" w:color="auto"/>
        <w:right w:val="none" w:sz="0" w:space="0" w:color="auto"/>
      </w:divBdr>
    </w:div>
    <w:div w:id="1844084637">
      <w:bodyDiv w:val="1"/>
      <w:marLeft w:val="0"/>
      <w:marRight w:val="0"/>
      <w:marTop w:val="0"/>
      <w:marBottom w:val="0"/>
      <w:divBdr>
        <w:top w:val="none" w:sz="0" w:space="0" w:color="auto"/>
        <w:left w:val="none" w:sz="0" w:space="0" w:color="auto"/>
        <w:bottom w:val="none" w:sz="0" w:space="0" w:color="auto"/>
        <w:right w:val="none" w:sz="0" w:space="0" w:color="auto"/>
      </w:divBdr>
      <w:divsChild>
        <w:div w:id="386219562">
          <w:marLeft w:val="0"/>
          <w:marRight w:val="0"/>
          <w:marTop w:val="0"/>
          <w:marBottom w:val="0"/>
          <w:divBdr>
            <w:top w:val="none" w:sz="0" w:space="0" w:color="auto"/>
            <w:left w:val="none" w:sz="0" w:space="0" w:color="auto"/>
            <w:bottom w:val="none" w:sz="0" w:space="0" w:color="auto"/>
            <w:right w:val="none" w:sz="0" w:space="0" w:color="auto"/>
          </w:divBdr>
          <w:divsChild>
            <w:div w:id="175069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97656">
      <w:bodyDiv w:val="1"/>
      <w:marLeft w:val="0"/>
      <w:marRight w:val="0"/>
      <w:marTop w:val="0"/>
      <w:marBottom w:val="0"/>
      <w:divBdr>
        <w:top w:val="none" w:sz="0" w:space="0" w:color="auto"/>
        <w:left w:val="none" w:sz="0" w:space="0" w:color="auto"/>
        <w:bottom w:val="none" w:sz="0" w:space="0" w:color="auto"/>
        <w:right w:val="none" w:sz="0" w:space="0" w:color="auto"/>
      </w:divBdr>
    </w:div>
    <w:div w:id="1888175280">
      <w:bodyDiv w:val="1"/>
      <w:marLeft w:val="0"/>
      <w:marRight w:val="0"/>
      <w:marTop w:val="0"/>
      <w:marBottom w:val="0"/>
      <w:divBdr>
        <w:top w:val="none" w:sz="0" w:space="0" w:color="auto"/>
        <w:left w:val="none" w:sz="0" w:space="0" w:color="auto"/>
        <w:bottom w:val="none" w:sz="0" w:space="0" w:color="auto"/>
        <w:right w:val="none" w:sz="0" w:space="0" w:color="auto"/>
      </w:divBdr>
    </w:div>
    <w:div w:id="1892374722">
      <w:bodyDiv w:val="1"/>
      <w:marLeft w:val="0"/>
      <w:marRight w:val="0"/>
      <w:marTop w:val="0"/>
      <w:marBottom w:val="0"/>
      <w:divBdr>
        <w:top w:val="none" w:sz="0" w:space="0" w:color="auto"/>
        <w:left w:val="none" w:sz="0" w:space="0" w:color="auto"/>
        <w:bottom w:val="none" w:sz="0" w:space="0" w:color="auto"/>
        <w:right w:val="none" w:sz="0" w:space="0" w:color="auto"/>
      </w:divBdr>
    </w:div>
    <w:div w:id="1903440818">
      <w:bodyDiv w:val="1"/>
      <w:marLeft w:val="0"/>
      <w:marRight w:val="0"/>
      <w:marTop w:val="0"/>
      <w:marBottom w:val="0"/>
      <w:divBdr>
        <w:top w:val="none" w:sz="0" w:space="0" w:color="auto"/>
        <w:left w:val="none" w:sz="0" w:space="0" w:color="auto"/>
        <w:bottom w:val="none" w:sz="0" w:space="0" w:color="auto"/>
        <w:right w:val="none" w:sz="0" w:space="0" w:color="auto"/>
      </w:divBdr>
    </w:div>
    <w:div w:id="1912499625">
      <w:bodyDiv w:val="1"/>
      <w:marLeft w:val="0"/>
      <w:marRight w:val="0"/>
      <w:marTop w:val="0"/>
      <w:marBottom w:val="0"/>
      <w:divBdr>
        <w:top w:val="none" w:sz="0" w:space="0" w:color="auto"/>
        <w:left w:val="none" w:sz="0" w:space="0" w:color="auto"/>
        <w:bottom w:val="none" w:sz="0" w:space="0" w:color="auto"/>
        <w:right w:val="none" w:sz="0" w:space="0" w:color="auto"/>
      </w:divBdr>
    </w:div>
    <w:div w:id="1921986553">
      <w:bodyDiv w:val="1"/>
      <w:marLeft w:val="0"/>
      <w:marRight w:val="0"/>
      <w:marTop w:val="0"/>
      <w:marBottom w:val="0"/>
      <w:divBdr>
        <w:top w:val="none" w:sz="0" w:space="0" w:color="auto"/>
        <w:left w:val="none" w:sz="0" w:space="0" w:color="auto"/>
        <w:bottom w:val="none" w:sz="0" w:space="0" w:color="auto"/>
        <w:right w:val="none" w:sz="0" w:space="0" w:color="auto"/>
      </w:divBdr>
    </w:div>
    <w:div w:id="1928734396">
      <w:bodyDiv w:val="1"/>
      <w:marLeft w:val="0"/>
      <w:marRight w:val="0"/>
      <w:marTop w:val="0"/>
      <w:marBottom w:val="0"/>
      <w:divBdr>
        <w:top w:val="none" w:sz="0" w:space="0" w:color="auto"/>
        <w:left w:val="none" w:sz="0" w:space="0" w:color="auto"/>
        <w:bottom w:val="none" w:sz="0" w:space="0" w:color="auto"/>
        <w:right w:val="none" w:sz="0" w:space="0" w:color="auto"/>
      </w:divBdr>
    </w:div>
    <w:div w:id="1935815827">
      <w:bodyDiv w:val="1"/>
      <w:marLeft w:val="0"/>
      <w:marRight w:val="0"/>
      <w:marTop w:val="0"/>
      <w:marBottom w:val="0"/>
      <w:divBdr>
        <w:top w:val="none" w:sz="0" w:space="0" w:color="auto"/>
        <w:left w:val="none" w:sz="0" w:space="0" w:color="auto"/>
        <w:bottom w:val="none" w:sz="0" w:space="0" w:color="auto"/>
        <w:right w:val="none" w:sz="0" w:space="0" w:color="auto"/>
      </w:divBdr>
    </w:div>
    <w:div w:id="1944653931">
      <w:bodyDiv w:val="1"/>
      <w:marLeft w:val="0"/>
      <w:marRight w:val="0"/>
      <w:marTop w:val="0"/>
      <w:marBottom w:val="0"/>
      <w:divBdr>
        <w:top w:val="none" w:sz="0" w:space="0" w:color="auto"/>
        <w:left w:val="none" w:sz="0" w:space="0" w:color="auto"/>
        <w:bottom w:val="none" w:sz="0" w:space="0" w:color="auto"/>
        <w:right w:val="none" w:sz="0" w:space="0" w:color="auto"/>
      </w:divBdr>
    </w:div>
    <w:div w:id="1946768698">
      <w:bodyDiv w:val="1"/>
      <w:marLeft w:val="0"/>
      <w:marRight w:val="0"/>
      <w:marTop w:val="0"/>
      <w:marBottom w:val="0"/>
      <w:divBdr>
        <w:top w:val="none" w:sz="0" w:space="0" w:color="auto"/>
        <w:left w:val="none" w:sz="0" w:space="0" w:color="auto"/>
        <w:bottom w:val="none" w:sz="0" w:space="0" w:color="auto"/>
        <w:right w:val="none" w:sz="0" w:space="0" w:color="auto"/>
      </w:divBdr>
    </w:div>
    <w:div w:id="1973557255">
      <w:bodyDiv w:val="1"/>
      <w:marLeft w:val="0"/>
      <w:marRight w:val="0"/>
      <w:marTop w:val="0"/>
      <w:marBottom w:val="0"/>
      <w:divBdr>
        <w:top w:val="none" w:sz="0" w:space="0" w:color="auto"/>
        <w:left w:val="none" w:sz="0" w:space="0" w:color="auto"/>
        <w:bottom w:val="none" w:sz="0" w:space="0" w:color="auto"/>
        <w:right w:val="none" w:sz="0" w:space="0" w:color="auto"/>
      </w:divBdr>
    </w:div>
    <w:div w:id="1980071308">
      <w:bodyDiv w:val="1"/>
      <w:marLeft w:val="0"/>
      <w:marRight w:val="0"/>
      <w:marTop w:val="0"/>
      <w:marBottom w:val="0"/>
      <w:divBdr>
        <w:top w:val="none" w:sz="0" w:space="0" w:color="auto"/>
        <w:left w:val="none" w:sz="0" w:space="0" w:color="auto"/>
        <w:bottom w:val="none" w:sz="0" w:space="0" w:color="auto"/>
        <w:right w:val="none" w:sz="0" w:space="0" w:color="auto"/>
      </w:divBdr>
    </w:div>
    <w:div w:id="1990940605">
      <w:bodyDiv w:val="1"/>
      <w:marLeft w:val="0"/>
      <w:marRight w:val="0"/>
      <w:marTop w:val="0"/>
      <w:marBottom w:val="0"/>
      <w:divBdr>
        <w:top w:val="none" w:sz="0" w:space="0" w:color="auto"/>
        <w:left w:val="none" w:sz="0" w:space="0" w:color="auto"/>
        <w:bottom w:val="none" w:sz="0" w:space="0" w:color="auto"/>
        <w:right w:val="none" w:sz="0" w:space="0" w:color="auto"/>
      </w:divBdr>
    </w:div>
    <w:div w:id="2012368890">
      <w:bodyDiv w:val="1"/>
      <w:marLeft w:val="0"/>
      <w:marRight w:val="0"/>
      <w:marTop w:val="0"/>
      <w:marBottom w:val="0"/>
      <w:divBdr>
        <w:top w:val="none" w:sz="0" w:space="0" w:color="auto"/>
        <w:left w:val="none" w:sz="0" w:space="0" w:color="auto"/>
        <w:bottom w:val="none" w:sz="0" w:space="0" w:color="auto"/>
        <w:right w:val="none" w:sz="0" w:space="0" w:color="auto"/>
      </w:divBdr>
    </w:div>
    <w:div w:id="2027368620">
      <w:bodyDiv w:val="1"/>
      <w:marLeft w:val="0"/>
      <w:marRight w:val="0"/>
      <w:marTop w:val="0"/>
      <w:marBottom w:val="0"/>
      <w:divBdr>
        <w:top w:val="none" w:sz="0" w:space="0" w:color="auto"/>
        <w:left w:val="none" w:sz="0" w:space="0" w:color="auto"/>
        <w:bottom w:val="none" w:sz="0" w:space="0" w:color="auto"/>
        <w:right w:val="none" w:sz="0" w:space="0" w:color="auto"/>
      </w:divBdr>
    </w:div>
    <w:div w:id="2033219469">
      <w:bodyDiv w:val="1"/>
      <w:marLeft w:val="0"/>
      <w:marRight w:val="0"/>
      <w:marTop w:val="0"/>
      <w:marBottom w:val="0"/>
      <w:divBdr>
        <w:top w:val="none" w:sz="0" w:space="0" w:color="auto"/>
        <w:left w:val="none" w:sz="0" w:space="0" w:color="auto"/>
        <w:bottom w:val="none" w:sz="0" w:space="0" w:color="auto"/>
        <w:right w:val="none" w:sz="0" w:space="0" w:color="auto"/>
      </w:divBdr>
    </w:div>
    <w:div w:id="2039500092">
      <w:bodyDiv w:val="1"/>
      <w:marLeft w:val="0"/>
      <w:marRight w:val="0"/>
      <w:marTop w:val="0"/>
      <w:marBottom w:val="0"/>
      <w:divBdr>
        <w:top w:val="none" w:sz="0" w:space="0" w:color="auto"/>
        <w:left w:val="none" w:sz="0" w:space="0" w:color="auto"/>
        <w:bottom w:val="none" w:sz="0" w:space="0" w:color="auto"/>
        <w:right w:val="none" w:sz="0" w:space="0" w:color="auto"/>
      </w:divBdr>
    </w:div>
    <w:div w:id="2078935534">
      <w:bodyDiv w:val="1"/>
      <w:marLeft w:val="0"/>
      <w:marRight w:val="0"/>
      <w:marTop w:val="0"/>
      <w:marBottom w:val="0"/>
      <w:divBdr>
        <w:top w:val="none" w:sz="0" w:space="0" w:color="auto"/>
        <w:left w:val="none" w:sz="0" w:space="0" w:color="auto"/>
        <w:bottom w:val="none" w:sz="0" w:space="0" w:color="auto"/>
        <w:right w:val="none" w:sz="0" w:space="0" w:color="auto"/>
      </w:divBdr>
    </w:div>
    <w:div w:id="2091461650">
      <w:bodyDiv w:val="1"/>
      <w:marLeft w:val="0"/>
      <w:marRight w:val="0"/>
      <w:marTop w:val="0"/>
      <w:marBottom w:val="0"/>
      <w:divBdr>
        <w:top w:val="none" w:sz="0" w:space="0" w:color="auto"/>
        <w:left w:val="none" w:sz="0" w:space="0" w:color="auto"/>
        <w:bottom w:val="none" w:sz="0" w:space="0" w:color="auto"/>
        <w:right w:val="none" w:sz="0" w:space="0" w:color="auto"/>
      </w:divBdr>
    </w:div>
    <w:div w:id="2097820212">
      <w:bodyDiv w:val="1"/>
      <w:marLeft w:val="0"/>
      <w:marRight w:val="0"/>
      <w:marTop w:val="0"/>
      <w:marBottom w:val="0"/>
      <w:divBdr>
        <w:top w:val="none" w:sz="0" w:space="0" w:color="auto"/>
        <w:left w:val="none" w:sz="0" w:space="0" w:color="auto"/>
        <w:bottom w:val="none" w:sz="0" w:space="0" w:color="auto"/>
        <w:right w:val="none" w:sz="0" w:space="0" w:color="auto"/>
      </w:divBdr>
    </w:div>
    <w:div w:id="2098286613">
      <w:bodyDiv w:val="1"/>
      <w:marLeft w:val="0"/>
      <w:marRight w:val="0"/>
      <w:marTop w:val="0"/>
      <w:marBottom w:val="0"/>
      <w:divBdr>
        <w:top w:val="none" w:sz="0" w:space="0" w:color="auto"/>
        <w:left w:val="none" w:sz="0" w:space="0" w:color="auto"/>
        <w:bottom w:val="none" w:sz="0" w:space="0" w:color="auto"/>
        <w:right w:val="none" w:sz="0" w:space="0" w:color="auto"/>
      </w:divBdr>
    </w:div>
    <w:div w:id="2101486590">
      <w:bodyDiv w:val="1"/>
      <w:marLeft w:val="0"/>
      <w:marRight w:val="0"/>
      <w:marTop w:val="0"/>
      <w:marBottom w:val="0"/>
      <w:divBdr>
        <w:top w:val="none" w:sz="0" w:space="0" w:color="auto"/>
        <w:left w:val="none" w:sz="0" w:space="0" w:color="auto"/>
        <w:bottom w:val="none" w:sz="0" w:space="0" w:color="auto"/>
        <w:right w:val="none" w:sz="0" w:space="0" w:color="auto"/>
      </w:divBdr>
    </w:div>
    <w:div w:id="2109887738">
      <w:bodyDiv w:val="1"/>
      <w:marLeft w:val="0"/>
      <w:marRight w:val="0"/>
      <w:marTop w:val="0"/>
      <w:marBottom w:val="0"/>
      <w:divBdr>
        <w:top w:val="none" w:sz="0" w:space="0" w:color="auto"/>
        <w:left w:val="none" w:sz="0" w:space="0" w:color="auto"/>
        <w:bottom w:val="none" w:sz="0" w:space="0" w:color="auto"/>
        <w:right w:val="none" w:sz="0" w:space="0" w:color="auto"/>
      </w:divBdr>
    </w:div>
    <w:div w:id="2113352411">
      <w:bodyDiv w:val="1"/>
      <w:marLeft w:val="0"/>
      <w:marRight w:val="0"/>
      <w:marTop w:val="0"/>
      <w:marBottom w:val="0"/>
      <w:divBdr>
        <w:top w:val="none" w:sz="0" w:space="0" w:color="auto"/>
        <w:left w:val="none" w:sz="0" w:space="0" w:color="auto"/>
        <w:bottom w:val="none" w:sz="0" w:space="0" w:color="auto"/>
        <w:right w:val="none" w:sz="0" w:space="0" w:color="auto"/>
      </w:divBdr>
    </w:div>
    <w:div w:id="2116437994">
      <w:bodyDiv w:val="1"/>
      <w:marLeft w:val="0"/>
      <w:marRight w:val="0"/>
      <w:marTop w:val="0"/>
      <w:marBottom w:val="0"/>
      <w:divBdr>
        <w:top w:val="none" w:sz="0" w:space="0" w:color="auto"/>
        <w:left w:val="none" w:sz="0" w:space="0" w:color="auto"/>
        <w:bottom w:val="none" w:sz="0" w:space="0" w:color="auto"/>
        <w:right w:val="none" w:sz="0" w:space="0" w:color="auto"/>
      </w:divBdr>
    </w:div>
    <w:div w:id="2142383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10.xml"/><Relationship Id="rId39" Type="http://schemas.openxmlformats.org/officeDocument/2006/relationships/hyperlink" Target="https://www.abs.gov.au/ausstats/abs@.nsf/mf/6306.0/" TargetMode="External"/><Relationship Id="rId21" Type="http://schemas.openxmlformats.org/officeDocument/2006/relationships/header" Target="header6.xml"/><Relationship Id="rId34" Type="http://schemas.openxmlformats.org/officeDocument/2006/relationships/chart" Target="charts/chart5.xml"/><Relationship Id="rId42" Type="http://schemas.openxmlformats.org/officeDocument/2006/relationships/hyperlink" Target="https://d1wqtxts1xzle7.cloudfront.net/39652920/Increasing_Incidence_of_Serious_Infectio20151103-22313-1add3pq.pdf?1446593837=&amp;response-content-disposition=inline%3B+filename%3DIncreasing_incidence_of_serious_infectio.pdf&amp;Expires=1597295307&amp;Signature=YLfuW8vti3Fir1zDdEFnKoeR3D8LbGMHmzbuPX-R6Eo7EAc~9UFsl8CfIOt9O1RSJv7sZhYMd4XsNCJa2nqR~r9thtLGgFpqHt5sD69ySZwu1oTiXJWpG5JvrI171YJao3W9~7kXBBJ71TRLjpSFpYu-QnYyoD30iedPVsNdjtOdokzylu4ckduEMJrijl2xvDhYIgfS~219dBJlDv2exhztL3OyyyCxgNBvvYj14ewsUvmGtqypNAHTgmTRo2937TFFdrCxXlLbkD50elorATTLnT3r3iBbMoMpMQ-lpIilY-2hPXrhpkmYl3XgWSbLSQkEUKHaEp-vA4EFwe0z9w__&amp;Key-Pair-Id=APKAJLOHF5GGSLRBV4ZA" TargetMode="External"/><Relationship Id="rId47" Type="http://schemas.openxmlformats.org/officeDocument/2006/relationships/hyperlink" Target="https://www.cdc.gov/globalhealth/ntd/diseases/index.html" TargetMode="External"/><Relationship Id="rId50" Type="http://schemas.openxmlformats.org/officeDocument/2006/relationships/hyperlink" Target="https://link.springer.com/content/pdf/10.1057/palgrave.rlp.5100081.pdf" TargetMode="External"/><Relationship Id="rId55" Type="http://schemas.openxmlformats.org/officeDocument/2006/relationships/hyperlink" Target="https://www.dhhs.vic.gov.au/publications/rental-report" TargetMode="External"/><Relationship Id="rId63" Type="http://schemas.openxmlformats.org/officeDocument/2006/relationships/hyperlink" Target="https://www.ahuri.edu.au/__data/assets/pdf_file/0016/2239/AHURI_Final_Report_No54_Boarding_houses_and_government_supply_side_intervention.pdf" TargetMode="External"/><Relationship Id="rId68" Type="http://schemas.openxmlformats.org/officeDocument/2006/relationships/hyperlink" Target="https://www.researchgate.net/publication/272789417_Homelessness_in_Melbourne_Confronting_the_Challenge" TargetMode="External"/><Relationship Id="rId76" Type="http://schemas.openxmlformats.org/officeDocument/2006/relationships/hyperlink" Target="https://www.business.vic.gov.au/__data/assets/pdf_file/0009/1545039/Public_Health_and_Wellbeing_Regulations_2009.pdf" TargetMode="External"/><Relationship Id="rId84" Type="http://schemas.openxmlformats.org/officeDocument/2006/relationships/hyperlink" Target="https://www.tra.gov.au/Economic-analysis/australian-accommodation-monitor" TargetMode="External"/><Relationship Id="rId89" Type="http://schemas.openxmlformats.org/officeDocument/2006/relationships/hyperlink" Target="https://www.who.int/westernpacific/health-topics/diarrhoea" TargetMode="External"/><Relationship Id="rId7" Type="http://schemas.openxmlformats.org/officeDocument/2006/relationships/settings" Target="settings.xml"/><Relationship Id="rId71" Type="http://schemas.openxmlformats.org/officeDocument/2006/relationships/hyperlink" Target="https://researchbank.swinburne.edu.au/file/30e52c92-64a1-477c-993a-0e547c6c7371/1/PDF%20%28Published%20version%29.pdf" TargetMode="External"/><Relationship Id="rId92" Type="http://schemas.openxmlformats.org/officeDocument/2006/relationships/hyperlink" Target="http://www.deloitte.com/au/deloitte-access-economics"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12.xml"/><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chart" Target="charts/chart3.xml"/><Relationship Id="rId37" Type="http://schemas.openxmlformats.org/officeDocument/2006/relationships/hyperlink" Target="https://www.abs.gov.au/AUSSTATS/abs@.nsf/DetailsPage/2049.02016?OpenDocument" TargetMode="External"/><Relationship Id="rId40" Type="http://schemas.openxmlformats.org/officeDocument/2006/relationships/hyperlink" Target="https://www1.health.gov.au/internet/publications/publishing.nsf/Content/ohp-enhealth-manual-atsi-cnt-l~ohp-enhealth-manual-atsi-cnt-l-ch3~ohp-enhealth-manual-atsi-cnt-l-ch3.2" TargetMode="External"/><Relationship Id="rId45" Type="http://schemas.openxmlformats.org/officeDocument/2006/relationships/hyperlink" Target="https://www.betterhealth.vic.gov.au/health/conditionsandtreatments/mould-and-your-health" TargetMode="External"/><Relationship Id="rId53" Type="http://schemas.openxmlformats.org/officeDocument/2006/relationships/hyperlink" Target="https://www.vic.gov.au/sites/default/files/2019-11/Residential-tenancies-Rooming-house-standards-Regulations-2011-RIS.pdf" TargetMode="External"/><Relationship Id="rId58" Type="http://schemas.openxmlformats.org/officeDocument/2006/relationships/hyperlink" Target="https://9now.nine.com.au/a-current-affair/coronavirus-overcrowded-student-dorms-exposed-as-potential-covid19-hotspots/f03265e3-d575-4676-8214-3d8deba8110d" TargetMode="External"/><Relationship Id="rId66" Type="http://schemas.openxmlformats.org/officeDocument/2006/relationships/hyperlink" Target="https://www.homedesigndirectory.com.au/calculators/bathroom-cost-estimates.php" TargetMode="External"/><Relationship Id="rId74" Type="http://schemas.openxmlformats.org/officeDocument/2006/relationships/hyperlink" Target="https://www.health.nsw.gov.au/environment/aboriginal/Publications/housing-health.pdf" TargetMode="External"/><Relationship Id="rId79" Type="http://schemas.openxmlformats.org/officeDocument/2006/relationships/hyperlink" Target="https://www.business.vic.gov.au/tourism-industry-resources/Business-Tools-and-Support/starting-a-tourism-business-A/starting-an-accommodation-business" TargetMode="External"/><Relationship Id="rId87" Type="http://schemas.openxmlformats.org/officeDocument/2006/relationships/hyperlink" Target="https://www.ahuri.edu.au/research/final-reports/4" TargetMode="External"/><Relationship Id="rId5" Type="http://schemas.openxmlformats.org/officeDocument/2006/relationships/numbering" Target="numbering.xml"/><Relationship Id="rId61" Type="http://schemas.openxmlformats.org/officeDocument/2006/relationships/hyperlink" Target="https://www.fwc.gov.au/documents/documents/agreements/fwa/ae506266.pdf" TargetMode="External"/><Relationship Id="rId82" Type="http://schemas.openxmlformats.org/officeDocument/2006/relationships/hyperlink" Target="https://theconversation.com/ever-wondered-how-many-airbnbs-australia-has-and-where-they-all-are-we-have-the-answers-129003" TargetMode="External"/><Relationship Id="rId90" Type="http://schemas.openxmlformats.org/officeDocument/2006/relationships/hyperlink" Target="https://www.who.int/publications/i/item/who-housing-and-health-guidelines" TargetMode="External"/><Relationship Id="rId95" Type="http://schemas.openxmlformats.org/officeDocument/2006/relationships/theme" Target="theme/theme1.xml"/><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chart" Target="charts/chart1.xml"/><Relationship Id="rId35" Type="http://schemas.openxmlformats.org/officeDocument/2006/relationships/hyperlink" Target="https://ncc.abcb.gov.au/ncc-online/NCC/2016-A1/NCC-2016-Volume-One/Section-F-Health-And-Amenity/Part-F2-Sanitary-And-Other-Facilities-Dts/F21-Facilities-In-Residential-Buildings?inlineLink=4e0202a0-d936-48c2-a892-6c01cff6895e" TargetMode="External"/><Relationship Id="rId43" Type="http://schemas.openxmlformats.org/officeDocument/2006/relationships/hyperlink" Target="https://d1wqtxts1xzle7.cloudfront.net/39652920/Increasing_Incidence_of_Serious_Infectio20151103-22313-1add3pq.pdf?1446593837=&amp;response-content-disposition=inline%3B+filename%3DIncreasing_incidence_of_serious_infectio.pdf&amp;Expires=1598324221&amp;Signature=FSsvC4w0vjChfKAxZhh-eJAXt~g3AeAV3N5OAFruLm7WK143H--onNHgrVTsN9r8Nsg2t-3UA0RSnEbd4uRQWAJNM69Rk-6S5k-U6kGJ2Z-TJfIWIiR6xmlHwLZ2cokboER0fdOI2Sv8FMJPFAaxxT0XBWvwpISVKku5JbeVWtbdivjbmtfQ4bIUJkEa9d~zG3040d7nZd92dyZPbrzc565PniFgv9Zfz8eKYGzY5M8Ko7X5h1BAA310xqLrHUBZCkP6lXS1~Rmxec2hKq5EnMJiVQcIAXHSn6IjpBzEpq7NyzWd91p8ui5BoidfPcw4Bg9SikzLKGyxi4q~C3k1Dw__&amp;Key-Pair-Id=APKAJLOHF5GGSLRBV4ZA" TargetMode="External"/><Relationship Id="rId48" Type="http://schemas.openxmlformats.org/officeDocument/2006/relationships/hyperlink" Target="http://www.nwhn.net.au/admin/file/content2/c7/Counting%20Boarding%20Houses%20-%20%20Chris%20Chamberlain%202012.pdf" TargetMode="External"/><Relationship Id="rId56" Type="http://schemas.openxmlformats.org/officeDocument/2006/relationships/hyperlink" Target="https://www.dtf.vic.gov.au/state-financial-data-sets/macroeconomic-indicators" TargetMode="External"/><Relationship Id="rId64" Type="http://schemas.openxmlformats.org/officeDocument/2006/relationships/hyperlink" Target="https://england.shelter.org.uk/__data/assets/pdf_file/0016/39202/Chance_of_a_Lifetime.pdf" TargetMode="External"/><Relationship Id="rId69" Type="http://schemas.openxmlformats.org/officeDocument/2006/relationships/hyperlink" Target="https://ajph.aphapublications.org/doi/10.2105/AJPH.92.5.758" TargetMode="External"/><Relationship Id="rId77" Type="http://schemas.openxmlformats.org/officeDocument/2006/relationships/hyperlink" Target="https://www.rba.gov.au/publications/smp/2020/aug/" TargetMode="External"/><Relationship Id="rId8" Type="http://schemas.openxmlformats.org/officeDocument/2006/relationships/webSettings" Target="webSettings.xml"/><Relationship Id="rId51" Type="http://schemas.openxmlformats.org/officeDocument/2006/relationships/hyperlink" Target="http://www.betterregulation.vic.gov.au/Guidance-and-Resources" TargetMode="External"/><Relationship Id="rId72" Type="http://schemas.openxmlformats.org/officeDocument/2006/relationships/hyperlink" Target="https://www.ncbi.nlm.nih.gov/pmc/articles/PMC2981586/" TargetMode="External"/><Relationship Id="rId80" Type="http://schemas.openxmlformats.org/officeDocument/2006/relationships/hyperlink" Target="http://www.nwhn.net.au/admin/file/content101/c6/No%20Room%20to%20move%20Report_1332384268120.pdf" TargetMode="External"/><Relationship Id="rId85" Type="http://schemas.openxmlformats.org/officeDocument/2006/relationships/hyperlink" Target="https://www.tra.gov.au/Economic-analysis/australian-accommodation-monitor"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9.xml"/><Relationship Id="rId33" Type="http://schemas.openxmlformats.org/officeDocument/2006/relationships/chart" Target="charts/chart4.xml"/><Relationship Id="rId38" Type="http://schemas.openxmlformats.org/officeDocument/2006/relationships/hyperlink" Target="https://www.abs.gov.au/AUSSTATS/abs@.nsf/Lookup/1270.0.55.005Main+Features1July%202016?OpenDocument" TargetMode="External"/><Relationship Id="rId46" Type="http://schemas.openxmlformats.org/officeDocument/2006/relationships/hyperlink" Target="https://www.bre.co.uk/filelibrary/pdf/87741-Cost-of-Poor-Housing-Briefing-Paper-v3.pdf" TargetMode="External"/><Relationship Id="rId59" Type="http://schemas.openxmlformats.org/officeDocument/2006/relationships/hyperlink" Target="https://www.fwc.gov.au/documents/documents/agreements/fwa/ae503309.pdf" TargetMode="External"/><Relationship Id="rId67" Type="http://schemas.openxmlformats.org/officeDocument/2006/relationships/hyperlink" Target="https://www.ibisworld.com/au/industry/hotels-resorts/1811/" TargetMode="External"/><Relationship Id="rId20" Type="http://schemas.openxmlformats.org/officeDocument/2006/relationships/footer" Target="footer4.xml"/><Relationship Id="rId41" Type="http://schemas.openxmlformats.org/officeDocument/2006/relationships/hyperlink" Target="https://researchdata.edu.au/health-public/490094" TargetMode="External"/><Relationship Id="rId54" Type="http://schemas.openxmlformats.org/officeDocument/2006/relationships/hyperlink" Target="https://www.vic.gov.au/sites/default/files/2019-11/Residential-tenancies-Rooming-house-standards-Regulations-2011-RIS.pdf" TargetMode="External"/><Relationship Id="rId62" Type="http://schemas.openxmlformats.org/officeDocument/2006/relationships/hyperlink" Target="https://onlinelibrary.wiley.com/doi/full/10.1111/j.1600-0668.2007.00475.x" TargetMode="External"/><Relationship Id="rId70" Type="http://schemas.openxmlformats.org/officeDocument/2006/relationships/hyperlink" Target="https://researchbank.swinburne.edu.au/file/30e52c92-64a1-477c-993a-0e547c6c7371/1/PDF%20%28Published%20version%29.pdf" TargetMode="External"/><Relationship Id="rId75" Type="http://schemas.openxmlformats.org/officeDocument/2006/relationships/hyperlink" Target="https://www.business.vic.gov.au/__data/assets/pdf_file/0009/1545039/Public_Health_and_Wellbeing_Regulations_2009.pdf" TargetMode="External"/><Relationship Id="rId83" Type="http://schemas.openxmlformats.org/officeDocument/2006/relationships/hyperlink" Target="https://theconversation.com/ever-wondered-how-many-airbnbs-australia-has-and-where-they-all-are-we-have-the-answers-129003" TargetMode="External"/><Relationship Id="rId88" Type="http://schemas.openxmlformats.org/officeDocument/2006/relationships/hyperlink" Target="https://www.sgsep.com.au/assets/main/SGS-Economics-and-Planning-Last-Resort-Housing.pdf" TargetMode="External"/><Relationship Id="rId91"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footer" Target="footer6.xml"/><Relationship Id="rId36" Type="http://schemas.openxmlformats.org/officeDocument/2006/relationships/hyperlink" Target="https://www.abs.gov.au/AUSSTATS/abs@.nsf/DetailsPage/2049.02016?OpenDocument" TargetMode="External"/><Relationship Id="rId49" Type="http://schemas.openxmlformats.org/officeDocument/2006/relationships/hyperlink" Target="http://www.nwhn.net.au/admin/file/content2/c7/Counting%20Boarding%20Houses%20-%20%20Chris%20Chamberlain%202012.pdf" TargetMode="External"/><Relationship Id="rId57" Type="http://schemas.openxmlformats.org/officeDocument/2006/relationships/hyperlink" Target="https://9now.nine.com.au/a-current-affair/coronavirus-overcrowded-student-dorms-exposed-as-potential-covid19-hotspots/f03265e3-d575-4676-8214-3d8deba8110d" TargetMode="External"/><Relationship Id="rId10" Type="http://schemas.openxmlformats.org/officeDocument/2006/relationships/endnotes" Target="endnotes.xml"/><Relationship Id="rId31" Type="http://schemas.openxmlformats.org/officeDocument/2006/relationships/chart" Target="charts/chart2.xml"/><Relationship Id="rId44" Type="http://schemas.openxmlformats.org/officeDocument/2006/relationships/hyperlink" Target="https://www.tandfonline.com/doi/full/10.1080/10852352.2016.1197714" TargetMode="External"/><Relationship Id="rId52" Type="http://schemas.openxmlformats.org/officeDocument/2006/relationships/hyperlink" Target="https://www.ahuri.edu.au/research/final-reports/245" TargetMode="External"/><Relationship Id="rId60" Type="http://schemas.openxmlformats.org/officeDocument/2006/relationships/hyperlink" Target="https://www.fwc.gov.au/documents/documents/agreements/fwa/ae504856.pdf" TargetMode="External"/><Relationship Id="rId65" Type="http://schemas.openxmlformats.org/officeDocument/2006/relationships/hyperlink" Target="https://england.shelter.org.uk/__data/assets/pdf_file/0016/39202/Chance_of_a_Lifetime.pdf" TargetMode="External"/><Relationship Id="rId73" Type="http://schemas.openxmlformats.org/officeDocument/2006/relationships/hyperlink" Target="https://nchh.org/resource-library/Housing%20Interventions%20and%20Health.pdf" TargetMode="External"/><Relationship Id="rId78" Type="http://schemas.openxmlformats.org/officeDocument/2006/relationships/hyperlink" Target="http://chp.org.au/wp-content/uploads/2013/05/Appendix-Taskforce-Report.pdf" TargetMode="External"/><Relationship Id="rId81" Type="http://schemas.openxmlformats.org/officeDocument/2006/relationships/hyperlink" Target="http://www.nwhn.net.au/admin/file/content101/c6/No%20Room%20to%20move%20Report_1332384268120.pdf" TargetMode="External"/><Relationship Id="rId86" Type="http://schemas.openxmlformats.org/officeDocument/2006/relationships/hyperlink" Target="http://www.sanitationyear2008.org/" TargetMode="External"/><Relationship Id="rId9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13" Type="http://schemas.openxmlformats.org/officeDocument/2006/relationships/hyperlink" Target="http://www.nwhn.net.au/admin/file/content2/c7/Counting%20Boarding%20Houses%20-%20%20Chris%20Chamberlain%202012.pdf" TargetMode="External"/><Relationship Id="rId18" Type="http://schemas.openxmlformats.org/officeDocument/2006/relationships/hyperlink" Target="https://www.who.int/westernpacific/health-topics/diarrhoea" TargetMode="External"/><Relationship Id="rId26" Type="http://schemas.openxmlformats.org/officeDocument/2006/relationships/hyperlink" Target="https://www.ncbi.nlm.nih.gov/pmc/articles/PMC2981586/" TargetMode="External"/><Relationship Id="rId39" Type="http://schemas.openxmlformats.org/officeDocument/2006/relationships/hyperlink" Target="https://www.dtf.vic.gov.au/state-financial-data-sets/macroeconomic-indicators" TargetMode="External"/><Relationship Id="rId21" Type="http://schemas.openxmlformats.org/officeDocument/2006/relationships/hyperlink" Target="https://www1.health.gov.au/internet/publications/publishing.nsf/Content/ohp-enhealth-manual-atsi-cnt-l~ohp-enhealth-manual-atsi-cnt-l-ch3~ohp-enhealth-manual-atsi-cnt-l-ch3.2" TargetMode="External"/><Relationship Id="rId34" Type="http://schemas.openxmlformats.org/officeDocument/2006/relationships/hyperlink" Target="https://www.tra.gov.au/Economic-analysis/australian-accommodation-monitor" TargetMode="External"/><Relationship Id="rId42" Type="http://schemas.openxmlformats.org/officeDocument/2006/relationships/hyperlink" Target="https://www.vic.gov.au/sites/default/files/2019-11/Residential-tenancies-Rooming-house-standards-Regulations-2011-RIS.pdf" TargetMode="External"/><Relationship Id="rId47" Type="http://schemas.openxmlformats.org/officeDocument/2006/relationships/hyperlink" Target="http://www.nwhn.net.au/admin/file/content101/c6/No%20Room%20to%20move%20Report_1332384268120.pdf" TargetMode="External"/><Relationship Id="rId50" Type="http://schemas.openxmlformats.org/officeDocument/2006/relationships/hyperlink" Target="https://researchbank.swinburne.edu.au/file/30e52c92-64a1-477c-993a-0e547c6c7371/1/PDF%20%28Published%20version%29.pdf" TargetMode="External"/><Relationship Id="rId55" Type="http://schemas.openxmlformats.org/officeDocument/2006/relationships/hyperlink" Target="https://www.vic.gov.au/sites/default/files/2019-11/Residential-tenancies-Rooming-house-standards-Regulations-2011-RIS.pdf" TargetMode="External"/><Relationship Id="rId63" Type="http://schemas.openxmlformats.org/officeDocument/2006/relationships/hyperlink" Target="https://www.health.nsw.gov.au/environment/aboriginal/Publications/housing-health.pdf" TargetMode="External"/><Relationship Id="rId68" Type="http://schemas.openxmlformats.org/officeDocument/2006/relationships/hyperlink" Target="https://onlinelibrary.wiley.com/doi/full/10.1111/j.1600-0668.2007.00475.x" TargetMode="External"/><Relationship Id="rId76" Type="http://schemas.openxmlformats.org/officeDocument/2006/relationships/hyperlink" Target="https://www.health.nsw.gov.au/environment/aboriginal/Publications/housing-health.pdf" TargetMode="External"/><Relationship Id="rId7" Type="http://schemas.openxmlformats.org/officeDocument/2006/relationships/hyperlink" Target="https://9now.nine.com.au/a-current-affair/coronavirus-overcrowded-student-dorms-exposed-as-potential-covid19-hotspots/f03265e3-d575-4676-8214-3d8deba8110d" TargetMode="External"/><Relationship Id="rId71" Type="http://schemas.openxmlformats.org/officeDocument/2006/relationships/hyperlink" Target="https://england.shelter.org.uk/__data/assets/pdf_file/0016/39202/Chance_of_a_Lifetime.pdf" TargetMode="External"/><Relationship Id="rId2" Type="http://schemas.openxmlformats.org/officeDocument/2006/relationships/hyperlink" Target="https://researchdata.edu.au/health-public/490094" TargetMode="External"/><Relationship Id="rId16" Type="http://schemas.openxmlformats.org/officeDocument/2006/relationships/hyperlink" Target="https://ajph.aphapublications.org/doi/10.2105/AJPH.92.5.758" TargetMode="External"/><Relationship Id="rId29" Type="http://schemas.openxmlformats.org/officeDocument/2006/relationships/hyperlink" Target="http://www.nwhn.net.au/admin/file/content101/c6/No%20Room%20to%20move%20Report_1332384268120.pdf" TargetMode="External"/><Relationship Id="rId11" Type="http://schemas.openxmlformats.org/officeDocument/2006/relationships/hyperlink" Target="https://www.abs.gov.au/AUSSTATS/abs@.nsf/Lookup/1270.0.55.005Main+Features1July%202016?OpenDocument" TargetMode="External"/><Relationship Id="rId24" Type="http://schemas.openxmlformats.org/officeDocument/2006/relationships/hyperlink" Target="http://www.sanitationyear2008.org/" TargetMode="External"/><Relationship Id="rId32" Type="http://schemas.openxmlformats.org/officeDocument/2006/relationships/hyperlink" Target="https://www.rba.gov.au/publications/smp/2020/aug/" TargetMode="External"/><Relationship Id="rId37" Type="http://schemas.openxmlformats.org/officeDocument/2006/relationships/hyperlink" Target="https://www.fwc.gov.au/documents/documents/agreements/fwa/ae506266.pdf" TargetMode="External"/><Relationship Id="rId40" Type="http://schemas.openxmlformats.org/officeDocument/2006/relationships/hyperlink" Target="https://www.abs.gov.au/ausstats/abs@.nsf/mf/2049.0" TargetMode="External"/><Relationship Id="rId45" Type="http://schemas.openxmlformats.org/officeDocument/2006/relationships/hyperlink" Target="https://www.vic.gov.au/sites/default/files/2019-11/Residential-tenancies-Rooming-house-standards-Regulations-2011-RIS.pdf" TargetMode="External"/><Relationship Id="rId53" Type="http://schemas.openxmlformats.org/officeDocument/2006/relationships/hyperlink" Target="https://www.sgsep.com.au/assets/main/SGS-Economics-and-Planning-Last-Resort-Housing.pdf" TargetMode="External"/><Relationship Id="rId58" Type="http://schemas.openxmlformats.org/officeDocument/2006/relationships/hyperlink" Target="https://d1wqtxts1xzle7.cloudfront.net/39652920/Increasing_Incidence_of_Serious_Infectio20151103-22313-1add3pq.pdf?1446593837=&amp;response-content-disposition=inline%3B+filename%3DIncreasing_incidence_of_serious_infectio.pdf&amp;Expires=1598324221&amp;Signature=FSsvC4w0vjChfKAxZhh-eJAXt~g3AeAV3N5OAFruLm7WK143H--onNHgrVTsN9r8Nsg2t-3UA0RSnEbd4uRQWAJNM69Rk-6S5k-U6kGJ2Z-TJfIWIiR6xmlHwLZ2cokboER0fdOI2Sv8FMJPFAaxxT0XBWvwpISVKku5JbeVWtbdivjbmtfQ4bIUJkEa9d~zG3040d7nZd92dyZPbrzc565PniFgv9Zfz8eKYGzY5M8Ko7X5h1BAA310xqLrHUBZCkP6lXS1~Rmxec2hKq5EnMJiVQcIAXHSn6IjpBzEpq7NyzWd91p8ui5BoidfPcw4Bg9SikzLKGyxi4q~C3k1Dw__&amp;Key-Pair-Id=APKAJLOHF5GGSLRBV4ZA" TargetMode="External"/><Relationship Id="rId66" Type="http://schemas.openxmlformats.org/officeDocument/2006/relationships/hyperlink" Target="https://nchh.org/resource-library/Housing%20Interventions%20and%20Health.pdf" TargetMode="External"/><Relationship Id="rId74" Type="http://schemas.openxmlformats.org/officeDocument/2006/relationships/hyperlink" Target="https://www.monash.edu/__data/assets/pdf_file/0008/218492/haz76.pdf" TargetMode="External"/><Relationship Id="rId79" Type="http://schemas.openxmlformats.org/officeDocument/2006/relationships/hyperlink" Target="https://www.health.nsw.gov.au/environment/aboriginal/Publications/housing-health.pdf" TargetMode="External"/><Relationship Id="rId5" Type="http://schemas.openxmlformats.org/officeDocument/2006/relationships/hyperlink" Target="https://www.researchgate.net/publication/272789417_Homelessness_in_Melbourne_Confronting_the_Challenge" TargetMode="External"/><Relationship Id="rId61" Type="http://schemas.openxmlformats.org/officeDocument/2006/relationships/hyperlink" Target="https://www.who.int/publications/i/item/who-housing-and-health-guidelines" TargetMode="External"/><Relationship Id="rId10" Type="http://schemas.openxmlformats.org/officeDocument/2006/relationships/hyperlink" Target="https://theconversation.com/ever-wondered-how-many-airbnbs-australia-has-and-where-they-all-are-we-have-the-answers-129003" TargetMode="External"/><Relationship Id="rId19" Type="http://schemas.openxmlformats.org/officeDocument/2006/relationships/hyperlink" Target="https://www.cdc.gov/globalhealth/ntd/diseases/index.html" TargetMode="External"/><Relationship Id="rId31" Type="http://schemas.openxmlformats.org/officeDocument/2006/relationships/hyperlink" Target="https://www.vic.gov.au/sites/default/files/2020-01/Subordinate-Legislation-Act-1994-Guidelines-2020.pdf" TargetMode="External"/><Relationship Id="rId44" Type="http://schemas.openxmlformats.org/officeDocument/2006/relationships/hyperlink" Target="https://link.springer.com/content/pdf/10.1057/palgrave.rlp.5100081.pdf" TargetMode="External"/><Relationship Id="rId52" Type="http://schemas.openxmlformats.org/officeDocument/2006/relationships/hyperlink" Target="https://www.sgsep.com.au/assets/main/SGS-Economics-and-Planning-Last-Resort-Housing.pdf" TargetMode="External"/><Relationship Id="rId60" Type="http://schemas.openxmlformats.org/officeDocument/2006/relationships/hyperlink" Target="https://www.who.int/publications/i/item/who-housing-and-health-guidelines" TargetMode="External"/><Relationship Id="rId65" Type="http://schemas.openxmlformats.org/officeDocument/2006/relationships/hyperlink" Target="https://nchh.org/resource-library/Housing%20Interventions%20and%20Health.pdf" TargetMode="External"/><Relationship Id="rId73" Type="http://schemas.openxmlformats.org/officeDocument/2006/relationships/hyperlink" Target="https://nchh.org/resource-library/Housing%20Interventions%20and%20Health.pdf" TargetMode="External"/><Relationship Id="rId78" Type="http://schemas.openxmlformats.org/officeDocument/2006/relationships/hyperlink" Target="https://www.health.nsw.gov.au/environment/aboriginal/Publications/housing-health.pdf" TargetMode="External"/><Relationship Id="rId4" Type="http://schemas.openxmlformats.org/officeDocument/2006/relationships/hyperlink" Target="http://www.betterregulation.vic.gov.au/Guidance-and-Resources" TargetMode="External"/><Relationship Id="rId9" Type="http://schemas.openxmlformats.org/officeDocument/2006/relationships/hyperlink" Target="https://www.consumer.vic.gov.au/housing/renting/types-of-rental-agreements/holiday-accommodation" TargetMode="External"/><Relationship Id="rId14" Type="http://schemas.openxmlformats.org/officeDocument/2006/relationships/hyperlink" Target="http://www.nwhn.net.au/admin/file/content2/c7/Counting%20Boarding%20Houses%20-%20%20Chris%20Chamberlain%202012.pdf" TargetMode="External"/><Relationship Id="rId22" Type="http://schemas.openxmlformats.org/officeDocument/2006/relationships/hyperlink" Target="https://www1.health.gov.au/internet/publications/publishing.nsf/Content/ohp-enhealth-manual-atsi-cnt-l~ohp-enhealth-manual-atsi-cnt-l-ch3~ohp-enhealth-manual-atsi-cnt-l-ch3.2" TargetMode="External"/><Relationship Id="rId27" Type="http://schemas.openxmlformats.org/officeDocument/2006/relationships/hyperlink" Target="https://www.ncbi.nlm.nih.gov/pmc/articles/PMC2981586/" TargetMode="External"/><Relationship Id="rId30" Type="http://schemas.openxmlformats.org/officeDocument/2006/relationships/hyperlink" Target="http://chp.org.au/wp-content/uploads/2013/05/Appendix-Taskforce-Report.pdf" TargetMode="External"/><Relationship Id="rId35" Type="http://schemas.openxmlformats.org/officeDocument/2006/relationships/hyperlink" Target="http://www.nwhn.net.au/admin/file/content2/c7/Counting%20Boarding%20Houses%20-%20%20Chris%20Chamberlain%202012.pdf" TargetMode="External"/><Relationship Id="rId43" Type="http://schemas.openxmlformats.org/officeDocument/2006/relationships/hyperlink" Target="https://www.dtf.vic.gov.au/state-financial-data-sets/macroeconomic-indicators" TargetMode="External"/><Relationship Id="rId48" Type="http://schemas.openxmlformats.org/officeDocument/2006/relationships/hyperlink" Target="https://www.abs.gov.au/AUSSTATS/abs@.nsf/DetailsPage/2049.02016?OpenDocument" TargetMode="External"/><Relationship Id="rId56" Type="http://schemas.openxmlformats.org/officeDocument/2006/relationships/hyperlink" Target="https://www.tandfonline.com/doi/full/10.1080/10852352.2016.1197714" TargetMode="External"/><Relationship Id="rId64" Type="http://schemas.openxmlformats.org/officeDocument/2006/relationships/hyperlink" Target="https://www.betterhealth.vic.gov.au/health/conditionsandtreatments/mould-and-your-health" TargetMode="External"/><Relationship Id="rId69" Type="http://schemas.openxmlformats.org/officeDocument/2006/relationships/hyperlink" Target="https://www.ahuri.edu.au/research/final-reports/4." TargetMode="External"/><Relationship Id="rId77" Type="http://schemas.openxmlformats.org/officeDocument/2006/relationships/hyperlink" Target="https://www.health.nsw.gov.au/environment/aboriginal/Publications/housing-health.pdf" TargetMode="External"/><Relationship Id="rId8" Type="http://schemas.openxmlformats.org/officeDocument/2006/relationships/hyperlink" Target="https://www.business.vic.gov.au/tourism-industry-resources/Business-Tools-and-Support/starting-a-tourism-business-A/starting-an-accommodation-business" TargetMode="External"/><Relationship Id="rId51" Type="http://schemas.openxmlformats.org/officeDocument/2006/relationships/hyperlink" Target="https://researchbank.swinburne.edu.au/file/30e52c92-64a1-477c-993a-0e547c6c7371/1/PDF%20%28Published%20version%29.pdf" TargetMode="External"/><Relationship Id="rId72" Type="http://schemas.openxmlformats.org/officeDocument/2006/relationships/hyperlink" Target="https://nchh.org/resource-library/Housing%20Interventions%20and%20Health.pdf" TargetMode="External"/><Relationship Id="rId80" Type="http://schemas.openxmlformats.org/officeDocument/2006/relationships/hyperlink" Target="https://engage.vic.gov.au/smallbizreview" TargetMode="External"/><Relationship Id="rId3" Type="http://schemas.openxmlformats.org/officeDocument/2006/relationships/hyperlink" Target="https://ncc.abcb.gov.au/ncc-online/NCC/2016-A1/NCC-2016-Volume-One/Section-F-Health-And-Amenity/Part-F2-Sanitary-And-Other-Facilities-Dts/F21-Facilities-In-Residential-Buildings?inlineLink=4e0202a0-d936-48c2-a892-6c01cff6895e" TargetMode="External"/><Relationship Id="rId12" Type="http://schemas.openxmlformats.org/officeDocument/2006/relationships/hyperlink" Target="https://www.abs.gov.au/AUSSTATS/abs@.nsf/DetailsPage/2049.02016?OpenDocument" TargetMode="External"/><Relationship Id="rId17" Type="http://schemas.openxmlformats.org/officeDocument/2006/relationships/hyperlink" Target="https://www.who.int/westernpacific/health-topics/diarrhoea" TargetMode="External"/><Relationship Id="rId25" Type="http://schemas.openxmlformats.org/officeDocument/2006/relationships/hyperlink" Target="http://www.sanitationyear2008.org/" TargetMode="External"/><Relationship Id="rId33" Type="http://schemas.openxmlformats.org/officeDocument/2006/relationships/hyperlink" Target="https://www.ibisworld.com/au/industry/hotels-resorts/1811/" TargetMode="External"/><Relationship Id="rId38" Type="http://schemas.openxmlformats.org/officeDocument/2006/relationships/hyperlink" Target="https://www.abs.gov.au/ausstats/abs@.nsf/mf/6306.0/" TargetMode="External"/><Relationship Id="rId46" Type="http://schemas.openxmlformats.org/officeDocument/2006/relationships/hyperlink" Target="https://www.ahuri.edu.au/__data/assets/pdf_file/0016/2239/AHURI_Final_Report_No54_Boarding_houses_and_government_supply_side_intervention.pdf" TargetMode="External"/><Relationship Id="rId59" Type="http://schemas.openxmlformats.org/officeDocument/2006/relationships/hyperlink" Target="https://d1wqtxts1xzle7.cloudfront.net/39652920/Increasing_Incidence_of_Serious_Infectio20151103-22313-1add3pq.pdf?1446593837=&amp;response-content-disposition=inline%3B+filename%3DIncreasing_incidence_of_serious_infectio.pdf&amp;Expires=1598324221&amp;Signature=FSsvC4w0vjChfKAxZhh-eJAXt~g3AeAV3N5OAFruLm7WK143H--onNHgrVTsN9r8Nsg2t-3UA0RSnEbd4uRQWAJNM69Rk-6S5k-U6kGJ2Z-TJfIWIiR6xmlHwLZ2cokboER0fdOI2Sv8FMJPFAaxxT0XBWvwpISVKku5JbeVWtbdivjbmtfQ4bIUJkEa9d~zG3040d7nZd92dyZPbrzc565PniFgv9Zfz8eKYGzY5M8Ko7X5h1BAA310xqLrHUBZCkP6lXS1~Rmxec2hKq5EnMJiVQcIAXHSn6IjpBzEpq7NyzWd91p8ui5BoidfPcw4Bg9SikzLKGyxi4q~C3k1Dw__&amp;Key-Pair-Id=APKAJLOHF5GGSLRBV4ZA" TargetMode="External"/><Relationship Id="rId67" Type="http://schemas.openxmlformats.org/officeDocument/2006/relationships/hyperlink" Target="https://onlinelibrary.wiley.com/doi/full/10.1111/j.1600-0668.2007.00475.x" TargetMode="External"/><Relationship Id="rId20" Type="http://schemas.openxmlformats.org/officeDocument/2006/relationships/hyperlink" Target="https://www.betterhealth.vic.gov.au/health/conditionsandtreatments/mould-and-your-health" TargetMode="External"/><Relationship Id="rId41" Type="http://schemas.openxmlformats.org/officeDocument/2006/relationships/hyperlink" Target="https://www.homedesigndirectory.com.au/calculators/bathroom-cost-estimates.php" TargetMode="External"/><Relationship Id="rId54" Type="http://schemas.openxmlformats.org/officeDocument/2006/relationships/hyperlink" Target="https://www.vic.gov.au/sites/default/files/2019-11/Residential-tenancies-Rooming-house-standards-Regulations-2011-RIS.pdf" TargetMode="External"/><Relationship Id="rId62" Type="http://schemas.openxmlformats.org/officeDocument/2006/relationships/hyperlink" Target="https://www.health.nsw.gov.au/environment/aboriginal/Publications/housing-health.pdf" TargetMode="External"/><Relationship Id="rId70" Type="http://schemas.openxmlformats.org/officeDocument/2006/relationships/hyperlink" Target="https://www.ahuri.edu.au/research/final-reports/4" TargetMode="External"/><Relationship Id="rId75" Type="http://schemas.openxmlformats.org/officeDocument/2006/relationships/hyperlink" Target="https://www.bre.co.uk/filelibrary/pdf/87741-Cost-of-Poor-Housing-Briefing-Paper-v3.pdf" TargetMode="External"/><Relationship Id="rId1" Type="http://schemas.openxmlformats.org/officeDocument/2006/relationships/hyperlink" Target="https://www.who.int/publications/i/item/who-housing-and-health-guidelines" TargetMode="External"/><Relationship Id="rId6" Type="http://schemas.openxmlformats.org/officeDocument/2006/relationships/hyperlink" Target="https://www.vic.gov.au/sites/default/files/2019-11/Residential-tenancies-Rooming-house-standards-Regulations-2011-RIS.pdf" TargetMode="External"/><Relationship Id="rId15" Type="http://schemas.openxmlformats.org/officeDocument/2006/relationships/hyperlink" Target="https://www.tra.gov.au/Economic-analysis/australian-accommodation-monitor" TargetMode="External"/><Relationship Id="rId23" Type="http://schemas.openxmlformats.org/officeDocument/2006/relationships/hyperlink" Target="https://www1.health.gov.au/internet/publications/publishing.nsf/Content/ohp-enhealth-manual-atsi-cnt-l~ohp-enhealth-manual-atsi-cnt-l-ch3~ohp-enhealth-manual-atsi-cnt-l-ch3.2" TargetMode="External"/><Relationship Id="rId28" Type="http://schemas.openxmlformats.org/officeDocument/2006/relationships/hyperlink" Target="https://www.abs.gov.au/AUSSTATS/abs@.nsf/DetailsPage/2049.02016?OpenDocument" TargetMode="External"/><Relationship Id="rId36" Type="http://schemas.openxmlformats.org/officeDocument/2006/relationships/hyperlink" Target="https://www.fwc.gov.au/documents/documents/agreements/fwa/ae504856.pdf" TargetMode="External"/><Relationship Id="rId49" Type="http://schemas.openxmlformats.org/officeDocument/2006/relationships/hyperlink" Target="https://www.abs.gov.au/AUSSTATS/abs@.nsf/DetailsPage/2049.02016?OpenDocument" TargetMode="External"/><Relationship Id="rId57" Type="http://schemas.openxmlformats.org/officeDocument/2006/relationships/hyperlink" Target="https://www.tandfonline.com/doi/full/10.1080/10852352.2016.1197714"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ausdeloitte.sharepoint.com/sites/DHHSprescribedaccommodationRIS/Shared%20Documents/General/Client%20data%20and%20information/Sector%20and%20problem/PSP%20analysis%20of%20all%20Prescribed%20Accommodation%20Data.XLSM"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ausdeloitte.sharepoint.com/sites/DHHSprescribedaccommodationRIS/Shared%20Documents/General/Client%20data%20and%20information/Sector%20and%20problem/PSP%20analysis%20of%20all%20Prescribed%20Accommodation%20Data.XLSM"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ausdeloitte.sharepoint.com/sites/DHHSprescribedaccommodationRIS/Shared%20Documents/General/Client%20data%20and%20information/Sector%20and%20problem/PSP%20analysis%20of%20all%20Prescribed%20Accommodation%20Data.XLSM"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ausdeloitte.sharepoint.com/sites/DHHSprescribedaccommodationRIS/Shared%20Documents/General/Client%20data%20and%20information/Sector%20and%20problem/PSP%20analysis%20of%20all%20Prescribed%20Accommodation%20Data.XLSM"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ausdeloitte.sharepoint.com/sites/DHHSprescribedaccommodationRIS/Shared%20Documents/General/Client%20data%20and%20information/Sector%20and%20problem/PSP%20analysis%20of%20all%20Prescribed%20Accommodation%20Data.XLSM"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21797397195506"/>
          <c:y val="0.14217860140144789"/>
          <c:w val="0.80328238108282113"/>
          <c:h val="0.66555211848518936"/>
        </c:manualLayout>
      </c:layout>
      <c:lineChart>
        <c:grouping val="standard"/>
        <c:varyColors val="0"/>
        <c:ser>
          <c:idx val="0"/>
          <c:order val="0"/>
          <c:tx>
            <c:strRef>
              <c:f>Emerging!$C$7</c:f>
              <c:strCache>
                <c:ptCount val="1"/>
                <c:pt idx="0">
                  <c:v>Number of listings</c:v>
                </c:pt>
              </c:strCache>
            </c:strRef>
          </c:tx>
          <c:spPr>
            <a:ln w="22225" cap="rnd">
              <a:solidFill>
                <a:schemeClr val="tx1"/>
              </a:solidFill>
              <a:round/>
            </a:ln>
            <a:effectLst/>
          </c:spPr>
          <c:marker>
            <c:symbol val="none"/>
          </c:marker>
          <c:val>
            <c:numRef>
              <c:f>Emerging!$C$8:$C$51</c:f>
              <c:numCache>
                <c:formatCode>_-* #,##0_-;\-* #,##0_-;_-* "-"??_-;_-@_-</c:formatCode>
                <c:ptCount val="44"/>
                <c:pt idx="0">
                  <c:v>15085</c:v>
                </c:pt>
                <c:pt idx="1">
                  <c:v>17925</c:v>
                </c:pt>
                <c:pt idx="2">
                  <c:v>18770</c:v>
                </c:pt>
                <c:pt idx="3">
                  <c:v>20020</c:v>
                </c:pt>
                <c:pt idx="4">
                  <c:v>20364</c:v>
                </c:pt>
                <c:pt idx="5">
                  <c:v>22763</c:v>
                </c:pt>
                <c:pt idx="6">
                  <c:v>23881</c:v>
                </c:pt>
                <c:pt idx="7">
                  <c:v>20623</c:v>
                </c:pt>
                <c:pt idx="8">
                  <c:v>22531</c:v>
                </c:pt>
                <c:pt idx="9">
                  <c:v>22244</c:v>
                </c:pt>
                <c:pt idx="10">
                  <c:v>23930</c:v>
                </c:pt>
                <c:pt idx="11">
                  <c:v>25233</c:v>
                </c:pt>
                <c:pt idx="12">
                  <c:v>25905</c:v>
                </c:pt>
                <c:pt idx="13">
                  <c:v>25576</c:v>
                </c:pt>
                <c:pt idx="14">
                  <c:v>26254</c:v>
                </c:pt>
                <c:pt idx="15">
                  <c:v>27607</c:v>
                </c:pt>
                <c:pt idx="16">
                  <c:v>28323</c:v>
                </c:pt>
                <c:pt idx="17">
                  <c:v>32292</c:v>
                </c:pt>
                <c:pt idx="18">
                  <c:v>32557</c:v>
                </c:pt>
                <c:pt idx="19">
                  <c:v>30145</c:v>
                </c:pt>
                <c:pt idx="20">
                  <c:v>31397</c:v>
                </c:pt>
                <c:pt idx="21">
                  <c:v>31091</c:v>
                </c:pt>
                <c:pt idx="22">
                  <c:v>29685</c:v>
                </c:pt>
                <c:pt idx="23">
                  <c:v>30941</c:v>
                </c:pt>
                <c:pt idx="24">
                  <c:v>31337</c:v>
                </c:pt>
                <c:pt idx="25">
                  <c:v>30939</c:v>
                </c:pt>
                <c:pt idx="26">
                  <c:v>31764</c:v>
                </c:pt>
                <c:pt idx="27">
                  <c:v>31880</c:v>
                </c:pt>
                <c:pt idx="28">
                  <c:v>31941</c:v>
                </c:pt>
                <c:pt idx="29">
                  <c:v>36099</c:v>
                </c:pt>
                <c:pt idx="30">
                  <c:v>36814</c:v>
                </c:pt>
                <c:pt idx="31">
                  <c:v>33324</c:v>
                </c:pt>
              </c:numCache>
            </c:numRef>
          </c:val>
          <c:smooth val="0"/>
          <c:extLst>
            <c:ext xmlns:c16="http://schemas.microsoft.com/office/drawing/2014/chart" uri="{C3380CC4-5D6E-409C-BE32-E72D297353CC}">
              <c16:uniqueId val="{00000000-45E2-4CC0-B8EA-2C6E2E773723}"/>
            </c:ext>
          </c:extLst>
        </c:ser>
        <c:ser>
          <c:idx val="1"/>
          <c:order val="1"/>
          <c:tx>
            <c:strRef>
              <c:f>Emerging!$D$7</c:f>
              <c:strCache>
                <c:ptCount val="1"/>
                <c:pt idx="0">
                  <c:v>Forecast</c:v>
                </c:pt>
              </c:strCache>
            </c:strRef>
          </c:tx>
          <c:spPr>
            <a:ln w="22225" cap="rnd">
              <a:solidFill>
                <a:schemeClr val="accent1"/>
              </a:solidFill>
              <a:round/>
            </a:ln>
            <a:effectLst/>
          </c:spPr>
          <c:marker>
            <c:symbol val="none"/>
          </c:marker>
          <c:cat>
            <c:numRef>
              <c:f>Emerging!$B$8:$B$51</c:f>
              <c:numCache>
                <c:formatCode>mmm\-yy</c:formatCode>
                <c:ptCount val="44"/>
                <c:pt idx="0">
                  <c:v>42552</c:v>
                </c:pt>
                <c:pt idx="1">
                  <c:v>42583</c:v>
                </c:pt>
                <c:pt idx="2">
                  <c:v>42614</c:v>
                </c:pt>
                <c:pt idx="3">
                  <c:v>42644</c:v>
                </c:pt>
                <c:pt idx="4">
                  <c:v>42675</c:v>
                </c:pt>
                <c:pt idx="5">
                  <c:v>42705</c:v>
                </c:pt>
                <c:pt idx="6">
                  <c:v>42736</c:v>
                </c:pt>
                <c:pt idx="7">
                  <c:v>42767</c:v>
                </c:pt>
                <c:pt idx="8">
                  <c:v>42795</c:v>
                </c:pt>
                <c:pt idx="9">
                  <c:v>42826</c:v>
                </c:pt>
                <c:pt idx="10">
                  <c:v>42856</c:v>
                </c:pt>
                <c:pt idx="11">
                  <c:v>42887</c:v>
                </c:pt>
                <c:pt idx="12">
                  <c:v>42917</c:v>
                </c:pt>
                <c:pt idx="13">
                  <c:v>42948</c:v>
                </c:pt>
                <c:pt idx="14">
                  <c:v>42979</c:v>
                </c:pt>
                <c:pt idx="15">
                  <c:v>43009</c:v>
                </c:pt>
                <c:pt idx="16">
                  <c:v>43040</c:v>
                </c:pt>
                <c:pt idx="17">
                  <c:v>43070</c:v>
                </c:pt>
                <c:pt idx="18">
                  <c:v>43101</c:v>
                </c:pt>
                <c:pt idx="19">
                  <c:v>43132</c:v>
                </c:pt>
                <c:pt idx="20">
                  <c:v>43160</c:v>
                </c:pt>
                <c:pt idx="21">
                  <c:v>43191</c:v>
                </c:pt>
                <c:pt idx="22">
                  <c:v>43221</c:v>
                </c:pt>
                <c:pt idx="23">
                  <c:v>43252</c:v>
                </c:pt>
                <c:pt idx="24">
                  <c:v>43282</c:v>
                </c:pt>
                <c:pt idx="25">
                  <c:v>43313</c:v>
                </c:pt>
                <c:pt idx="26">
                  <c:v>43344</c:v>
                </c:pt>
                <c:pt idx="27">
                  <c:v>43374</c:v>
                </c:pt>
                <c:pt idx="28">
                  <c:v>43405</c:v>
                </c:pt>
                <c:pt idx="29">
                  <c:v>43435</c:v>
                </c:pt>
                <c:pt idx="30">
                  <c:v>43466</c:v>
                </c:pt>
                <c:pt idx="31">
                  <c:v>43497</c:v>
                </c:pt>
                <c:pt idx="32">
                  <c:v>43525</c:v>
                </c:pt>
                <c:pt idx="33">
                  <c:v>43556</c:v>
                </c:pt>
                <c:pt idx="34">
                  <c:v>43586</c:v>
                </c:pt>
                <c:pt idx="35">
                  <c:v>43617</c:v>
                </c:pt>
                <c:pt idx="36">
                  <c:v>43647</c:v>
                </c:pt>
                <c:pt idx="37">
                  <c:v>43678</c:v>
                </c:pt>
                <c:pt idx="38">
                  <c:v>43709</c:v>
                </c:pt>
                <c:pt idx="39">
                  <c:v>43739</c:v>
                </c:pt>
                <c:pt idx="40">
                  <c:v>43770</c:v>
                </c:pt>
                <c:pt idx="41">
                  <c:v>43800</c:v>
                </c:pt>
                <c:pt idx="42">
                  <c:v>43831</c:v>
                </c:pt>
                <c:pt idx="43">
                  <c:v>43862</c:v>
                </c:pt>
              </c:numCache>
            </c:numRef>
          </c:cat>
          <c:val>
            <c:numRef>
              <c:f>Emerging!$D$8:$D$51</c:f>
              <c:numCache>
                <c:formatCode>General</c:formatCode>
                <c:ptCount val="44"/>
                <c:pt idx="31" formatCode="_-* #,##0_-;\-* #,##0_-;_-* &quot;-&quot;??_-;_-@_-">
                  <c:v>33324</c:v>
                </c:pt>
                <c:pt idx="32" formatCode="_-* #,##0_-;\-* #,##0_-;_-* &quot;-&quot;??_-;_-@_-">
                  <c:v>35066.886704717544</c:v>
                </c:pt>
                <c:pt idx="33" formatCode="_-* #,##0_-;\-* #,##0_-;_-* &quot;-&quot;??_-;_-@_-">
                  <c:v>34813.068043039886</c:v>
                </c:pt>
                <c:pt idx="34" formatCode="_-* #,##0_-;\-* #,##0_-;_-* &quot;-&quot;??_-;_-@_-">
                  <c:v>35009.415189686857</c:v>
                </c:pt>
                <c:pt idx="35" formatCode="_-* #,##0_-;\-* #,##0_-;_-* &quot;-&quot;??_-;_-@_-">
                  <c:v>36636.942218552191</c:v>
                </c:pt>
                <c:pt idx="36" formatCode="_-* #,##0_-;\-* #,##0_-;_-* &quot;-&quot;??_-;_-@_-">
                  <c:v>37326.601249678417</c:v>
                </c:pt>
                <c:pt idx="37" formatCode="_-* #,##0_-;\-* #,##0_-;_-* &quot;-&quot;??_-;_-@_-">
                  <c:v>37028.074718328855</c:v>
                </c:pt>
                <c:pt idx="38" formatCode="_-* #,##0_-;\-* #,##0_-;_-* &quot;-&quot;??_-;_-@_-">
                  <c:v>37694.507678363552</c:v>
                </c:pt>
                <c:pt idx="39" formatCode="_-* #,##0_-;\-* #,##0_-;_-* &quot;-&quot;??_-;_-@_-">
                  <c:v>39035.653211785917</c:v>
                </c:pt>
                <c:pt idx="40" formatCode="_-* #,##0_-;\-* #,##0_-;_-* &quot;-&quot;??_-;_-@_-">
                  <c:v>39741.698320287716</c:v>
                </c:pt>
                <c:pt idx="41" formatCode="_-* #,##0_-;\-* #,##0_-;_-* &quot;-&quot;??_-;_-@_-">
                  <c:v>42253.042120158963</c:v>
                </c:pt>
                <c:pt idx="42" formatCode="_-* #,##0_-;\-* #,##0_-;_-* &quot;-&quot;??_-;_-@_-">
                  <c:v>42961.088899912116</c:v>
                </c:pt>
                <c:pt idx="43" formatCode="_-* #,##0_-;\-* #,##0_-;_-* &quot;-&quot;??_-;_-@_-">
                  <c:v>40144.932627780057</c:v>
                </c:pt>
              </c:numCache>
            </c:numRef>
          </c:val>
          <c:smooth val="0"/>
          <c:extLst>
            <c:ext xmlns:c16="http://schemas.microsoft.com/office/drawing/2014/chart" uri="{C3380CC4-5D6E-409C-BE32-E72D297353CC}">
              <c16:uniqueId val="{00000001-45E2-4CC0-B8EA-2C6E2E773723}"/>
            </c:ext>
          </c:extLst>
        </c:ser>
        <c:ser>
          <c:idx val="2"/>
          <c:order val="2"/>
          <c:tx>
            <c:strRef>
              <c:f>Emerging!$E$7</c:f>
              <c:strCache>
                <c:ptCount val="1"/>
                <c:pt idx="0">
                  <c:v>Lower Confidence Bound</c:v>
                </c:pt>
              </c:strCache>
            </c:strRef>
          </c:tx>
          <c:spPr>
            <a:ln w="12700" cap="rnd">
              <a:solidFill>
                <a:schemeClr val="accent4"/>
              </a:solidFill>
              <a:prstDash val="dash"/>
              <a:round/>
            </a:ln>
            <a:effectLst/>
          </c:spPr>
          <c:marker>
            <c:symbol val="none"/>
          </c:marker>
          <c:cat>
            <c:numRef>
              <c:f>Emerging!$B$8:$B$51</c:f>
              <c:numCache>
                <c:formatCode>mmm\-yy</c:formatCode>
                <c:ptCount val="44"/>
                <c:pt idx="0">
                  <c:v>42552</c:v>
                </c:pt>
                <c:pt idx="1">
                  <c:v>42583</c:v>
                </c:pt>
                <c:pt idx="2">
                  <c:v>42614</c:v>
                </c:pt>
                <c:pt idx="3">
                  <c:v>42644</c:v>
                </c:pt>
                <c:pt idx="4">
                  <c:v>42675</c:v>
                </c:pt>
                <c:pt idx="5">
                  <c:v>42705</c:v>
                </c:pt>
                <c:pt idx="6">
                  <c:v>42736</c:v>
                </c:pt>
                <c:pt idx="7">
                  <c:v>42767</c:v>
                </c:pt>
                <c:pt idx="8">
                  <c:v>42795</c:v>
                </c:pt>
                <c:pt idx="9">
                  <c:v>42826</c:v>
                </c:pt>
                <c:pt idx="10">
                  <c:v>42856</c:v>
                </c:pt>
                <c:pt idx="11">
                  <c:v>42887</c:v>
                </c:pt>
                <c:pt idx="12">
                  <c:v>42917</c:v>
                </c:pt>
                <c:pt idx="13">
                  <c:v>42948</c:v>
                </c:pt>
                <c:pt idx="14">
                  <c:v>42979</c:v>
                </c:pt>
                <c:pt idx="15">
                  <c:v>43009</c:v>
                </c:pt>
                <c:pt idx="16">
                  <c:v>43040</c:v>
                </c:pt>
                <c:pt idx="17">
                  <c:v>43070</c:v>
                </c:pt>
                <c:pt idx="18">
                  <c:v>43101</c:v>
                </c:pt>
                <c:pt idx="19">
                  <c:v>43132</c:v>
                </c:pt>
                <c:pt idx="20">
                  <c:v>43160</c:v>
                </c:pt>
                <c:pt idx="21">
                  <c:v>43191</c:v>
                </c:pt>
                <c:pt idx="22">
                  <c:v>43221</c:v>
                </c:pt>
                <c:pt idx="23">
                  <c:v>43252</c:v>
                </c:pt>
                <c:pt idx="24">
                  <c:v>43282</c:v>
                </c:pt>
                <c:pt idx="25">
                  <c:v>43313</c:v>
                </c:pt>
                <c:pt idx="26">
                  <c:v>43344</c:v>
                </c:pt>
                <c:pt idx="27">
                  <c:v>43374</c:v>
                </c:pt>
                <c:pt idx="28">
                  <c:v>43405</c:v>
                </c:pt>
                <c:pt idx="29">
                  <c:v>43435</c:v>
                </c:pt>
                <c:pt idx="30">
                  <c:v>43466</c:v>
                </c:pt>
                <c:pt idx="31">
                  <c:v>43497</c:v>
                </c:pt>
                <c:pt idx="32">
                  <c:v>43525</c:v>
                </c:pt>
                <c:pt idx="33">
                  <c:v>43556</c:v>
                </c:pt>
                <c:pt idx="34">
                  <c:v>43586</c:v>
                </c:pt>
                <c:pt idx="35">
                  <c:v>43617</c:v>
                </c:pt>
                <c:pt idx="36">
                  <c:v>43647</c:v>
                </c:pt>
                <c:pt idx="37">
                  <c:v>43678</c:v>
                </c:pt>
                <c:pt idx="38">
                  <c:v>43709</c:v>
                </c:pt>
                <c:pt idx="39">
                  <c:v>43739</c:v>
                </c:pt>
                <c:pt idx="40">
                  <c:v>43770</c:v>
                </c:pt>
                <c:pt idx="41">
                  <c:v>43800</c:v>
                </c:pt>
                <c:pt idx="42">
                  <c:v>43831</c:v>
                </c:pt>
                <c:pt idx="43">
                  <c:v>43862</c:v>
                </c:pt>
              </c:numCache>
            </c:numRef>
          </c:cat>
          <c:val>
            <c:numRef>
              <c:f>Emerging!$E$8:$E$51</c:f>
              <c:numCache>
                <c:formatCode>General</c:formatCode>
                <c:ptCount val="44"/>
                <c:pt idx="31" formatCode="_-* #,##0_-;\-* #,##0_-;_-* &quot;-&quot;??_-;_-@_-">
                  <c:v>33324</c:v>
                </c:pt>
                <c:pt idx="32" formatCode="_-* #,##0_-;\-* #,##0_-;_-* &quot;-&quot;??_-;_-@_-">
                  <c:v>33359.605880836258</c:v>
                </c:pt>
                <c:pt idx="33" formatCode="_-* #,##0_-;\-* #,##0_-;_-* &quot;-&quot;??_-;_-@_-">
                  <c:v>32676.916529621492</c:v>
                </c:pt>
                <c:pt idx="34" formatCode="_-* #,##0_-;\-* #,##0_-;_-* &quot;-&quot;??_-;_-@_-">
                  <c:v>32516.251426368632</c:v>
                </c:pt>
                <c:pt idx="35" formatCode="_-* #,##0_-;\-* #,##0_-;_-* &quot;-&quot;??_-;_-@_-">
                  <c:v>33831.059036996237</c:v>
                </c:pt>
                <c:pt idx="36" formatCode="_-* #,##0_-;\-* #,##0_-;_-* &quot;-&quot;??_-;_-@_-">
                  <c:v>34238.803692949397</c:v>
                </c:pt>
                <c:pt idx="37" formatCode="_-* #,##0_-;\-* #,##0_-;_-* &quot;-&quot;??_-;_-@_-">
                  <c:v>33681.3731557828</c:v>
                </c:pt>
                <c:pt idx="38" formatCode="_-* #,##0_-;\-* #,##0_-;_-* &quot;-&quot;??_-;_-@_-">
                  <c:v>34106.926452750173</c:v>
                </c:pt>
                <c:pt idx="39" formatCode="_-* #,##0_-;\-* #,##0_-;_-* &quot;-&quot;??_-;_-@_-">
                  <c:v>35221.799165570512</c:v>
                </c:pt>
                <c:pt idx="40" formatCode="_-* #,##0_-;\-* #,##0_-;_-* &quot;-&quot;??_-;_-@_-">
                  <c:v>35713.715191630923</c:v>
                </c:pt>
                <c:pt idx="41" formatCode="_-* #,##0_-;\-* #,##0_-;_-* &quot;-&quot;??_-;_-@_-">
                  <c:v>38021.229142637421</c:v>
                </c:pt>
                <c:pt idx="42" formatCode="_-* #,##0_-;\-* #,##0_-;_-* &quot;-&quot;??_-;_-@_-">
                  <c:v>38534.321739627179</c:v>
                </c:pt>
                <c:pt idx="43" formatCode="_-* #,##0_-;\-* #,##0_-;_-* &quot;-&quot;??_-;_-@_-">
                  <c:v>35530.961110926968</c:v>
                </c:pt>
              </c:numCache>
            </c:numRef>
          </c:val>
          <c:smooth val="0"/>
          <c:extLst>
            <c:ext xmlns:c16="http://schemas.microsoft.com/office/drawing/2014/chart" uri="{C3380CC4-5D6E-409C-BE32-E72D297353CC}">
              <c16:uniqueId val="{00000002-45E2-4CC0-B8EA-2C6E2E773723}"/>
            </c:ext>
          </c:extLst>
        </c:ser>
        <c:ser>
          <c:idx val="3"/>
          <c:order val="3"/>
          <c:tx>
            <c:strRef>
              <c:f>Emerging!$F$7</c:f>
              <c:strCache>
                <c:ptCount val="1"/>
                <c:pt idx="0">
                  <c:v>Upper Confidence Bound</c:v>
                </c:pt>
              </c:strCache>
            </c:strRef>
          </c:tx>
          <c:spPr>
            <a:ln w="12700" cap="rnd">
              <a:solidFill>
                <a:schemeClr val="accent2"/>
              </a:solidFill>
              <a:prstDash val="dash"/>
              <a:round/>
            </a:ln>
            <a:effectLst/>
          </c:spPr>
          <c:marker>
            <c:symbol val="none"/>
          </c:marker>
          <c:cat>
            <c:numRef>
              <c:f>Emerging!$B$8:$B$51</c:f>
              <c:numCache>
                <c:formatCode>mmm\-yy</c:formatCode>
                <c:ptCount val="44"/>
                <c:pt idx="0">
                  <c:v>42552</c:v>
                </c:pt>
                <c:pt idx="1">
                  <c:v>42583</c:v>
                </c:pt>
                <c:pt idx="2">
                  <c:v>42614</c:v>
                </c:pt>
                <c:pt idx="3">
                  <c:v>42644</c:v>
                </c:pt>
                <c:pt idx="4">
                  <c:v>42675</c:v>
                </c:pt>
                <c:pt idx="5">
                  <c:v>42705</c:v>
                </c:pt>
                <c:pt idx="6">
                  <c:v>42736</c:v>
                </c:pt>
                <c:pt idx="7">
                  <c:v>42767</c:v>
                </c:pt>
                <c:pt idx="8">
                  <c:v>42795</c:v>
                </c:pt>
                <c:pt idx="9">
                  <c:v>42826</c:v>
                </c:pt>
                <c:pt idx="10">
                  <c:v>42856</c:v>
                </c:pt>
                <c:pt idx="11">
                  <c:v>42887</c:v>
                </c:pt>
                <c:pt idx="12">
                  <c:v>42917</c:v>
                </c:pt>
                <c:pt idx="13">
                  <c:v>42948</c:v>
                </c:pt>
                <c:pt idx="14">
                  <c:v>42979</c:v>
                </c:pt>
                <c:pt idx="15">
                  <c:v>43009</c:v>
                </c:pt>
                <c:pt idx="16">
                  <c:v>43040</c:v>
                </c:pt>
                <c:pt idx="17">
                  <c:v>43070</c:v>
                </c:pt>
                <c:pt idx="18">
                  <c:v>43101</c:v>
                </c:pt>
                <c:pt idx="19">
                  <c:v>43132</c:v>
                </c:pt>
                <c:pt idx="20">
                  <c:v>43160</c:v>
                </c:pt>
                <c:pt idx="21">
                  <c:v>43191</c:v>
                </c:pt>
                <c:pt idx="22">
                  <c:v>43221</c:v>
                </c:pt>
                <c:pt idx="23">
                  <c:v>43252</c:v>
                </c:pt>
                <c:pt idx="24">
                  <c:v>43282</c:v>
                </c:pt>
                <c:pt idx="25">
                  <c:v>43313</c:v>
                </c:pt>
                <c:pt idx="26">
                  <c:v>43344</c:v>
                </c:pt>
                <c:pt idx="27">
                  <c:v>43374</c:v>
                </c:pt>
                <c:pt idx="28">
                  <c:v>43405</c:v>
                </c:pt>
                <c:pt idx="29">
                  <c:v>43435</c:v>
                </c:pt>
                <c:pt idx="30">
                  <c:v>43466</c:v>
                </c:pt>
                <c:pt idx="31">
                  <c:v>43497</c:v>
                </c:pt>
                <c:pt idx="32">
                  <c:v>43525</c:v>
                </c:pt>
                <c:pt idx="33">
                  <c:v>43556</c:v>
                </c:pt>
                <c:pt idx="34">
                  <c:v>43586</c:v>
                </c:pt>
                <c:pt idx="35">
                  <c:v>43617</c:v>
                </c:pt>
                <c:pt idx="36">
                  <c:v>43647</c:v>
                </c:pt>
                <c:pt idx="37">
                  <c:v>43678</c:v>
                </c:pt>
                <c:pt idx="38">
                  <c:v>43709</c:v>
                </c:pt>
                <c:pt idx="39">
                  <c:v>43739</c:v>
                </c:pt>
                <c:pt idx="40">
                  <c:v>43770</c:v>
                </c:pt>
                <c:pt idx="41">
                  <c:v>43800</c:v>
                </c:pt>
                <c:pt idx="42">
                  <c:v>43831</c:v>
                </c:pt>
                <c:pt idx="43">
                  <c:v>43862</c:v>
                </c:pt>
              </c:numCache>
            </c:numRef>
          </c:cat>
          <c:val>
            <c:numRef>
              <c:f>Emerging!$F$8:$F$51</c:f>
              <c:numCache>
                <c:formatCode>General</c:formatCode>
                <c:ptCount val="44"/>
                <c:pt idx="31" formatCode="_-* #,##0_-;\-* #,##0_-;_-* &quot;-&quot;??_-;_-@_-">
                  <c:v>33324</c:v>
                </c:pt>
                <c:pt idx="32" formatCode="_-* #,##0_-;\-* #,##0_-;_-* &quot;-&quot;??_-;_-@_-">
                  <c:v>36774.167528598831</c:v>
                </c:pt>
                <c:pt idx="33" formatCode="_-* #,##0_-;\-* #,##0_-;_-* &quot;-&quot;??_-;_-@_-">
                  <c:v>36949.21955645828</c:v>
                </c:pt>
                <c:pt idx="34" formatCode="_-* #,##0_-;\-* #,##0_-;_-* &quot;-&quot;??_-;_-@_-">
                  <c:v>37502.578953005082</c:v>
                </c:pt>
                <c:pt idx="35" formatCode="_-* #,##0_-;\-* #,##0_-;_-* &quot;-&quot;??_-;_-@_-">
                  <c:v>39442.825400108144</c:v>
                </c:pt>
                <c:pt idx="36" formatCode="_-* #,##0_-;\-* #,##0_-;_-* &quot;-&quot;??_-;_-@_-">
                  <c:v>40414.398806407436</c:v>
                </c:pt>
                <c:pt idx="37" formatCode="_-* #,##0_-;\-* #,##0_-;_-* &quot;-&quot;??_-;_-@_-">
                  <c:v>40374.77628087491</c:v>
                </c:pt>
                <c:pt idx="38" formatCode="_-* #,##0_-;\-* #,##0_-;_-* &quot;-&quot;??_-;_-@_-">
                  <c:v>41282.088903976932</c:v>
                </c:pt>
                <c:pt idx="39" formatCode="_-* #,##0_-;\-* #,##0_-;_-* &quot;-&quot;??_-;_-@_-">
                  <c:v>42849.507258001322</c:v>
                </c:pt>
                <c:pt idx="40" formatCode="_-* #,##0_-;\-* #,##0_-;_-* &quot;-&quot;??_-;_-@_-">
                  <c:v>43769.68144894451</c:v>
                </c:pt>
                <c:pt idx="41" formatCode="_-* #,##0_-;\-* #,##0_-;_-* &quot;-&quot;??_-;_-@_-">
                  <c:v>46484.855097680505</c:v>
                </c:pt>
                <c:pt idx="42" formatCode="_-* #,##0_-;\-* #,##0_-;_-* &quot;-&quot;??_-;_-@_-">
                  <c:v>47387.856060197053</c:v>
                </c:pt>
                <c:pt idx="43" formatCode="_-* #,##0_-;\-* #,##0_-;_-* &quot;-&quot;??_-;_-@_-">
                  <c:v>44758.904144633147</c:v>
                </c:pt>
              </c:numCache>
            </c:numRef>
          </c:val>
          <c:smooth val="0"/>
          <c:extLst>
            <c:ext xmlns:c16="http://schemas.microsoft.com/office/drawing/2014/chart" uri="{C3380CC4-5D6E-409C-BE32-E72D297353CC}">
              <c16:uniqueId val="{00000003-45E2-4CC0-B8EA-2C6E2E773723}"/>
            </c:ext>
          </c:extLst>
        </c:ser>
        <c:dLbls>
          <c:showLegendKey val="0"/>
          <c:showVal val="0"/>
          <c:showCatName val="0"/>
          <c:showSerName val="0"/>
          <c:showPercent val="0"/>
          <c:showBubbleSize val="0"/>
        </c:dLbls>
        <c:smooth val="0"/>
        <c:axId val="601787736"/>
        <c:axId val="601784784"/>
      </c:lineChart>
      <c:catAx>
        <c:axId val="601787736"/>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solidFill>
                    <a:latin typeface="+mj-lt"/>
                    <a:ea typeface="+mn-ea"/>
                    <a:cs typeface="Arial" panose="020B0604020202020204" pitchFamily="34" charset="0"/>
                  </a:defRPr>
                </a:pPr>
                <a:r>
                  <a:rPr lang="en-AU" sz="800">
                    <a:solidFill>
                      <a:schemeClr val="tx1"/>
                    </a:solidFill>
                    <a:latin typeface="+mj-lt"/>
                  </a:rPr>
                  <a:t>Date</a:t>
                </a:r>
              </a:p>
            </c:rich>
          </c:tx>
          <c:layout>
            <c:manualLayout>
              <c:xMode val="edge"/>
              <c:yMode val="edge"/>
              <c:x val="6.1455707134769021E-2"/>
              <c:y val="0.8487911224872168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j-lt"/>
                  <a:ea typeface="+mn-ea"/>
                  <a:cs typeface="Arial" panose="020B0604020202020204" pitchFamily="34" charset="0"/>
                </a:defRPr>
              </a:pPr>
              <a:endParaRPr lang="en-US"/>
            </a:p>
          </c:txPr>
        </c:title>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Arial" panose="020B0604020202020204" pitchFamily="34" charset="0"/>
              </a:defRPr>
            </a:pPr>
            <a:endParaRPr lang="en-US"/>
          </a:p>
        </c:txPr>
        <c:crossAx val="601784784"/>
        <c:crosses val="autoZero"/>
        <c:auto val="1"/>
        <c:lblAlgn val="ctr"/>
        <c:lblOffset val="100"/>
        <c:noMultiLvlLbl val="0"/>
      </c:catAx>
      <c:valAx>
        <c:axId val="601784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solidFill>
                    <a:latin typeface="+mj-lt"/>
                    <a:ea typeface="+mn-ea"/>
                    <a:cs typeface="Arial" panose="020B0604020202020204" pitchFamily="34" charset="0"/>
                  </a:defRPr>
                </a:pPr>
                <a:r>
                  <a:rPr lang="en-AU" sz="800">
                    <a:solidFill>
                      <a:schemeClr val="tx1"/>
                    </a:solidFill>
                    <a:latin typeface="+mj-lt"/>
                  </a:rPr>
                  <a:t>Number</a:t>
                </a:r>
                <a:r>
                  <a:rPr lang="en-AU" sz="800" baseline="0">
                    <a:solidFill>
                      <a:schemeClr val="tx1"/>
                    </a:solidFill>
                    <a:latin typeface="+mj-lt"/>
                  </a:rPr>
                  <a:t> of listings</a:t>
                </a:r>
                <a:endParaRPr lang="en-AU" sz="800">
                  <a:solidFill>
                    <a:schemeClr val="tx1"/>
                  </a:solidFill>
                  <a:latin typeface="+mj-lt"/>
                </a:endParaRPr>
              </a:p>
            </c:rich>
          </c:tx>
          <c:layout>
            <c:manualLayout>
              <c:xMode val="edge"/>
              <c:yMode val="edge"/>
              <c:x val="1.4319809069212411E-2"/>
              <c:y val="0.34380804475565119"/>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solidFill>
                  <a:latin typeface="+mj-lt"/>
                  <a:ea typeface="+mn-ea"/>
                  <a:cs typeface="Arial" panose="020B0604020202020204" pitchFamily="34" charset="0"/>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j-lt"/>
                <a:ea typeface="+mn-ea"/>
                <a:cs typeface="Arial" panose="020B0604020202020204" pitchFamily="34" charset="0"/>
              </a:defRPr>
            </a:pPr>
            <a:endParaRPr lang="en-US"/>
          </a:p>
        </c:txPr>
        <c:crossAx val="601787736"/>
        <c:crosses val="autoZero"/>
        <c:crossBetween val="between"/>
      </c:valAx>
      <c:spPr>
        <a:noFill/>
        <a:ln>
          <a:noFill/>
        </a:ln>
        <a:effectLst/>
      </c:spPr>
    </c:plotArea>
    <c:legend>
      <c:legendPos val="t"/>
      <c:layout>
        <c:manualLayout>
          <c:xMode val="edge"/>
          <c:yMode val="edge"/>
          <c:x val="0.21116436910133005"/>
          <c:y val="2.8149190710767064E-2"/>
          <c:w val="0.69021660276576646"/>
          <c:h val="0.1161409011065735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21797397195506"/>
          <c:y val="0.14217860140144789"/>
          <c:w val="0.80328238108282113"/>
          <c:h val="0.66555211848518936"/>
        </c:manualLayout>
      </c:layout>
      <c:lineChart>
        <c:grouping val="standard"/>
        <c:varyColors val="0"/>
        <c:ser>
          <c:idx val="0"/>
          <c:order val="0"/>
          <c:tx>
            <c:strRef>
              <c:f>Emerging!$C$7</c:f>
              <c:strCache>
                <c:ptCount val="1"/>
                <c:pt idx="0">
                  <c:v>Number of listings</c:v>
                </c:pt>
              </c:strCache>
            </c:strRef>
          </c:tx>
          <c:spPr>
            <a:ln w="22225" cap="rnd">
              <a:solidFill>
                <a:schemeClr val="tx1"/>
              </a:solidFill>
              <a:round/>
            </a:ln>
            <a:effectLst/>
          </c:spPr>
          <c:marker>
            <c:symbol val="none"/>
          </c:marker>
          <c:val>
            <c:numRef>
              <c:f>Emerging!$C$8:$C$51</c:f>
              <c:numCache>
                <c:formatCode>_-* #,##0_-;\-* #,##0_-;_-* "-"??_-;_-@_-</c:formatCode>
                <c:ptCount val="44"/>
                <c:pt idx="0">
                  <c:v>15085</c:v>
                </c:pt>
                <c:pt idx="1">
                  <c:v>17925</c:v>
                </c:pt>
                <c:pt idx="2">
                  <c:v>18770</c:v>
                </c:pt>
                <c:pt idx="3">
                  <c:v>20020</c:v>
                </c:pt>
                <c:pt idx="4">
                  <c:v>20364</c:v>
                </c:pt>
                <c:pt idx="5">
                  <c:v>22763</c:v>
                </c:pt>
                <c:pt idx="6">
                  <c:v>23881</c:v>
                </c:pt>
                <c:pt idx="7">
                  <c:v>20623</c:v>
                </c:pt>
                <c:pt idx="8">
                  <c:v>22531</c:v>
                </c:pt>
                <c:pt idx="9">
                  <c:v>22244</c:v>
                </c:pt>
                <c:pt idx="10">
                  <c:v>23930</c:v>
                </c:pt>
                <c:pt idx="11">
                  <c:v>25233</c:v>
                </c:pt>
                <c:pt idx="12">
                  <c:v>25905</c:v>
                </c:pt>
                <c:pt idx="13">
                  <c:v>25576</c:v>
                </c:pt>
                <c:pt idx="14">
                  <c:v>26254</c:v>
                </c:pt>
                <c:pt idx="15">
                  <c:v>27607</c:v>
                </c:pt>
                <c:pt idx="16">
                  <c:v>28323</c:v>
                </c:pt>
                <c:pt idx="17">
                  <c:v>32292</c:v>
                </c:pt>
                <c:pt idx="18">
                  <c:v>32557</c:v>
                </c:pt>
                <c:pt idx="19">
                  <c:v>30145</c:v>
                </c:pt>
                <c:pt idx="20">
                  <c:v>31397</c:v>
                </c:pt>
                <c:pt idx="21">
                  <c:v>31091</c:v>
                </c:pt>
                <c:pt idx="22">
                  <c:v>29685</c:v>
                </c:pt>
                <c:pt idx="23">
                  <c:v>30941</c:v>
                </c:pt>
                <c:pt idx="24">
                  <c:v>31337</c:v>
                </c:pt>
                <c:pt idx="25">
                  <c:v>30939</c:v>
                </c:pt>
                <c:pt idx="26">
                  <c:v>31764</c:v>
                </c:pt>
                <c:pt idx="27">
                  <c:v>31880</c:v>
                </c:pt>
                <c:pt idx="28">
                  <c:v>31941</c:v>
                </c:pt>
                <c:pt idx="29">
                  <c:v>36099</c:v>
                </c:pt>
                <c:pt idx="30">
                  <c:v>36814</c:v>
                </c:pt>
                <c:pt idx="31">
                  <c:v>33324</c:v>
                </c:pt>
              </c:numCache>
            </c:numRef>
          </c:val>
          <c:smooth val="0"/>
          <c:extLst>
            <c:ext xmlns:c16="http://schemas.microsoft.com/office/drawing/2014/chart" uri="{C3380CC4-5D6E-409C-BE32-E72D297353CC}">
              <c16:uniqueId val="{00000000-45E2-4CC0-B8EA-2C6E2E773723}"/>
            </c:ext>
          </c:extLst>
        </c:ser>
        <c:ser>
          <c:idx val="1"/>
          <c:order val="1"/>
          <c:tx>
            <c:strRef>
              <c:f>Emerging!$D$7</c:f>
              <c:strCache>
                <c:ptCount val="1"/>
                <c:pt idx="0">
                  <c:v>Forecast</c:v>
                </c:pt>
              </c:strCache>
            </c:strRef>
          </c:tx>
          <c:spPr>
            <a:ln w="22225" cap="rnd">
              <a:solidFill>
                <a:schemeClr val="accent1"/>
              </a:solidFill>
              <a:round/>
            </a:ln>
            <a:effectLst/>
          </c:spPr>
          <c:marker>
            <c:symbol val="none"/>
          </c:marker>
          <c:cat>
            <c:numRef>
              <c:f>Emerging!$B$8:$B$51</c:f>
              <c:numCache>
                <c:formatCode>mmm\-yy</c:formatCode>
                <c:ptCount val="44"/>
                <c:pt idx="0">
                  <c:v>42552</c:v>
                </c:pt>
                <c:pt idx="1">
                  <c:v>42583</c:v>
                </c:pt>
                <c:pt idx="2">
                  <c:v>42614</c:v>
                </c:pt>
                <c:pt idx="3">
                  <c:v>42644</c:v>
                </c:pt>
                <c:pt idx="4">
                  <c:v>42675</c:v>
                </c:pt>
                <c:pt idx="5">
                  <c:v>42705</c:v>
                </c:pt>
                <c:pt idx="6">
                  <c:v>42736</c:v>
                </c:pt>
                <c:pt idx="7">
                  <c:v>42767</c:v>
                </c:pt>
                <c:pt idx="8">
                  <c:v>42795</c:v>
                </c:pt>
                <c:pt idx="9">
                  <c:v>42826</c:v>
                </c:pt>
                <c:pt idx="10">
                  <c:v>42856</c:v>
                </c:pt>
                <c:pt idx="11">
                  <c:v>42887</c:v>
                </c:pt>
                <c:pt idx="12">
                  <c:v>42917</c:v>
                </c:pt>
                <c:pt idx="13">
                  <c:v>42948</c:v>
                </c:pt>
                <c:pt idx="14">
                  <c:v>42979</c:v>
                </c:pt>
                <c:pt idx="15">
                  <c:v>43009</c:v>
                </c:pt>
                <c:pt idx="16">
                  <c:v>43040</c:v>
                </c:pt>
                <c:pt idx="17">
                  <c:v>43070</c:v>
                </c:pt>
                <c:pt idx="18">
                  <c:v>43101</c:v>
                </c:pt>
                <c:pt idx="19">
                  <c:v>43132</c:v>
                </c:pt>
                <c:pt idx="20">
                  <c:v>43160</c:v>
                </c:pt>
                <c:pt idx="21">
                  <c:v>43191</c:v>
                </c:pt>
                <c:pt idx="22">
                  <c:v>43221</c:v>
                </c:pt>
                <c:pt idx="23">
                  <c:v>43252</c:v>
                </c:pt>
                <c:pt idx="24">
                  <c:v>43282</c:v>
                </c:pt>
                <c:pt idx="25">
                  <c:v>43313</c:v>
                </c:pt>
                <c:pt idx="26">
                  <c:v>43344</c:v>
                </c:pt>
                <c:pt idx="27">
                  <c:v>43374</c:v>
                </c:pt>
                <c:pt idx="28">
                  <c:v>43405</c:v>
                </c:pt>
                <c:pt idx="29">
                  <c:v>43435</c:v>
                </c:pt>
                <c:pt idx="30">
                  <c:v>43466</c:v>
                </c:pt>
                <c:pt idx="31">
                  <c:v>43497</c:v>
                </c:pt>
                <c:pt idx="32">
                  <c:v>43525</c:v>
                </c:pt>
                <c:pt idx="33">
                  <c:v>43556</c:v>
                </c:pt>
                <c:pt idx="34">
                  <c:v>43586</c:v>
                </c:pt>
                <c:pt idx="35">
                  <c:v>43617</c:v>
                </c:pt>
                <c:pt idx="36">
                  <c:v>43647</c:v>
                </c:pt>
                <c:pt idx="37">
                  <c:v>43678</c:v>
                </c:pt>
                <c:pt idx="38">
                  <c:v>43709</c:v>
                </c:pt>
                <c:pt idx="39">
                  <c:v>43739</c:v>
                </c:pt>
                <c:pt idx="40">
                  <c:v>43770</c:v>
                </c:pt>
                <c:pt idx="41">
                  <c:v>43800</c:v>
                </c:pt>
                <c:pt idx="42">
                  <c:v>43831</c:v>
                </c:pt>
                <c:pt idx="43">
                  <c:v>43862</c:v>
                </c:pt>
              </c:numCache>
            </c:numRef>
          </c:cat>
          <c:val>
            <c:numRef>
              <c:f>Emerging!$D$8:$D$51</c:f>
              <c:numCache>
                <c:formatCode>General</c:formatCode>
                <c:ptCount val="44"/>
                <c:pt idx="31" formatCode="_-* #,##0_-;\-* #,##0_-;_-* &quot;-&quot;??_-;_-@_-">
                  <c:v>33324</c:v>
                </c:pt>
                <c:pt idx="32" formatCode="_-* #,##0_-;\-* #,##0_-;_-* &quot;-&quot;??_-;_-@_-">
                  <c:v>35066.886704717544</c:v>
                </c:pt>
                <c:pt idx="33" formatCode="_-* #,##0_-;\-* #,##0_-;_-* &quot;-&quot;??_-;_-@_-">
                  <c:v>34813.068043039886</c:v>
                </c:pt>
                <c:pt idx="34" formatCode="_-* #,##0_-;\-* #,##0_-;_-* &quot;-&quot;??_-;_-@_-">
                  <c:v>35009.415189686857</c:v>
                </c:pt>
                <c:pt idx="35" formatCode="_-* #,##0_-;\-* #,##0_-;_-* &quot;-&quot;??_-;_-@_-">
                  <c:v>36636.942218552191</c:v>
                </c:pt>
                <c:pt idx="36" formatCode="_-* #,##0_-;\-* #,##0_-;_-* &quot;-&quot;??_-;_-@_-">
                  <c:v>37326.601249678417</c:v>
                </c:pt>
                <c:pt idx="37" formatCode="_-* #,##0_-;\-* #,##0_-;_-* &quot;-&quot;??_-;_-@_-">
                  <c:v>37028.074718328855</c:v>
                </c:pt>
                <c:pt idx="38" formatCode="_-* #,##0_-;\-* #,##0_-;_-* &quot;-&quot;??_-;_-@_-">
                  <c:v>37694.507678363552</c:v>
                </c:pt>
                <c:pt idx="39" formatCode="_-* #,##0_-;\-* #,##0_-;_-* &quot;-&quot;??_-;_-@_-">
                  <c:v>39035.653211785917</c:v>
                </c:pt>
                <c:pt idx="40" formatCode="_-* #,##0_-;\-* #,##0_-;_-* &quot;-&quot;??_-;_-@_-">
                  <c:v>39741.698320287716</c:v>
                </c:pt>
                <c:pt idx="41" formatCode="_-* #,##0_-;\-* #,##0_-;_-* &quot;-&quot;??_-;_-@_-">
                  <c:v>42253.042120158963</c:v>
                </c:pt>
                <c:pt idx="42" formatCode="_-* #,##0_-;\-* #,##0_-;_-* &quot;-&quot;??_-;_-@_-">
                  <c:v>42961.088899912116</c:v>
                </c:pt>
                <c:pt idx="43" formatCode="_-* #,##0_-;\-* #,##0_-;_-* &quot;-&quot;??_-;_-@_-">
                  <c:v>40144.932627780057</c:v>
                </c:pt>
              </c:numCache>
            </c:numRef>
          </c:val>
          <c:smooth val="0"/>
          <c:extLst>
            <c:ext xmlns:c16="http://schemas.microsoft.com/office/drawing/2014/chart" uri="{C3380CC4-5D6E-409C-BE32-E72D297353CC}">
              <c16:uniqueId val="{00000001-45E2-4CC0-B8EA-2C6E2E773723}"/>
            </c:ext>
          </c:extLst>
        </c:ser>
        <c:ser>
          <c:idx val="2"/>
          <c:order val="2"/>
          <c:tx>
            <c:strRef>
              <c:f>Emerging!$E$7</c:f>
              <c:strCache>
                <c:ptCount val="1"/>
                <c:pt idx="0">
                  <c:v>Lower Confidence Bound</c:v>
                </c:pt>
              </c:strCache>
            </c:strRef>
          </c:tx>
          <c:spPr>
            <a:ln w="12700" cap="rnd">
              <a:solidFill>
                <a:schemeClr val="accent4"/>
              </a:solidFill>
              <a:prstDash val="dash"/>
              <a:round/>
            </a:ln>
            <a:effectLst/>
          </c:spPr>
          <c:marker>
            <c:symbol val="none"/>
          </c:marker>
          <c:cat>
            <c:numRef>
              <c:f>Emerging!$B$8:$B$51</c:f>
              <c:numCache>
                <c:formatCode>mmm\-yy</c:formatCode>
                <c:ptCount val="44"/>
                <c:pt idx="0">
                  <c:v>42552</c:v>
                </c:pt>
                <c:pt idx="1">
                  <c:v>42583</c:v>
                </c:pt>
                <c:pt idx="2">
                  <c:v>42614</c:v>
                </c:pt>
                <c:pt idx="3">
                  <c:v>42644</c:v>
                </c:pt>
                <c:pt idx="4">
                  <c:v>42675</c:v>
                </c:pt>
                <c:pt idx="5">
                  <c:v>42705</c:v>
                </c:pt>
                <c:pt idx="6">
                  <c:v>42736</c:v>
                </c:pt>
                <c:pt idx="7">
                  <c:v>42767</c:v>
                </c:pt>
                <c:pt idx="8">
                  <c:v>42795</c:v>
                </c:pt>
                <c:pt idx="9">
                  <c:v>42826</c:v>
                </c:pt>
                <c:pt idx="10">
                  <c:v>42856</c:v>
                </c:pt>
                <c:pt idx="11">
                  <c:v>42887</c:v>
                </c:pt>
                <c:pt idx="12">
                  <c:v>42917</c:v>
                </c:pt>
                <c:pt idx="13">
                  <c:v>42948</c:v>
                </c:pt>
                <c:pt idx="14">
                  <c:v>42979</c:v>
                </c:pt>
                <c:pt idx="15">
                  <c:v>43009</c:v>
                </c:pt>
                <c:pt idx="16">
                  <c:v>43040</c:v>
                </c:pt>
                <c:pt idx="17">
                  <c:v>43070</c:v>
                </c:pt>
                <c:pt idx="18">
                  <c:v>43101</c:v>
                </c:pt>
                <c:pt idx="19">
                  <c:v>43132</c:v>
                </c:pt>
                <c:pt idx="20">
                  <c:v>43160</c:v>
                </c:pt>
                <c:pt idx="21">
                  <c:v>43191</c:v>
                </c:pt>
                <c:pt idx="22">
                  <c:v>43221</c:v>
                </c:pt>
                <c:pt idx="23">
                  <c:v>43252</c:v>
                </c:pt>
                <c:pt idx="24">
                  <c:v>43282</c:v>
                </c:pt>
                <c:pt idx="25">
                  <c:v>43313</c:v>
                </c:pt>
                <c:pt idx="26">
                  <c:v>43344</c:v>
                </c:pt>
                <c:pt idx="27">
                  <c:v>43374</c:v>
                </c:pt>
                <c:pt idx="28">
                  <c:v>43405</c:v>
                </c:pt>
                <c:pt idx="29">
                  <c:v>43435</c:v>
                </c:pt>
                <c:pt idx="30">
                  <c:v>43466</c:v>
                </c:pt>
                <c:pt idx="31">
                  <c:v>43497</c:v>
                </c:pt>
                <c:pt idx="32">
                  <c:v>43525</c:v>
                </c:pt>
                <c:pt idx="33">
                  <c:v>43556</c:v>
                </c:pt>
                <c:pt idx="34">
                  <c:v>43586</c:v>
                </c:pt>
                <c:pt idx="35">
                  <c:v>43617</c:v>
                </c:pt>
                <c:pt idx="36">
                  <c:v>43647</c:v>
                </c:pt>
                <c:pt idx="37">
                  <c:v>43678</c:v>
                </c:pt>
                <c:pt idx="38">
                  <c:v>43709</c:v>
                </c:pt>
                <c:pt idx="39">
                  <c:v>43739</c:v>
                </c:pt>
                <c:pt idx="40">
                  <c:v>43770</c:v>
                </c:pt>
                <c:pt idx="41">
                  <c:v>43800</c:v>
                </c:pt>
                <c:pt idx="42">
                  <c:v>43831</c:v>
                </c:pt>
                <c:pt idx="43">
                  <c:v>43862</c:v>
                </c:pt>
              </c:numCache>
            </c:numRef>
          </c:cat>
          <c:val>
            <c:numRef>
              <c:f>Emerging!$E$8:$E$51</c:f>
              <c:numCache>
                <c:formatCode>General</c:formatCode>
                <c:ptCount val="44"/>
                <c:pt idx="31" formatCode="_-* #,##0_-;\-* #,##0_-;_-* &quot;-&quot;??_-;_-@_-">
                  <c:v>33324</c:v>
                </c:pt>
                <c:pt idx="32" formatCode="_-* #,##0_-;\-* #,##0_-;_-* &quot;-&quot;??_-;_-@_-">
                  <c:v>33359.605880836258</c:v>
                </c:pt>
                <c:pt idx="33" formatCode="_-* #,##0_-;\-* #,##0_-;_-* &quot;-&quot;??_-;_-@_-">
                  <c:v>32676.916529621492</c:v>
                </c:pt>
                <c:pt idx="34" formatCode="_-* #,##0_-;\-* #,##0_-;_-* &quot;-&quot;??_-;_-@_-">
                  <c:v>32516.251426368632</c:v>
                </c:pt>
                <c:pt idx="35" formatCode="_-* #,##0_-;\-* #,##0_-;_-* &quot;-&quot;??_-;_-@_-">
                  <c:v>33831.059036996237</c:v>
                </c:pt>
                <c:pt idx="36" formatCode="_-* #,##0_-;\-* #,##0_-;_-* &quot;-&quot;??_-;_-@_-">
                  <c:v>34238.803692949397</c:v>
                </c:pt>
                <c:pt idx="37" formatCode="_-* #,##0_-;\-* #,##0_-;_-* &quot;-&quot;??_-;_-@_-">
                  <c:v>33681.3731557828</c:v>
                </c:pt>
                <c:pt idx="38" formatCode="_-* #,##0_-;\-* #,##0_-;_-* &quot;-&quot;??_-;_-@_-">
                  <c:v>34106.926452750173</c:v>
                </c:pt>
                <c:pt idx="39" formatCode="_-* #,##0_-;\-* #,##0_-;_-* &quot;-&quot;??_-;_-@_-">
                  <c:v>35221.799165570512</c:v>
                </c:pt>
                <c:pt idx="40" formatCode="_-* #,##0_-;\-* #,##0_-;_-* &quot;-&quot;??_-;_-@_-">
                  <c:v>35713.715191630923</c:v>
                </c:pt>
                <c:pt idx="41" formatCode="_-* #,##0_-;\-* #,##0_-;_-* &quot;-&quot;??_-;_-@_-">
                  <c:v>38021.229142637421</c:v>
                </c:pt>
                <c:pt idx="42" formatCode="_-* #,##0_-;\-* #,##0_-;_-* &quot;-&quot;??_-;_-@_-">
                  <c:v>38534.321739627179</c:v>
                </c:pt>
                <c:pt idx="43" formatCode="_-* #,##0_-;\-* #,##0_-;_-* &quot;-&quot;??_-;_-@_-">
                  <c:v>35530.961110926968</c:v>
                </c:pt>
              </c:numCache>
            </c:numRef>
          </c:val>
          <c:smooth val="0"/>
          <c:extLst>
            <c:ext xmlns:c16="http://schemas.microsoft.com/office/drawing/2014/chart" uri="{C3380CC4-5D6E-409C-BE32-E72D297353CC}">
              <c16:uniqueId val="{00000002-45E2-4CC0-B8EA-2C6E2E773723}"/>
            </c:ext>
          </c:extLst>
        </c:ser>
        <c:ser>
          <c:idx val="3"/>
          <c:order val="3"/>
          <c:tx>
            <c:strRef>
              <c:f>Emerging!$F$7</c:f>
              <c:strCache>
                <c:ptCount val="1"/>
                <c:pt idx="0">
                  <c:v>Upper Confidence Bound</c:v>
                </c:pt>
              </c:strCache>
            </c:strRef>
          </c:tx>
          <c:spPr>
            <a:ln w="12700" cap="rnd">
              <a:solidFill>
                <a:schemeClr val="accent2"/>
              </a:solidFill>
              <a:prstDash val="dash"/>
              <a:round/>
            </a:ln>
            <a:effectLst/>
          </c:spPr>
          <c:marker>
            <c:symbol val="none"/>
          </c:marker>
          <c:cat>
            <c:numRef>
              <c:f>Emerging!$B$8:$B$51</c:f>
              <c:numCache>
                <c:formatCode>mmm\-yy</c:formatCode>
                <c:ptCount val="44"/>
                <c:pt idx="0">
                  <c:v>42552</c:v>
                </c:pt>
                <c:pt idx="1">
                  <c:v>42583</c:v>
                </c:pt>
                <c:pt idx="2">
                  <c:v>42614</c:v>
                </c:pt>
                <c:pt idx="3">
                  <c:v>42644</c:v>
                </c:pt>
                <c:pt idx="4">
                  <c:v>42675</c:v>
                </c:pt>
                <c:pt idx="5">
                  <c:v>42705</c:v>
                </c:pt>
                <c:pt idx="6">
                  <c:v>42736</c:v>
                </c:pt>
                <c:pt idx="7">
                  <c:v>42767</c:v>
                </c:pt>
                <c:pt idx="8">
                  <c:v>42795</c:v>
                </c:pt>
                <c:pt idx="9">
                  <c:v>42826</c:v>
                </c:pt>
                <c:pt idx="10">
                  <c:v>42856</c:v>
                </c:pt>
                <c:pt idx="11">
                  <c:v>42887</c:v>
                </c:pt>
                <c:pt idx="12">
                  <c:v>42917</c:v>
                </c:pt>
                <c:pt idx="13">
                  <c:v>42948</c:v>
                </c:pt>
                <c:pt idx="14">
                  <c:v>42979</c:v>
                </c:pt>
                <c:pt idx="15">
                  <c:v>43009</c:v>
                </c:pt>
                <c:pt idx="16">
                  <c:v>43040</c:v>
                </c:pt>
                <c:pt idx="17">
                  <c:v>43070</c:v>
                </c:pt>
                <c:pt idx="18">
                  <c:v>43101</c:v>
                </c:pt>
                <c:pt idx="19">
                  <c:v>43132</c:v>
                </c:pt>
                <c:pt idx="20">
                  <c:v>43160</c:v>
                </c:pt>
                <c:pt idx="21">
                  <c:v>43191</c:v>
                </c:pt>
                <c:pt idx="22">
                  <c:v>43221</c:v>
                </c:pt>
                <c:pt idx="23">
                  <c:v>43252</c:v>
                </c:pt>
                <c:pt idx="24">
                  <c:v>43282</c:v>
                </c:pt>
                <c:pt idx="25">
                  <c:v>43313</c:v>
                </c:pt>
                <c:pt idx="26">
                  <c:v>43344</c:v>
                </c:pt>
                <c:pt idx="27">
                  <c:v>43374</c:v>
                </c:pt>
                <c:pt idx="28">
                  <c:v>43405</c:v>
                </c:pt>
                <c:pt idx="29">
                  <c:v>43435</c:v>
                </c:pt>
                <c:pt idx="30">
                  <c:v>43466</c:v>
                </c:pt>
                <c:pt idx="31">
                  <c:v>43497</c:v>
                </c:pt>
                <c:pt idx="32">
                  <c:v>43525</c:v>
                </c:pt>
                <c:pt idx="33">
                  <c:v>43556</c:v>
                </c:pt>
                <c:pt idx="34">
                  <c:v>43586</c:v>
                </c:pt>
                <c:pt idx="35">
                  <c:v>43617</c:v>
                </c:pt>
                <c:pt idx="36">
                  <c:v>43647</c:v>
                </c:pt>
                <c:pt idx="37">
                  <c:v>43678</c:v>
                </c:pt>
                <c:pt idx="38">
                  <c:v>43709</c:v>
                </c:pt>
                <c:pt idx="39">
                  <c:v>43739</c:v>
                </c:pt>
                <c:pt idx="40">
                  <c:v>43770</c:v>
                </c:pt>
                <c:pt idx="41">
                  <c:v>43800</c:v>
                </c:pt>
                <c:pt idx="42">
                  <c:v>43831</c:v>
                </c:pt>
                <c:pt idx="43">
                  <c:v>43862</c:v>
                </c:pt>
              </c:numCache>
            </c:numRef>
          </c:cat>
          <c:val>
            <c:numRef>
              <c:f>Emerging!$F$8:$F$51</c:f>
              <c:numCache>
                <c:formatCode>General</c:formatCode>
                <c:ptCount val="44"/>
                <c:pt idx="31" formatCode="_-* #,##0_-;\-* #,##0_-;_-* &quot;-&quot;??_-;_-@_-">
                  <c:v>33324</c:v>
                </c:pt>
                <c:pt idx="32" formatCode="_-* #,##0_-;\-* #,##0_-;_-* &quot;-&quot;??_-;_-@_-">
                  <c:v>36774.167528598831</c:v>
                </c:pt>
                <c:pt idx="33" formatCode="_-* #,##0_-;\-* #,##0_-;_-* &quot;-&quot;??_-;_-@_-">
                  <c:v>36949.21955645828</c:v>
                </c:pt>
                <c:pt idx="34" formatCode="_-* #,##0_-;\-* #,##0_-;_-* &quot;-&quot;??_-;_-@_-">
                  <c:v>37502.578953005082</c:v>
                </c:pt>
                <c:pt idx="35" formatCode="_-* #,##0_-;\-* #,##0_-;_-* &quot;-&quot;??_-;_-@_-">
                  <c:v>39442.825400108144</c:v>
                </c:pt>
                <c:pt idx="36" formatCode="_-* #,##0_-;\-* #,##0_-;_-* &quot;-&quot;??_-;_-@_-">
                  <c:v>40414.398806407436</c:v>
                </c:pt>
                <c:pt idx="37" formatCode="_-* #,##0_-;\-* #,##0_-;_-* &quot;-&quot;??_-;_-@_-">
                  <c:v>40374.77628087491</c:v>
                </c:pt>
                <c:pt idx="38" formatCode="_-* #,##0_-;\-* #,##0_-;_-* &quot;-&quot;??_-;_-@_-">
                  <c:v>41282.088903976932</c:v>
                </c:pt>
                <c:pt idx="39" formatCode="_-* #,##0_-;\-* #,##0_-;_-* &quot;-&quot;??_-;_-@_-">
                  <c:v>42849.507258001322</c:v>
                </c:pt>
                <c:pt idx="40" formatCode="_-* #,##0_-;\-* #,##0_-;_-* &quot;-&quot;??_-;_-@_-">
                  <c:v>43769.68144894451</c:v>
                </c:pt>
                <c:pt idx="41" formatCode="_-* #,##0_-;\-* #,##0_-;_-* &quot;-&quot;??_-;_-@_-">
                  <c:v>46484.855097680505</c:v>
                </c:pt>
                <c:pt idx="42" formatCode="_-* #,##0_-;\-* #,##0_-;_-* &quot;-&quot;??_-;_-@_-">
                  <c:v>47387.856060197053</c:v>
                </c:pt>
                <c:pt idx="43" formatCode="_-* #,##0_-;\-* #,##0_-;_-* &quot;-&quot;??_-;_-@_-">
                  <c:v>44758.904144633147</c:v>
                </c:pt>
              </c:numCache>
            </c:numRef>
          </c:val>
          <c:smooth val="0"/>
          <c:extLst>
            <c:ext xmlns:c16="http://schemas.microsoft.com/office/drawing/2014/chart" uri="{C3380CC4-5D6E-409C-BE32-E72D297353CC}">
              <c16:uniqueId val="{00000003-45E2-4CC0-B8EA-2C6E2E773723}"/>
            </c:ext>
          </c:extLst>
        </c:ser>
        <c:dLbls>
          <c:showLegendKey val="0"/>
          <c:showVal val="0"/>
          <c:showCatName val="0"/>
          <c:showSerName val="0"/>
          <c:showPercent val="0"/>
          <c:showBubbleSize val="0"/>
        </c:dLbls>
        <c:smooth val="0"/>
        <c:axId val="601787736"/>
        <c:axId val="601784784"/>
      </c:lineChart>
      <c:catAx>
        <c:axId val="601787736"/>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solidFill>
                    <a:latin typeface="+mj-lt"/>
                    <a:ea typeface="+mn-ea"/>
                    <a:cs typeface="Arial" panose="020B0604020202020204" pitchFamily="34" charset="0"/>
                  </a:defRPr>
                </a:pPr>
                <a:r>
                  <a:rPr lang="en-AU" sz="800">
                    <a:solidFill>
                      <a:schemeClr val="tx1"/>
                    </a:solidFill>
                    <a:latin typeface="+mj-lt"/>
                  </a:rPr>
                  <a:t>Date</a:t>
                </a:r>
              </a:p>
            </c:rich>
          </c:tx>
          <c:layout>
            <c:manualLayout>
              <c:xMode val="edge"/>
              <c:yMode val="edge"/>
              <c:x val="6.1455707134769021E-2"/>
              <c:y val="0.8487911224872168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j-lt"/>
                  <a:ea typeface="+mn-ea"/>
                  <a:cs typeface="Arial" panose="020B0604020202020204" pitchFamily="34" charset="0"/>
                </a:defRPr>
              </a:pPr>
              <a:endParaRPr lang="en-US"/>
            </a:p>
          </c:txPr>
        </c:title>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Arial" panose="020B0604020202020204" pitchFamily="34" charset="0"/>
              </a:defRPr>
            </a:pPr>
            <a:endParaRPr lang="en-US"/>
          </a:p>
        </c:txPr>
        <c:crossAx val="601784784"/>
        <c:crosses val="autoZero"/>
        <c:auto val="1"/>
        <c:lblAlgn val="ctr"/>
        <c:lblOffset val="100"/>
        <c:noMultiLvlLbl val="0"/>
      </c:catAx>
      <c:valAx>
        <c:axId val="601784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solidFill>
                    <a:latin typeface="+mj-lt"/>
                    <a:ea typeface="+mn-ea"/>
                    <a:cs typeface="Arial" panose="020B0604020202020204" pitchFamily="34" charset="0"/>
                  </a:defRPr>
                </a:pPr>
                <a:r>
                  <a:rPr lang="en-AU" sz="800">
                    <a:solidFill>
                      <a:schemeClr val="tx1"/>
                    </a:solidFill>
                    <a:latin typeface="+mj-lt"/>
                  </a:rPr>
                  <a:t>Number</a:t>
                </a:r>
                <a:r>
                  <a:rPr lang="en-AU" sz="800" baseline="0">
                    <a:solidFill>
                      <a:schemeClr val="tx1"/>
                    </a:solidFill>
                    <a:latin typeface="+mj-lt"/>
                  </a:rPr>
                  <a:t> of listings</a:t>
                </a:r>
                <a:endParaRPr lang="en-AU" sz="800">
                  <a:solidFill>
                    <a:schemeClr val="tx1"/>
                  </a:solidFill>
                  <a:latin typeface="+mj-lt"/>
                </a:endParaRPr>
              </a:p>
            </c:rich>
          </c:tx>
          <c:layout>
            <c:manualLayout>
              <c:xMode val="edge"/>
              <c:yMode val="edge"/>
              <c:x val="1.4319809069212411E-2"/>
              <c:y val="0.34380804475565119"/>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solidFill>
                  <a:latin typeface="+mj-lt"/>
                  <a:ea typeface="+mn-ea"/>
                  <a:cs typeface="Arial" panose="020B0604020202020204" pitchFamily="34" charset="0"/>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j-lt"/>
                <a:ea typeface="+mn-ea"/>
                <a:cs typeface="Arial" panose="020B0604020202020204" pitchFamily="34" charset="0"/>
              </a:defRPr>
            </a:pPr>
            <a:endParaRPr lang="en-US"/>
          </a:p>
        </c:txPr>
        <c:crossAx val="601787736"/>
        <c:crosses val="autoZero"/>
        <c:crossBetween val="between"/>
      </c:valAx>
      <c:spPr>
        <a:noFill/>
        <a:ln>
          <a:noFill/>
        </a:ln>
        <a:effectLst/>
      </c:spPr>
    </c:plotArea>
    <c:legend>
      <c:legendPos val="t"/>
      <c:layout>
        <c:manualLayout>
          <c:xMode val="edge"/>
          <c:yMode val="edge"/>
          <c:x val="0.21116436910133005"/>
          <c:y val="2.8149190710767064E-2"/>
          <c:w val="0.69021660276576646"/>
          <c:h val="0.1161409011065735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651639344262295"/>
          <c:y val="5.7870370370370371E-2"/>
          <c:w val="0.67377049180327864"/>
          <c:h val="0.91333333333333333"/>
        </c:manualLayout>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BC3F-45AC-9631-E038EB1926DD}"/>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BC3F-45AC-9631-E038EB1926DD}"/>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BC3F-45AC-9631-E038EB1926DD}"/>
              </c:ext>
            </c:extLst>
          </c:dPt>
          <c:dPt>
            <c:idx val="3"/>
            <c:bubble3D val="0"/>
            <c:spPr>
              <a:solidFill>
                <a:schemeClr val="accent5"/>
              </a:solidFill>
              <a:ln w="19050">
                <a:solidFill>
                  <a:schemeClr val="lt1"/>
                </a:solidFill>
              </a:ln>
              <a:effectLst/>
            </c:spPr>
            <c:extLst>
              <c:ext xmlns:c16="http://schemas.microsoft.com/office/drawing/2014/chart" uri="{C3380CC4-5D6E-409C-BE32-E72D297353CC}">
                <c16:uniqueId val="{00000007-BC3F-45AC-9631-E038EB1926DD}"/>
              </c:ext>
            </c:extLst>
          </c:dPt>
          <c:dPt>
            <c:idx val="4"/>
            <c:bubble3D val="0"/>
            <c:spPr>
              <a:solidFill>
                <a:schemeClr val="accent4"/>
              </a:solidFill>
              <a:ln w="19050">
                <a:solidFill>
                  <a:schemeClr val="lt1"/>
                </a:solidFill>
              </a:ln>
              <a:effectLst/>
            </c:spPr>
            <c:extLst>
              <c:ext xmlns:c16="http://schemas.microsoft.com/office/drawing/2014/chart" uri="{C3380CC4-5D6E-409C-BE32-E72D297353CC}">
                <c16:uniqueId val="{00000009-BC3F-45AC-9631-E038EB1926DD}"/>
              </c:ext>
            </c:extLst>
          </c:dPt>
          <c:dPt>
            <c:idx val="5"/>
            <c:bubble3D val="0"/>
            <c:spPr>
              <a:solidFill>
                <a:schemeClr val="accent3"/>
              </a:solidFill>
              <a:ln w="19050">
                <a:solidFill>
                  <a:schemeClr val="lt1"/>
                </a:solidFill>
              </a:ln>
              <a:effectLst/>
            </c:spPr>
            <c:extLst>
              <c:ext xmlns:c16="http://schemas.microsoft.com/office/drawing/2014/chart" uri="{C3380CC4-5D6E-409C-BE32-E72D297353CC}">
                <c16:uniqueId val="{0000000B-BC3F-45AC-9631-E038EB1926DD}"/>
              </c:ext>
            </c:extLst>
          </c:dPt>
          <c:dLbls>
            <c:dLbl>
              <c:idx val="0"/>
              <c:layout>
                <c:manualLayout>
                  <c:x val="-7.4602815134833808E-4"/>
                  <c:y val="-6.4841402264783035E-2"/>
                </c:manualLayout>
              </c:layout>
              <c:showLegendKey val="0"/>
              <c:showVal val="0"/>
              <c:showCatName val="1"/>
              <c:showSerName val="0"/>
              <c:showPercent val="1"/>
              <c:showBubbleSize val="0"/>
              <c:separator>
</c:separator>
              <c:extLst>
                <c:ext xmlns:c15="http://schemas.microsoft.com/office/drawing/2012/chart" uri="{CE6537A1-D6FC-4f65-9D91-7224C49458BB}">
                  <c15:layout>
                    <c:manualLayout>
                      <c:w val="0.29030054644808745"/>
                      <c:h val="0.19444444444444445"/>
                    </c:manualLayout>
                  </c15:layout>
                </c:ext>
                <c:ext xmlns:c16="http://schemas.microsoft.com/office/drawing/2014/chart" uri="{C3380CC4-5D6E-409C-BE32-E72D297353CC}">
                  <c16:uniqueId val="{00000001-BC3F-45AC-9631-E038EB1926DD}"/>
                </c:ext>
              </c:extLst>
            </c:dLbl>
            <c:dLbl>
              <c:idx val="1"/>
              <c:layout>
                <c:manualLayout>
                  <c:x val="0.11254906742851833"/>
                  <c:y val="-5.656836984657701E-2"/>
                </c:manualLayout>
              </c:layout>
              <c:showLegendKey val="0"/>
              <c:showVal val="0"/>
              <c:showCatName val="1"/>
              <c:showSerName val="0"/>
              <c:showPercent val="1"/>
              <c:showBubbleSize val="0"/>
              <c:separator>
</c:separator>
              <c:extLst>
                <c:ext xmlns:c15="http://schemas.microsoft.com/office/drawing/2012/chart" uri="{CE6537A1-D6FC-4f65-9D91-7224C49458BB}">
                  <c15:layout>
                    <c:manualLayout>
                      <c:w val="0.25537923282130714"/>
                      <c:h val="0.14895851560221637"/>
                    </c:manualLayout>
                  </c15:layout>
                </c:ext>
                <c:ext xmlns:c16="http://schemas.microsoft.com/office/drawing/2014/chart" uri="{C3380CC4-5D6E-409C-BE32-E72D297353CC}">
                  <c16:uniqueId val="{00000003-BC3F-45AC-9631-E038EB1926DD}"/>
                </c:ext>
              </c:extLst>
            </c:dLbl>
            <c:dLbl>
              <c:idx val="2"/>
              <c:layout>
                <c:manualLayout>
                  <c:x val="3.1002485308805425E-2"/>
                  <c:y val="1.0103676796665081E-16"/>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BC3F-45AC-9631-E038EB1926DD}"/>
                </c:ext>
              </c:extLst>
            </c:dLbl>
            <c:dLbl>
              <c:idx val="3"/>
              <c:layout>
                <c:manualLayout>
                  <c:x val="2.310001625902957E-2"/>
                  <c:y val="-3.8927450133764967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BC3F-45AC-9631-E038EB1926DD}"/>
                </c:ext>
              </c:extLst>
            </c:dLbl>
            <c:dLbl>
              <c:idx val="4"/>
              <c:layout>
                <c:manualLayout>
                  <c:x val="1.1595591480268489E-2"/>
                  <c:y val="-2.9122792552556724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BC3F-45AC-9631-E038EB1926DD}"/>
                </c:ext>
              </c:extLst>
            </c:dLbl>
            <c:dLbl>
              <c:idx val="5"/>
              <c:layout>
                <c:manualLayout>
                  <c:x val="9.0709271130931607E-2"/>
                  <c:y val="4.8667449222470781E-4"/>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2041509614839927"/>
                      <c:h val="0.19306010122494333"/>
                    </c:manualLayout>
                  </c15:layout>
                </c:ext>
                <c:ext xmlns:c16="http://schemas.microsoft.com/office/drawing/2014/chart" uri="{C3380CC4-5D6E-409C-BE32-E72D297353CC}">
                  <c16:uniqueId val="{0000000B-BC3F-45AC-9631-E038EB1926D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PrescribedAccomByLGA!$C$9:$H$9</c:f>
              <c:strCache>
                <c:ptCount val="6"/>
                <c:pt idx="0">
                  <c:v>Residential Accommodation</c:v>
                </c:pt>
                <c:pt idx="1">
                  <c:v>Hotels &amp; Motels </c:v>
                </c:pt>
                <c:pt idx="2">
                  <c:v>Hostels</c:v>
                </c:pt>
                <c:pt idx="3">
                  <c:v>Student Dormitories</c:v>
                </c:pt>
                <c:pt idx="4">
                  <c:v>Holiday Camps</c:v>
                </c:pt>
                <c:pt idx="5">
                  <c:v>Rooming Houses</c:v>
                </c:pt>
              </c:strCache>
            </c:strRef>
          </c:cat>
          <c:val>
            <c:numRef>
              <c:f>PrescribedAccomByLGA!$C$91:$H$91</c:f>
              <c:numCache>
                <c:formatCode>0.00%</c:formatCode>
                <c:ptCount val="6"/>
                <c:pt idx="0">
                  <c:v>0.31453452208169191</c:v>
                </c:pt>
                <c:pt idx="1">
                  <c:v>0.27140783744557329</c:v>
                </c:pt>
                <c:pt idx="2">
                  <c:v>4.2919344806137259E-2</c:v>
                </c:pt>
                <c:pt idx="3">
                  <c:v>3.5247771096827703E-2</c:v>
                </c:pt>
                <c:pt idx="4">
                  <c:v>6.5312046444121918E-2</c:v>
                </c:pt>
                <c:pt idx="5">
                  <c:v>0.27057847812564795</c:v>
                </c:pt>
              </c:numCache>
            </c:numRef>
          </c:val>
          <c:extLst>
            <c:ext xmlns:c16="http://schemas.microsoft.com/office/drawing/2014/chart" uri="{C3380CC4-5D6E-409C-BE32-E72D297353CC}">
              <c16:uniqueId val="{0000000C-BC3F-45AC-9631-E038EB1926DD}"/>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86898118020934"/>
          <c:y val="0.1657109133430163"/>
          <c:w val="0.85928278440854666"/>
          <c:h val="0.58281619554514552"/>
        </c:manualLayout>
      </c:layout>
      <c:barChart>
        <c:barDir val="col"/>
        <c:grouping val="stacked"/>
        <c:varyColors val="0"/>
        <c:ser>
          <c:idx val="0"/>
          <c:order val="0"/>
          <c:tx>
            <c:strRef>
              <c:f>PrescribedAccomByLGA!$E$122</c:f>
              <c:strCache>
                <c:ptCount val="1"/>
                <c:pt idx="0">
                  <c:v>Residential Accommodation</c:v>
                </c:pt>
              </c:strCache>
            </c:strRef>
          </c:tx>
          <c:spPr>
            <a:solidFill>
              <a:schemeClr val="accent2"/>
            </a:solidFill>
            <a:ln>
              <a:noFill/>
            </a:ln>
            <a:effectLst/>
          </c:spPr>
          <c:invertIfNegative val="0"/>
          <c:cat>
            <c:strRef>
              <c:f>PrescribedAccomByLGA!$B$123:$B$133</c:f>
              <c:strCache>
                <c:ptCount val="11"/>
                <c:pt idx="0">
                  <c:v>Bass Coast Shire Council</c:v>
                </c:pt>
                <c:pt idx="1">
                  <c:v>Melbourne City Council</c:v>
                </c:pt>
                <c:pt idx="2">
                  <c:v>Monash City Council</c:v>
                </c:pt>
                <c:pt idx="3">
                  <c:v>Greater Geelong</c:v>
                </c:pt>
                <c:pt idx="4">
                  <c:v>Whitehorse City Council</c:v>
                </c:pt>
                <c:pt idx="5">
                  <c:v>Indigo Shire Council</c:v>
                </c:pt>
                <c:pt idx="6">
                  <c:v>Casey City Council</c:v>
                </c:pt>
                <c:pt idx="7">
                  <c:v>Greater Dandenong City Council</c:v>
                </c:pt>
                <c:pt idx="8">
                  <c:v>Port Phillip City Council</c:v>
                </c:pt>
                <c:pt idx="9">
                  <c:v>City of Darebin</c:v>
                </c:pt>
                <c:pt idx="10">
                  <c:v>East Gippsland Shire Council</c:v>
                </c:pt>
              </c:strCache>
            </c:strRef>
          </c:cat>
          <c:val>
            <c:numRef>
              <c:f>PrescribedAccomByLGA!$E$123:$E$133</c:f>
              <c:numCache>
                <c:formatCode>General</c:formatCode>
                <c:ptCount val="11"/>
                <c:pt idx="0">
                  <c:v>875</c:v>
                </c:pt>
                <c:pt idx="1">
                  <c:v>6</c:v>
                </c:pt>
                <c:pt idx="2">
                  <c:v>0</c:v>
                </c:pt>
                <c:pt idx="3">
                  <c:v>25</c:v>
                </c:pt>
                <c:pt idx="4">
                  <c:v>0</c:v>
                </c:pt>
                <c:pt idx="5">
                  <c:v>37</c:v>
                </c:pt>
                <c:pt idx="6">
                  <c:v>58</c:v>
                </c:pt>
                <c:pt idx="7">
                  <c:v>0</c:v>
                </c:pt>
                <c:pt idx="8">
                  <c:v>0</c:v>
                </c:pt>
                <c:pt idx="9">
                  <c:v>4</c:v>
                </c:pt>
                <c:pt idx="10">
                  <c:v>3</c:v>
                </c:pt>
              </c:numCache>
            </c:numRef>
          </c:val>
          <c:extLst>
            <c:ext xmlns:c16="http://schemas.microsoft.com/office/drawing/2014/chart" uri="{C3380CC4-5D6E-409C-BE32-E72D297353CC}">
              <c16:uniqueId val="{00000000-AAF4-44D5-BE92-681C304CD18F}"/>
            </c:ext>
          </c:extLst>
        </c:ser>
        <c:ser>
          <c:idx val="1"/>
          <c:order val="1"/>
          <c:tx>
            <c:strRef>
              <c:f>PrescribedAccomByLGA!$F$122</c:f>
              <c:strCache>
                <c:ptCount val="1"/>
                <c:pt idx="0">
                  <c:v>Hotels &amp; Motels </c:v>
                </c:pt>
              </c:strCache>
            </c:strRef>
          </c:tx>
          <c:spPr>
            <a:solidFill>
              <a:schemeClr val="accent1"/>
            </a:solidFill>
            <a:ln>
              <a:noFill/>
            </a:ln>
            <a:effectLst/>
          </c:spPr>
          <c:invertIfNegative val="0"/>
          <c:cat>
            <c:strRef>
              <c:f>PrescribedAccomByLGA!$B$123:$B$133</c:f>
              <c:strCache>
                <c:ptCount val="11"/>
                <c:pt idx="0">
                  <c:v>Bass Coast Shire Council</c:v>
                </c:pt>
                <c:pt idx="1">
                  <c:v>Melbourne City Council</c:v>
                </c:pt>
                <c:pt idx="2">
                  <c:v>Monash City Council</c:v>
                </c:pt>
                <c:pt idx="3">
                  <c:v>Greater Geelong</c:v>
                </c:pt>
                <c:pt idx="4">
                  <c:v>Whitehorse City Council</c:v>
                </c:pt>
                <c:pt idx="5">
                  <c:v>Indigo Shire Council</c:v>
                </c:pt>
                <c:pt idx="6">
                  <c:v>Casey City Council</c:v>
                </c:pt>
                <c:pt idx="7">
                  <c:v>Greater Dandenong City Council</c:v>
                </c:pt>
                <c:pt idx="8">
                  <c:v>Port Phillip City Council</c:v>
                </c:pt>
                <c:pt idx="9">
                  <c:v>City of Darebin</c:v>
                </c:pt>
                <c:pt idx="10">
                  <c:v>East Gippsland Shire Council</c:v>
                </c:pt>
              </c:strCache>
            </c:strRef>
          </c:cat>
          <c:val>
            <c:numRef>
              <c:f>PrescribedAccomByLGA!$F$123:$F$133</c:f>
              <c:numCache>
                <c:formatCode>General</c:formatCode>
                <c:ptCount val="11"/>
                <c:pt idx="0">
                  <c:v>22</c:v>
                </c:pt>
                <c:pt idx="1">
                  <c:v>126</c:v>
                </c:pt>
                <c:pt idx="2">
                  <c:v>12</c:v>
                </c:pt>
                <c:pt idx="3">
                  <c:v>41</c:v>
                </c:pt>
                <c:pt idx="4">
                  <c:v>14</c:v>
                </c:pt>
                <c:pt idx="5">
                  <c:v>27</c:v>
                </c:pt>
                <c:pt idx="6">
                  <c:v>12</c:v>
                </c:pt>
                <c:pt idx="7">
                  <c:v>12</c:v>
                </c:pt>
                <c:pt idx="8">
                  <c:v>26</c:v>
                </c:pt>
                <c:pt idx="9">
                  <c:v>6</c:v>
                </c:pt>
                <c:pt idx="10">
                  <c:v>69</c:v>
                </c:pt>
              </c:numCache>
            </c:numRef>
          </c:val>
          <c:extLst>
            <c:ext xmlns:c16="http://schemas.microsoft.com/office/drawing/2014/chart" uri="{C3380CC4-5D6E-409C-BE32-E72D297353CC}">
              <c16:uniqueId val="{00000001-AAF4-44D5-BE92-681C304CD18F}"/>
            </c:ext>
          </c:extLst>
        </c:ser>
        <c:ser>
          <c:idx val="2"/>
          <c:order val="2"/>
          <c:tx>
            <c:strRef>
              <c:f>PrescribedAccomByLGA!$G$122</c:f>
              <c:strCache>
                <c:ptCount val="1"/>
                <c:pt idx="0">
                  <c:v>Hostels</c:v>
                </c:pt>
              </c:strCache>
            </c:strRef>
          </c:tx>
          <c:spPr>
            <a:solidFill>
              <a:schemeClr val="accent6"/>
            </a:solidFill>
            <a:ln>
              <a:noFill/>
            </a:ln>
            <a:effectLst/>
          </c:spPr>
          <c:invertIfNegative val="0"/>
          <c:cat>
            <c:strRef>
              <c:f>PrescribedAccomByLGA!$B$123:$B$133</c:f>
              <c:strCache>
                <c:ptCount val="11"/>
                <c:pt idx="0">
                  <c:v>Bass Coast Shire Council</c:v>
                </c:pt>
                <c:pt idx="1">
                  <c:v>Melbourne City Council</c:v>
                </c:pt>
                <c:pt idx="2">
                  <c:v>Monash City Council</c:v>
                </c:pt>
                <c:pt idx="3">
                  <c:v>Greater Geelong</c:v>
                </c:pt>
                <c:pt idx="4">
                  <c:v>Whitehorse City Council</c:v>
                </c:pt>
                <c:pt idx="5">
                  <c:v>Indigo Shire Council</c:v>
                </c:pt>
                <c:pt idx="6">
                  <c:v>Casey City Council</c:v>
                </c:pt>
                <c:pt idx="7">
                  <c:v>Greater Dandenong City Council</c:v>
                </c:pt>
                <c:pt idx="8">
                  <c:v>Port Phillip City Council</c:v>
                </c:pt>
                <c:pt idx="9">
                  <c:v>City of Darebin</c:v>
                </c:pt>
                <c:pt idx="10">
                  <c:v>East Gippsland Shire Council</c:v>
                </c:pt>
              </c:strCache>
            </c:strRef>
          </c:cat>
          <c:val>
            <c:numRef>
              <c:f>PrescribedAccomByLGA!$G$123:$G$133</c:f>
              <c:numCache>
                <c:formatCode>General</c:formatCode>
                <c:ptCount val="11"/>
                <c:pt idx="0">
                  <c:v>2</c:v>
                </c:pt>
                <c:pt idx="1">
                  <c:v>30</c:v>
                </c:pt>
                <c:pt idx="2">
                  <c:v>0</c:v>
                </c:pt>
                <c:pt idx="3">
                  <c:v>0</c:v>
                </c:pt>
                <c:pt idx="4">
                  <c:v>4</c:v>
                </c:pt>
                <c:pt idx="5">
                  <c:v>12</c:v>
                </c:pt>
                <c:pt idx="6">
                  <c:v>0</c:v>
                </c:pt>
                <c:pt idx="7">
                  <c:v>0</c:v>
                </c:pt>
                <c:pt idx="8">
                  <c:v>12</c:v>
                </c:pt>
                <c:pt idx="9">
                  <c:v>1</c:v>
                </c:pt>
              </c:numCache>
            </c:numRef>
          </c:val>
          <c:extLst>
            <c:ext xmlns:c16="http://schemas.microsoft.com/office/drawing/2014/chart" uri="{C3380CC4-5D6E-409C-BE32-E72D297353CC}">
              <c16:uniqueId val="{00000002-AAF4-44D5-BE92-681C304CD18F}"/>
            </c:ext>
          </c:extLst>
        </c:ser>
        <c:ser>
          <c:idx val="3"/>
          <c:order val="3"/>
          <c:tx>
            <c:strRef>
              <c:f>PrescribedAccomByLGA!$H$122</c:f>
              <c:strCache>
                <c:ptCount val="1"/>
                <c:pt idx="0">
                  <c:v>Student Dormitories</c:v>
                </c:pt>
              </c:strCache>
            </c:strRef>
          </c:tx>
          <c:spPr>
            <a:solidFill>
              <a:schemeClr val="accent5"/>
            </a:solidFill>
            <a:ln>
              <a:noFill/>
            </a:ln>
            <a:effectLst/>
          </c:spPr>
          <c:invertIfNegative val="0"/>
          <c:cat>
            <c:strRef>
              <c:f>PrescribedAccomByLGA!$B$123:$B$133</c:f>
              <c:strCache>
                <c:ptCount val="11"/>
                <c:pt idx="0">
                  <c:v>Bass Coast Shire Council</c:v>
                </c:pt>
                <c:pt idx="1">
                  <c:v>Melbourne City Council</c:v>
                </c:pt>
                <c:pt idx="2">
                  <c:v>Monash City Council</c:v>
                </c:pt>
                <c:pt idx="3">
                  <c:v>Greater Geelong</c:v>
                </c:pt>
                <c:pt idx="4">
                  <c:v>Whitehorse City Council</c:v>
                </c:pt>
                <c:pt idx="5">
                  <c:v>Indigo Shire Council</c:v>
                </c:pt>
                <c:pt idx="6">
                  <c:v>Casey City Council</c:v>
                </c:pt>
                <c:pt idx="7">
                  <c:v>Greater Dandenong City Council</c:v>
                </c:pt>
                <c:pt idx="8">
                  <c:v>Port Phillip City Council</c:v>
                </c:pt>
                <c:pt idx="9">
                  <c:v>City of Darebin</c:v>
                </c:pt>
                <c:pt idx="10">
                  <c:v>East Gippsland Shire Council</c:v>
                </c:pt>
              </c:strCache>
            </c:strRef>
          </c:cat>
          <c:val>
            <c:numRef>
              <c:f>PrescribedAccomByLGA!$H$123:$H$133</c:f>
              <c:numCache>
                <c:formatCode>General</c:formatCode>
                <c:ptCount val="11"/>
                <c:pt idx="0">
                  <c:v>0</c:v>
                </c:pt>
                <c:pt idx="1">
                  <c:v>20</c:v>
                </c:pt>
                <c:pt idx="2">
                  <c:v>15</c:v>
                </c:pt>
                <c:pt idx="3">
                  <c:v>0</c:v>
                </c:pt>
                <c:pt idx="4">
                  <c:v>2</c:v>
                </c:pt>
                <c:pt idx="6">
                  <c:v>1</c:v>
                </c:pt>
                <c:pt idx="7">
                  <c:v>0</c:v>
                </c:pt>
                <c:pt idx="8">
                  <c:v>4</c:v>
                </c:pt>
                <c:pt idx="9">
                  <c:v>44</c:v>
                </c:pt>
                <c:pt idx="10">
                  <c:v>2</c:v>
                </c:pt>
              </c:numCache>
            </c:numRef>
          </c:val>
          <c:extLst>
            <c:ext xmlns:c16="http://schemas.microsoft.com/office/drawing/2014/chart" uri="{C3380CC4-5D6E-409C-BE32-E72D297353CC}">
              <c16:uniqueId val="{00000003-AAF4-44D5-BE92-681C304CD18F}"/>
            </c:ext>
          </c:extLst>
        </c:ser>
        <c:ser>
          <c:idx val="4"/>
          <c:order val="4"/>
          <c:tx>
            <c:strRef>
              <c:f>PrescribedAccomByLGA!$I$122</c:f>
              <c:strCache>
                <c:ptCount val="1"/>
                <c:pt idx="0">
                  <c:v>Holiday Camps</c:v>
                </c:pt>
              </c:strCache>
            </c:strRef>
          </c:tx>
          <c:spPr>
            <a:solidFill>
              <a:srgbClr val="27467D"/>
            </a:solidFill>
            <a:ln>
              <a:noFill/>
            </a:ln>
            <a:effectLst/>
          </c:spPr>
          <c:invertIfNegative val="0"/>
          <c:cat>
            <c:strRef>
              <c:f>PrescribedAccomByLGA!$B$123:$B$133</c:f>
              <c:strCache>
                <c:ptCount val="11"/>
                <c:pt idx="0">
                  <c:v>Bass Coast Shire Council</c:v>
                </c:pt>
                <c:pt idx="1">
                  <c:v>Melbourne City Council</c:v>
                </c:pt>
                <c:pt idx="2">
                  <c:v>Monash City Council</c:v>
                </c:pt>
                <c:pt idx="3">
                  <c:v>Greater Geelong</c:v>
                </c:pt>
                <c:pt idx="4">
                  <c:v>Whitehorse City Council</c:v>
                </c:pt>
                <c:pt idx="5">
                  <c:v>Indigo Shire Council</c:v>
                </c:pt>
                <c:pt idx="6">
                  <c:v>Casey City Council</c:v>
                </c:pt>
                <c:pt idx="7">
                  <c:v>Greater Dandenong City Council</c:v>
                </c:pt>
                <c:pt idx="8">
                  <c:v>Port Phillip City Council</c:v>
                </c:pt>
                <c:pt idx="9">
                  <c:v>City of Darebin</c:v>
                </c:pt>
                <c:pt idx="10">
                  <c:v>East Gippsland Shire Council</c:v>
                </c:pt>
              </c:strCache>
            </c:strRef>
          </c:cat>
          <c:val>
            <c:numRef>
              <c:f>PrescribedAccomByLGA!$I$123:$I$133</c:f>
              <c:numCache>
                <c:formatCode>General</c:formatCode>
                <c:ptCount val="11"/>
                <c:pt idx="0">
                  <c:v>9</c:v>
                </c:pt>
                <c:pt idx="1">
                  <c:v>1</c:v>
                </c:pt>
                <c:pt idx="2">
                  <c:v>0</c:v>
                </c:pt>
                <c:pt idx="3">
                  <c:v>4</c:v>
                </c:pt>
                <c:pt idx="4">
                  <c:v>0</c:v>
                </c:pt>
                <c:pt idx="5">
                  <c:v>62</c:v>
                </c:pt>
                <c:pt idx="6">
                  <c:v>0</c:v>
                </c:pt>
                <c:pt idx="7">
                  <c:v>0</c:v>
                </c:pt>
                <c:pt idx="8">
                  <c:v>0</c:v>
                </c:pt>
                <c:pt idx="9">
                  <c:v>0</c:v>
                </c:pt>
                <c:pt idx="10">
                  <c:v>16</c:v>
                </c:pt>
              </c:numCache>
            </c:numRef>
          </c:val>
          <c:extLst>
            <c:ext xmlns:c16="http://schemas.microsoft.com/office/drawing/2014/chart" uri="{C3380CC4-5D6E-409C-BE32-E72D297353CC}">
              <c16:uniqueId val="{00000004-AAF4-44D5-BE92-681C304CD18F}"/>
            </c:ext>
          </c:extLst>
        </c:ser>
        <c:ser>
          <c:idx val="5"/>
          <c:order val="5"/>
          <c:tx>
            <c:strRef>
              <c:f>PrescribedAccomByLGA!$J$122</c:f>
              <c:strCache>
                <c:ptCount val="1"/>
                <c:pt idx="0">
                  <c:v>Rooming Houses</c:v>
                </c:pt>
              </c:strCache>
            </c:strRef>
          </c:tx>
          <c:spPr>
            <a:solidFill>
              <a:schemeClr val="accent3"/>
            </a:solidFill>
            <a:ln>
              <a:noFill/>
            </a:ln>
            <a:effectLst/>
          </c:spPr>
          <c:invertIfNegative val="0"/>
          <c:cat>
            <c:strRef>
              <c:f>PrescribedAccomByLGA!$B$123:$B$133</c:f>
              <c:strCache>
                <c:ptCount val="11"/>
                <c:pt idx="0">
                  <c:v>Bass Coast Shire Council</c:v>
                </c:pt>
                <c:pt idx="1">
                  <c:v>Melbourne City Council</c:v>
                </c:pt>
                <c:pt idx="2">
                  <c:v>Monash City Council</c:v>
                </c:pt>
                <c:pt idx="3">
                  <c:v>Greater Geelong</c:v>
                </c:pt>
                <c:pt idx="4">
                  <c:v>Whitehorse City Council</c:v>
                </c:pt>
                <c:pt idx="5">
                  <c:v>Indigo Shire Council</c:v>
                </c:pt>
                <c:pt idx="6">
                  <c:v>Casey City Council</c:v>
                </c:pt>
                <c:pt idx="7">
                  <c:v>Greater Dandenong City Council</c:v>
                </c:pt>
                <c:pt idx="8">
                  <c:v>Port Phillip City Council</c:v>
                </c:pt>
                <c:pt idx="9">
                  <c:v>City of Darebin</c:v>
                </c:pt>
                <c:pt idx="10">
                  <c:v>East Gippsland Shire Council</c:v>
                </c:pt>
              </c:strCache>
            </c:strRef>
          </c:cat>
          <c:val>
            <c:numRef>
              <c:f>PrescribedAccomByLGA!$J$123:$J$133</c:f>
              <c:numCache>
                <c:formatCode>General</c:formatCode>
                <c:ptCount val="11"/>
                <c:pt idx="0">
                  <c:v>1</c:v>
                </c:pt>
                <c:pt idx="1">
                  <c:v>65</c:v>
                </c:pt>
                <c:pt idx="2">
                  <c:v>205</c:v>
                </c:pt>
                <c:pt idx="3">
                  <c:v>101</c:v>
                </c:pt>
                <c:pt idx="4">
                  <c:v>137</c:v>
                </c:pt>
                <c:pt idx="6">
                  <c:v>45</c:v>
                </c:pt>
                <c:pt idx="7">
                  <c:v>89</c:v>
                </c:pt>
                <c:pt idx="8">
                  <c:v>56</c:v>
                </c:pt>
                <c:pt idx="9">
                  <c:v>40</c:v>
                </c:pt>
                <c:pt idx="10">
                  <c:v>1</c:v>
                </c:pt>
              </c:numCache>
            </c:numRef>
          </c:val>
          <c:extLst>
            <c:ext xmlns:c16="http://schemas.microsoft.com/office/drawing/2014/chart" uri="{C3380CC4-5D6E-409C-BE32-E72D297353CC}">
              <c16:uniqueId val="{00000005-AAF4-44D5-BE92-681C304CD18F}"/>
            </c:ext>
          </c:extLst>
        </c:ser>
        <c:dLbls>
          <c:showLegendKey val="0"/>
          <c:showVal val="0"/>
          <c:showCatName val="0"/>
          <c:showSerName val="0"/>
          <c:showPercent val="0"/>
          <c:showBubbleSize val="0"/>
        </c:dLbls>
        <c:gapWidth val="150"/>
        <c:overlap val="100"/>
        <c:axId val="748145456"/>
        <c:axId val="748141192"/>
      </c:barChart>
      <c:catAx>
        <c:axId val="748145456"/>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Arial" panose="020B0604020202020204" pitchFamily="34" charset="0"/>
                  </a:defRPr>
                </a:pPr>
                <a:r>
                  <a:rPr lang="en-AU" sz="800">
                    <a:latin typeface="+mj-lt"/>
                  </a:rPr>
                  <a:t>LGA</a:t>
                </a:r>
              </a:p>
            </c:rich>
          </c:tx>
          <c:layout>
            <c:manualLayout>
              <c:xMode val="edge"/>
              <c:yMode val="edge"/>
              <c:x val="5.1182311393182515E-2"/>
              <c:y val="0.7730745208632779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j-lt"/>
                <a:ea typeface="+mn-ea"/>
                <a:cs typeface="Arial" panose="020B0604020202020204" pitchFamily="34" charset="0"/>
              </a:defRPr>
            </a:pPr>
            <a:endParaRPr lang="en-US"/>
          </a:p>
        </c:txPr>
        <c:crossAx val="748141192"/>
        <c:crosses val="autoZero"/>
        <c:auto val="1"/>
        <c:lblAlgn val="ctr"/>
        <c:lblOffset val="100"/>
        <c:noMultiLvlLbl val="0"/>
      </c:catAx>
      <c:valAx>
        <c:axId val="748141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solidFill>
                    <a:latin typeface="+mj-lt"/>
                    <a:ea typeface="+mn-ea"/>
                    <a:cs typeface="Arial" panose="020B0604020202020204" pitchFamily="34" charset="0"/>
                  </a:defRPr>
                </a:pPr>
                <a:r>
                  <a:rPr lang="en-AU" sz="800">
                    <a:solidFill>
                      <a:schemeClr val="tx1"/>
                    </a:solidFill>
                    <a:latin typeface="+mj-lt"/>
                  </a:rPr>
                  <a:t> Number of prescribed</a:t>
                </a:r>
                <a:r>
                  <a:rPr lang="en-AU" sz="800" baseline="0">
                    <a:solidFill>
                      <a:schemeClr val="tx1"/>
                    </a:solidFill>
                    <a:latin typeface="+mj-lt"/>
                  </a:rPr>
                  <a:t> accommodation busineses</a:t>
                </a:r>
                <a:endParaRPr lang="en-AU" sz="800">
                  <a:solidFill>
                    <a:schemeClr val="tx1"/>
                  </a:solidFill>
                  <a:latin typeface="+mj-lt"/>
                </a:endParaRPr>
              </a:p>
            </c:rich>
          </c:tx>
          <c:layout>
            <c:manualLayout>
              <c:xMode val="edge"/>
              <c:yMode val="edge"/>
              <c:x val="2.3485990958060327E-2"/>
              <c:y val="0.14117954840955899"/>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solidFill>
                  <a:latin typeface="+mj-lt"/>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j-lt"/>
                <a:ea typeface="+mn-ea"/>
                <a:cs typeface="Arial" panose="020B0604020202020204" pitchFamily="34" charset="0"/>
              </a:defRPr>
            </a:pPr>
            <a:endParaRPr lang="en-US"/>
          </a:p>
        </c:txPr>
        <c:crossAx val="748145456"/>
        <c:crosses val="autoZero"/>
        <c:crossBetween val="between"/>
      </c:valAx>
      <c:spPr>
        <a:noFill/>
        <a:ln>
          <a:noFill/>
        </a:ln>
        <a:effectLst/>
      </c:spPr>
    </c:plotArea>
    <c:legend>
      <c:legendPos val="b"/>
      <c:layout>
        <c:manualLayout>
          <c:xMode val="edge"/>
          <c:yMode val="edge"/>
          <c:x val="2.8874400219882433E-2"/>
          <c:y val="2.770742590324806E-2"/>
          <c:w val="0.94083072048426375"/>
          <c:h val="0.1241151813305375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001099267968963E-2"/>
          <c:y val="0.27437316416952579"/>
          <c:w val="0.88681383286241233"/>
          <c:h val="0.53689827956458425"/>
        </c:manualLayout>
      </c:layout>
      <c:barChart>
        <c:barDir val="bar"/>
        <c:grouping val="stacked"/>
        <c:varyColors val="0"/>
        <c:ser>
          <c:idx val="1"/>
          <c:order val="0"/>
          <c:tx>
            <c:strRef>
              <c:f>CoM_PA_Forecast!$C$4</c:f>
              <c:strCache>
                <c:ptCount val="1"/>
                <c:pt idx="0">
                  <c:v>Hotels and Motels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CoM_PA_Forecast!$B$5:$B$16</c:f>
              <c:numCache>
                <c:formatCode>General</c:formatCode>
                <c:ptCount val="2"/>
                <c:pt idx="0">
                  <c:v>2019</c:v>
                </c:pt>
                <c:pt idx="1">
                  <c:v>2024</c:v>
                </c:pt>
              </c:numCache>
              <c:extLst/>
            </c:numRef>
          </c:cat>
          <c:val>
            <c:numRef>
              <c:f>CoM_PA_Forecast!$C$5:$C$16</c:f>
              <c:numCache>
                <c:formatCode>General</c:formatCode>
                <c:ptCount val="2"/>
                <c:pt idx="0">
                  <c:v>128</c:v>
                </c:pt>
              </c:numCache>
              <c:extLst/>
            </c:numRef>
          </c:val>
          <c:extLst>
            <c:ext xmlns:c16="http://schemas.microsoft.com/office/drawing/2014/chart" uri="{C3380CC4-5D6E-409C-BE32-E72D297353CC}">
              <c16:uniqueId val="{00000000-B262-4DBC-A17F-6CC0D9C0D5A2}"/>
            </c:ext>
          </c:extLst>
        </c:ser>
        <c:ser>
          <c:idx val="2"/>
          <c:order val="1"/>
          <c:tx>
            <c:strRef>
              <c:f>CoM_PA_Forecast!$D$4</c:f>
              <c:strCache>
                <c:ptCount val="1"/>
                <c:pt idx="0">
                  <c:v>Hotels and Motels Forecast</c:v>
                </c:pt>
              </c:strCache>
            </c:strRef>
          </c:tx>
          <c:spPr>
            <a:solidFill>
              <a:schemeClr val="accent1">
                <a:lumMod val="60000"/>
                <a:lumOff val="40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CoM_PA_Forecast!$B$5:$B$16</c:f>
              <c:numCache>
                <c:formatCode>General</c:formatCode>
                <c:ptCount val="2"/>
                <c:pt idx="0">
                  <c:v>2019</c:v>
                </c:pt>
                <c:pt idx="1">
                  <c:v>2024</c:v>
                </c:pt>
              </c:numCache>
              <c:extLst/>
            </c:numRef>
          </c:cat>
          <c:val>
            <c:numRef>
              <c:f>CoM_PA_Forecast!$D$5:$D$16</c:f>
              <c:numCache>
                <c:formatCode>General</c:formatCode>
                <c:ptCount val="2"/>
                <c:pt idx="1">
                  <c:v>139.63146238125501</c:v>
                </c:pt>
              </c:numCache>
              <c:extLst/>
            </c:numRef>
          </c:val>
          <c:extLst>
            <c:ext xmlns:c16="http://schemas.microsoft.com/office/drawing/2014/chart" uri="{C3380CC4-5D6E-409C-BE32-E72D297353CC}">
              <c16:uniqueId val="{00000001-B262-4DBC-A17F-6CC0D9C0D5A2}"/>
            </c:ext>
          </c:extLst>
        </c:ser>
        <c:ser>
          <c:idx val="4"/>
          <c:order val="2"/>
          <c:tx>
            <c:strRef>
              <c:f>CoM_PA_Forecast!$F$4</c:f>
              <c:strCache>
                <c:ptCount val="1"/>
                <c:pt idx="0">
                  <c:v>Hostels</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CoM_PA_Forecast!$B$5:$B$16</c:f>
              <c:numCache>
                <c:formatCode>General</c:formatCode>
                <c:ptCount val="2"/>
                <c:pt idx="0">
                  <c:v>2019</c:v>
                </c:pt>
                <c:pt idx="1">
                  <c:v>2024</c:v>
                </c:pt>
              </c:numCache>
              <c:extLst/>
            </c:numRef>
          </c:cat>
          <c:val>
            <c:numRef>
              <c:f>CoM_PA_Forecast!$F$5:$F$16</c:f>
              <c:numCache>
                <c:formatCode>General</c:formatCode>
                <c:ptCount val="2"/>
                <c:pt idx="0">
                  <c:v>28</c:v>
                </c:pt>
              </c:numCache>
              <c:extLst/>
            </c:numRef>
          </c:val>
          <c:extLst>
            <c:ext xmlns:c16="http://schemas.microsoft.com/office/drawing/2014/chart" uri="{C3380CC4-5D6E-409C-BE32-E72D297353CC}">
              <c16:uniqueId val="{00000002-B262-4DBC-A17F-6CC0D9C0D5A2}"/>
            </c:ext>
          </c:extLst>
        </c:ser>
        <c:ser>
          <c:idx val="5"/>
          <c:order val="3"/>
          <c:tx>
            <c:strRef>
              <c:f>CoM_PA_Forecast!$G$4</c:f>
              <c:strCache>
                <c:ptCount val="1"/>
                <c:pt idx="0">
                  <c:v>Hostels Forecast</c:v>
                </c:pt>
              </c:strCache>
            </c:strRef>
          </c:tx>
          <c:spPr>
            <a:solidFill>
              <a:schemeClr val="bg1">
                <a:lumMod val="85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CoM_PA_Forecast!$B$5:$B$16</c:f>
              <c:numCache>
                <c:formatCode>General</c:formatCode>
                <c:ptCount val="2"/>
                <c:pt idx="0">
                  <c:v>2019</c:v>
                </c:pt>
                <c:pt idx="1">
                  <c:v>2024</c:v>
                </c:pt>
              </c:numCache>
              <c:extLst/>
            </c:numRef>
          </c:cat>
          <c:val>
            <c:numRef>
              <c:f>CoM_PA_Forecast!$G$5:$G$16</c:f>
              <c:numCache>
                <c:formatCode>General</c:formatCode>
                <c:ptCount val="2"/>
                <c:pt idx="1">
                  <c:v>29.415202456477118</c:v>
                </c:pt>
              </c:numCache>
              <c:extLst/>
            </c:numRef>
          </c:val>
          <c:extLst>
            <c:ext xmlns:c16="http://schemas.microsoft.com/office/drawing/2014/chart" uri="{C3380CC4-5D6E-409C-BE32-E72D297353CC}">
              <c16:uniqueId val="{00000003-B262-4DBC-A17F-6CC0D9C0D5A2}"/>
            </c:ext>
          </c:extLst>
        </c:ser>
        <c:ser>
          <c:idx val="7"/>
          <c:order val="4"/>
          <c:tx>
            <c:strRef>
              <c:f>CoM_PA_Forecast!$I$4</c:f>
              <c:strCache>
                <c:ptCount val="1"/>
                <c:pt idx="0">
                  <c:v>Student Dormatories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CoM_PA_Forecast!$B$5:$B$16</c:f>
              <c:numCache>
                <c:formatCode>General</c:formatCode>
                <c:ptCount val="2"/>
                <c:pt idx="0">
                  <c:v>2019</c:v>
                </c:pt>
                <c:pt idx="1">
                  <c:v>2024</c:v>
                </c:pt>
              </c:numCache>
              <c:extLst/>
            </c:numRef>
          </c:cat>
          <c:val>
            <c:numRef>
              <c:f>CoM_PA_Forecast!$I$5:$I$16</c:f>
              <c:numCache>
                <c:formatCode>General</c:formatCode>
                <c:ptCount val="2"/>
                <c:pt idx="0">
                  <c:v>20</c:v>
                </c:pt>
              </c:numCache>
              <c:extLst/>
            </c:numRef>
          </c:val>
          <c:extLst>
            <c:ext xmlns:c16="http://schemas.microsoft.com/office/drawing/2014/chart" uri="{C3380CC4-5D6E-409C-BE32-E72D297353CC}">
              <c16:uniqueId val="{00000004-B262-4DBC-A17F-6CC0D9C0D5A2}"/>
            </c:ext>
          </c:extLst>
        </c:ser>
        <c:ser>
          <c:idx val="8"/>
          <c:order val="5"/>
          <c:tx>
            <c:strRef>
              <c:f>CoM_PA_Forecast!$J$4</c:f>
              <c:strCache>
                <c:ptCount val="1"/>
                <c:pt idx="0">
                  <c:v>Student Dormatories Forecast</c:v>
                </c:pt>
              </c:strCache>
            </c:strRef>
          </c:tx>
          <c:spPr>
            <a:solidFill>
              <a:schemeClr val="accent5">
                <a:lumMod val="20000"/>
                <a:lumOff val="80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CoM_PA_Forecast!$B$5:$B$16</c:f>
              <c:numCache>
                <c:formatCode>General</c:formatCode>
                <c:ptCount val="2"/>
                <c:pt idx="0">
                  <c:v>2019</c:v>
                </c:pt>
                <c:pt idx="1">
                  <c:v>2024</c:v>
                </c:pt>
              </c:numCache>
              <c:extLst/>
            </c:numRef>
          </c:cat>
          <c:val>
            <c:numRef>
              <c:f>CoM_PA_Forecast!$J$5:$J$16</c:f>
              <c:numCache>
                <c:formatCode>General</c:formatCode>
                <c:ptCount val="2"/>
                <c:pt idx="1">
                  <c:v>22.328880950123001</c:v>
                </c:pt>
              </c:numCache>
              <c:extLst/>
            </c:numRef>
          </c:val>
          <c:extLst>
            <c:ext xmlns:c16="http://schemas.microsoft.com/office/drawing/2014/chart" uri="{C3380CC4-5D6E-409C-BE32-E72D297353CC}">
              <c16:uniqueId val="{00000005-B262-4DBC-A17F-6CC0D9C0D5A2}"/>
            </c:ext>
          </c:extLst>
        </c:ser>
        <c:ser>
          <c:idx val="13"/>
          <c:order val="8"/>
          <c:tx>
            <c:strRef>
              <c:f>CoM_PA_Forecast!$O$4</c:f>
              <c:strCache>
                <c:ptCount val="1"/>
                <c:pt idx="0">
                  <c:v>Rooming House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CoM_PA_Forecast!$B$5:$B$16</c:f>
              <c:numCache>
                <c:formatCode>General</c:formatCode>
                <c:ptCount val="2"/>
                <c:pt idx="0">
                  <c:v>2019</c:v>
                </c:pt>
                <c:pt idx="1">
                  <c:v>2024</c:v>
                </c:pt>
              </c:numCache>
              <c:extLst/>
            </c:numRef>
          </c:cat>
          <c:val>
            <c:numRef>
              <c:f>CoM_PA_Forecast!$O$5:$O$16</c:f>
              <c:numCache>
                <c:formatCode>General</c:formatCode>
                <c:ptCount val="2"/>
                <c:pt idx="0">
                  <c:v>66</c:v>
                </c:pt>
              </c:numCache>
              <c:extLst/>
            </c:numRef>
          </c:val>
          <c:extLst>
            <c:ext xmlns:c16="http://schemas.microsoft.com/office/drawing/2014/chart" uri="{C3380CC4-5D6E-409C-BE32-E72D297353CC}">
              <c16:uniqueId val="{00000006-B262-4DBC-A17F-6CC0D9C0D5A2}"/>
            </c:ext>
          </c:extLst>
        </c:ser>
        <c:ser>
          <c:idx val="14"/>
          <c:order val="9"/>
          <c:tx>
            <c:strRef>
              <c:f>CoM_PA_Forecast!$P$4</c:f>
              <c:strCache>
                <c:ptCount val="1"/>
                <c:pt idx="0">
                  <c:v>Rooming House Forecast</c:v>
                </c:pt>
              </c:strCache>
            </c:strRef>
          </c:tx>
          <c:spPr>
            <a:solidFill>
              <a:schemeClr val="accent3">
                <a:lumMod val="20000"/>
                <a:lumOff val="80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CoM_PA_Forecast!$B$5:$B$16</c:f>
              <c:numCache>
                <c:formatCode>General</c:formatCode>
                <c:ptCount val="2"/>
                <c:pt idx="0">
                  <c:v>2019</c:v>
                </c:pt>
                <c:pt idx="1">
                  <c:v>2024</c:v>
                </c:pt>
              </c:numCache>
              <c:extLst/>
            </c:numRef>
          </c:cat>
          <c:val>
            <c:numRef>
              <c:f>CoM_PA_Forecast!$P$5:$P$16</c:f>
              <c:numCache>
                <c:formatCode>General</c:formatCode>
                <c:ptCount val="2"/>
                <c:pt idx="1">
                  <c:v>76.459961220435005</c:v>
                </c:pt>
              </c:numCache>
              <c:extLst/>
            </c:numRef>
          </c:val>
          <c:extLst>
            <c:ext xmlns:c16="http://schemas.microsoft.com/office/drawing/2014/chart" uri="{C3380CC4-5D6E-409C-BE32-E72D297353CC}">
              <c16:uniqueId val="{00000007-B262-4DBC-A17F-6CC0D9C0D5A2}"/>
            </c:ext>
          </c:extLst>
        </c:ser>
        <c:ser>
          <c:idx val="16"/>
          <c:order val="10"/>
          <c:tx>
            <c:strRef>
              <c:f>CoM_PA_Forecast!$R$4</c:f>
              <c:strCache>
                <c:ptCount val="1"/>
                <c:pt idx="0">
                  <c:v>Certain Forms of Residential Accommodation</c:v>
                </c:pt>
              </c:strCache>
            </c:strRef>
          </c:tx>
          <c:spPr>
            <a:solidFill>
              <a:schemeClr val="accent2">
                <a:lumMod val="75000"/>
              </a:schemeClr>
            </a:solidFill>
            <a:ln>
              <a:noFill/>
            </a:ln>
            <a:effectLst/>
          </c:spPr>
          <c:invertIfNegative val="0"/>
          <c:dLbls>
            <c:dLbl>
              <c:idx val="0"/>
              <c:tx>
                <c:rich>
                  <a:bodyPr/>
                  <a:lstStyle/>
                  <a:p>
                    <a:fld id="{83F26C5A-A44C-BC40-BE50-B8EC0F511001}" type="VALUE">
                      <a:rPr lang="en-US">
                        <a:solidFill>
                          <a:schemeClr val="bg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B262-4DBC-A17F-6CC0D9C0D5A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CoM_PA_Forecast!$B$5:$B$16</c:f>
              <c:numCache>
                <c:formatCode>General</c:formatCode>
                <c:ptCount val="2"/>
                <c:pt idx="0">
                  <c:v>2019</c:v>
                </c:pt>
                <c:pt idx="1">
                  <c:v>2024</c:v>
                </c:pt>
              </c:numCache>
              <c:extLst/>
            </c:numRef>
          </c:cat>
          <c:val>
            <c:numRef>
              <c:f>CoM_PA_Forecast!$R$5:$R$16</c:f>
              <c:numCache>
                <c:formatCode>General</c:formatCode>
                <c:ptCount val="2"/>
                <c:pt idx="0">
                  <c:v>9</c:v>
                </c:pt>
              </c:numCache>
              <c:extLst/>
            </c:numRef>
          </c:val>
          <c:extLst>
            <c:ext xmlns:c16="http://schemas.microsoft.com/office/drawing/2014/chart" uri="{C3380CC4-5D6E-409C-BE32-E72D297353CC}">
              <c16:uniqueId val="{00000009-B262-4DBC-A17F-6CC0D9C0D5A2}"/>
            </c:ext>
          </c:extLst>
        </c:ser>
        <c:ser>
          <c:idx val="17"/>
          <c:order val="11"/>
          <c:tx>
            <c:strRef>
              <c:f>CoM_PA_Forecast!$S$4</c:f>
              <c:strCache>
                <c:ptCount val="1"/>
                <c:pt idx="0">
                  <c:v>Certain Forms of Residential Accommodation Forecast</c:v>
                </c:pt>
              </c:strCache>
            </c:strRef>
          </c:tx>
          <c:spPr>
            <a:solidFill>
              <a:srgbClr val="43B02A"/>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CoM_PA_Forecast!$B$5:$B$16</c:f>
              <c:numCache>
                <c:formatCode>General</c:formatCode>
                <c:ptCount val="2"/>
                <c:pt idx="0">
                  <c:v>2019</c:v>
                </c:pt>
                <c:pt idx="1">
                  <c:v>2024</c:v>
                </c:pt>
              </c:numCache>
              <c:extLst/>
            </c:numRef>
          </c:cat>
          <c:val>
            <c:numRef>
              <c:f>CoM_PA_Forecast!$S$5:$S$16</c:f>
              <c:numCache>
                <c:formatCode>General</c:formatCode>
                <c:ptCount val="2"/>
                <c:pt idx="1">
                  <c:v>10.187577992868103</c:v>
                </c:pt>
              </c:numCache>
              <c:extLst/>
            </c:numRef>
          </c:val>
          <c:extLst>
            <c:ext xmlns:c16="http://schemas.microsoft.com/office/drawing/2014/chart" uri="{C3380CC4-5D6E-409C-BE32-E72D297353CC}">
              <c16:uniqueId val="{0000000A-B262-4DBC-A17F-6CC0D9C0D5A2}"/>
            </c:ext>
          </c:extLst>
        </c:ser>
        <c:dLbls>
          <c:showLegendKey val="0"/>
          <c:showVal val="0"/>
          <c:showCatName val="0"/>
          <c:showSerName val="0"/>
          <c:showPercent val="0"/>
          <c:showBubbleSize val="0"/>
        </c:dLbls>
        <c:gapWidth val="150"/>
        <c:overlap val="100"/>
        <c:axId val="854216456"/>
        <c:axId val="854216128"/>
        <c:extLst>
          <c:ext xmlns:c15="http://schemas.microsoft.com/office/drawing/2012/chart" uri="{02D57815-91ED-43cb-92C2-25804820EDAC}">
            <c15:filteredBarSeries>
              <c15:ser>
                <c:idx val="10"/>
                <c:order val="6"/>
                <c:tx>
                  <c:strRef>
                    <c:extLst>
                      <c:ext uri="{02D57815-91ED-43cb-92C2-25804820EDAC}">
                        <c15:formulaRef>
                          <c15:sqref>CoM_PA_Forecast!$L$4</c15:sqref>
                        </c15:formulaRef>
                      </c:ext>
                    </c:extLst>
                    <c:strCache>
                      <c:ptCount val="1"/>
                      <c:pt idx="0">
                        <c:v>Holiday Camps</c:v>
                      </c:pt>
                    </c:strCache>
                  </c:strRef>
                </c:tx>
                <c:spPr>
                  <a:solidFill>
                    <a:schemeClr val="tx1">
                      <a:lumMod val="50000"/>
                      <a:lumOff val="50000"/>
                    </a:schemeClr>
                  </a:solidFill>
                  <a:ln>
                    <a:noFill/>
                  </a:ln>
                  <a:effectLst/>
                </c:spPr>
                <c:invertIfNegative val="0"/>
                <c:cat>
                  <c:numRef>
                    <c:extLst>
                      <c:ext uri="{02D57815-91ED-43cb-92C2-25804820EDAC}">
                        <c15:formulaRef>
                          <c15:sqref>CoM_PA_Forecast!$B$5:$B$16</c15:sqref>
                        </c15:formulaRef>
                      </c:ext>
                    </c:extLst>
                    <c:numCache>
                      <c:formatCode>General</c:formatCode>
                      <c:ptCount val="2"/>
                      <c:pt idx="0">
                        <c:v>2019</c:v>
                      </c:pt>
                      <c:pt idx="1">
                        <c:v>2024</c:v>
                      </c:pt>
                    </c:numCache>
                  </c:numRef>
                </c:cat>
                <c:val>
                  <c:numRef>
                    <c:extLst>
                      <c:ext uri="{02D57815-91ED-43cb-92C2-25804820EDAC}">
                        <c15:formulaRef>
                          <c15:sqref>CoM_PA_Forecast!$L$5:$L$16</c15:sqref>
                        </c15:formulaRef>
                      </c:ext>
                    </c:extLst>
                    <c:numCache>
                      <c:formatCode>General</c:formatCode>
                      <c:ptCount val="2"/>
                      <c:pt idx="0">
                        <c:v>1</c:v>
                      </c:pt>
                    </c:numCache>
                  </c:numRef>
                </c:val>
                <c:extLst>
                  <c:ext xmlns:c16="http://schemas.microsoft.com/office/drawing/2014/chart" uri="{C3380CC4-5D6E-409C-BE32-E72D297353CC}">
                    <c16:uniqueId val="{0000000B-B262-4DBC-A17F-6CC0D9C0D5A2}"/>
                  </c:ext>
                </c:extLst>
              </c15:ser>
            </c15:filteredBarSeries>
            <c15:filteredBarSeries>
              <c15:ser>
                <c:idx val="11"/>
                <c:order val="7"/>
                <c:tx>
                  <c:strRef>
                    <c:extLst xmlns:c15="http://schemas.microsoft.com/office/drawing/2012/chart">
                      <c:ext xmlns:c15="http://schemas.microsoft.com/office/drawing/2012/chart" uri="{02D57815-91ED-43cb-92C2-25804820EDAC}">
                        <c15:formulaRef>
                          <c15:sqref>CoM_PA_Forecast!$M$4</c15:sqref>
                        </c15:formulaRef>
                      </c:ext>
                    </c:extLst>
                    <c:strCache>
                      <c:ptCount val="1"/>
                      <c:pt idx="0">
                        <c:v>Holiday Camps Forecast</c:v>
                      </c:pt>
                    </c:strCache>
                  </c:strRef>
                </c:tx>
                <c:spPr>
                  <a:solidFill>
                    <a:schemeClr val="bg1">
                      <a:lumMod val="65000"/>
                    </a:schemeClr>
                  </a:solidFill>
                  <a:ln>
                    <a:noFill/>
                  </a:ln>
                  <a:effectLst/>
                </c:spPr>
                <c:invertIfNegative val="0"/>
                <c:cat>
                  <c:numRef>
                    <c:extLst xmlns:c15="http://schemas.microsoft.com/office/drawing/2012/chart">
                      <c:ext xmlns:c15="http://schemas.microsoft.com/office/drawing/2012/chart" uri="{02D57815-91ED-43cb-92C2-25804820EDAC}">
                        <c15:formulaRef>
                          <c15:sqref>CoM_PA_Forecast!$B$5:$B$16</c15:sqref>
                        </c15:formulaRef>
                      </c:ext>
                    </c:extLst>
                    <c:numCache>
                      <c:formatCode>General</c:formatCode>
                      <c:ptCount val="2"/>
                      <c:pt idx="0">
                        <c:v>2019</c:v>
                      </c:pt>
                      <c:pt idx="1">
                        <c:v>2024</c:v>
                      </c:pt>
                    </c:numCache>
                  </c:numRef>
                </c:cat>
                <c:val>
                  <c:numRef>
                    <c:extLst xmlns:c15="http://schemas.microsoft.com/office/drawing/2012/chart">
                      <c:ext xmlns:c15="http://schemas.microsoft.com/office/drawing/2012/chart" uri="{02D57815-91ED-43cb-92C2-25804820EDAC}">
                        <c15:formulaRef>
                          <c15:sqref>CoM_PA_Forecast!$M$5:$M$16</c15:sqref>
                        </c15:formulaRef>
                      </c:ext>
                    </c:extLst>
                    <c:numCache>
                      <c:formatCode>General</c:formatCode>
                      <c:ptCount val="2"/>
                      <c:pt idx="1">
                        <c:v>1</c:v>
                      </c:pt>
                    </c:numCache>
                  </c:numRef>
                </c:val>
                <c:extLst xmlns:c15="http://schemas.microsoft.com/office/drawing/2012/chart">
                  <c:ext xmlns:c16="http://schemas.microsoft.com/office/drawing/2014/chart" uri="{C3380CC4-5D6E-409C-BE32-E72D297353CC}">
                    <c16:uniqueId val="{0000000C-B262-4DBC-A17F-6CC0D9C0D5A2}"/>
                  </c:ext>
                </c:extLst>
              </c15:ser>
            </c15:filteredBarSeries>
          </c:ext>
        </c:extLst>
      </c:barChart>
      <c:catAx>
        <c:axId val="854216456"/>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solidFill>
                    <a:latin typeface="+mj-lt"/>
                    <a:ea typeface="+mn-ea"/>
                    <a:cs typeface="Arial" panose="020B0604020202020204" pitchFamily="34" charset="0"/>
                  </a:defRPr>
                </a:pPr>
                <a:r>
                  <a:rPr lang="en-AU" sz="800">
                    <a:solidFill>
                      <a:schemeClr val="tx1"/>
                    </a:solidFill>
                    <a:latin typeface="+mj-lt"/>
                  </a:rPr>
                  <a:t>Year</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solidFill>
                  <a:latin typeface="+mj-lt"/>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j-lt"/>
                <a:ea typeface="+mn-ea"/>
                <a:cs typeface="Arial" panose="020B0604020202020204" pitchFamily="34" charset="0"/>
              </a:defRPr>
            </a:pPr>
            <a:endParaRPr lang="en-US"/>
          </a:p>
        </c:txPr>
        <c:crossAx val="854216128"/>
        <c:crosses val="autoZero"/>
        <c:auto val="1"/>
        <c:lblAlgn val="ctr"/>
        <c:lblOffset val="100"/>
        <c:noMultiLvlLbl val="0"/>
      </c:catAx>
      <c:valAx>
        <c:axId val="8542161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solidFill>
                    <a:latin typeface="+mj-lt"/>
                    <a:ea typeface="+mn-ea"/>
                    <a:cs typeface="Arial" panose="020B0604020202020204" pitchFamily="34" charset="0"/>
                  </a:defRPr>
                </a:pPr>
                <a:r>
                  <a:rPr lang="en-AU" sz="800" b="0" i="0" baseline="0">
                    <a:solidFill>
                      <a:schemeClr val="tx1"/>
                    </a:solidFill>
                    <a:effectLst/>
                    <a:latin typeface="+mj-lt"/>
                  </a:rPr>
                  <a:t>Number of registered prescribed accommodation</a:t>
                </a:r>
                <a:endParaRPr lang="en-AU" sz="800">
                  <a:solidFill>
                    <a:schemeClr val="tx1"/>
                  </a:solidFill>
                  <a:effectLst/>
                  <a:latin typeface="+mj-lt"/>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j-lt"/>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j-lt"/>
                <a:ea typeface="+mn-ea"/>
                <a:cs typeface="Arial" panose="020B0604020202020204" pitchFamily="34" charset="0"/>
              </a:defRPr>
            </a:pPr>
            <a:endParaRPr lang="en-US"/>
          </a:p>
        </c:txPr>
        <c:crossAx val="854216456"/>
        <c:crosses val="autoZero"/>
        <c:crossBetween val="between"/>
      </c:valAx>
      <c:spPr>
        <a:noFill/>
        <a:ln>
          <a:noFill/>
        </a:ln>
        <a:effectLst/>
      </c:spPr>
    </c:plotArea>
    <c:legend>
      <c:legendPos val="t"/>
      <c:layout>
        <c:manualLayout>
          <c:xMode val="edge"/>
          <c:yMode val="edge"/>
          <c:x val="7.529578451090699E-3"/>
          <c:y val="2.5078369905956112E-2"/>
          <c:w val="0.97253132913711537"/>
          <c:h val="0.2294118592318817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0BF9AEC28240C986C566BD6C883CA3"/>
        <w:category>
          <w:name w:val="General"/>
          <w:gallery w:val="placeholder"/>
        </w:category>
        <w:types>
          <w:type w:val="bbPlcHdr"/>
        </w:types>
        <w:behaviors>
          <w:behavior w:val="content"/>
        </w:behaviors>
        <w:guid w:val="{21E93981-BA08-401E-A0B2-178B88588717}"/>
      </w:docPartPr>
      <w:docPartBody>
        <w:p w:rsidR="009B70DA" w:rsidRDefault="0031761E">
          <w:pPr>
            <w:pStyle w:val="DE0BF9AEC28240C986C566BD6C883CA3"/>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egoe UI Light">
    <w:panose1 w:val="020B0502040204020203"/>
    <w:charset w:val="00"/>
    <w:family w:val="swiss"/>
    <w:pitch w:val="variable"/>
    <w:sig w:usb0="E4002EFF" w:usb1="C000E47F" w:usb2="00000009" w:usb3="00000000" w:csb0="000001FF" w:csb1="00000000"/>
  </w:font>
  <w:font w:name="Gotham Bold">
    <w:altName w:val="Times New Roman"/>
    <w:panose1 w:val="00000000000000000000"/>
    <w:charset w:val="00"/>
    <w:family w:val="modern"/>
    <w:notTrueType/>
    <w:pitch w:val="variable"/>
    <w:sig w:usb0="A10000FF" w:usb1="4000005B" w:usb2="00000000" w:usb3="00000000" w:csb0="0000009B" w:csb1="00000000"/>
  </w:font>
  <w:font w:name="Wingdings 3">
    <w:panose1 w:val="050401020108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OpenSans-Bold">
    <w:altName w:val="Calibri"/>
    <w:panose1 w:val="00000000000000000000"/>
    <w:charset w:val="4D"/>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onsolas">
    <w:panose1 w:val="020B0609020204030204"/>
    <w:charset w:val="00"/>
    <w:family w:val="modern"/>
    <w:pitch w:val="fixed"/>
    <w:sig w:usb0="E10002FF" w:usb1="4000FCFF" w:usb2="00000009" w:usb3="00000000" w:csb0="0000019F" w:csb1="00000000"/>
  </w:font>
  <w:font w:name="Candara">
    <w:panose1 w:val="020E0502030303020204"/>
    <w:charset w:val="00"/>
    <w:family w:val="swiss"/>
    <w:pitch w:val="variable"/>
    <w:sig w:usb0="A00002EF" w:usb1="4000A44B" w:usb2="00000000" w:usb3="00000000" w:csb0="0000019F" w:csb1="00000000"/>
  </w:font>
  <w:font w:name="Times">
    <w:panose1 w:val="02020603050405020304"/>
    <w:charset w:val="00"/>
    <w:family w:val="auto"/>
    <w:pitch w:val="variable"/>
    <w:sig w:usb0="E00002FF" w:usb1="5000205A" w:usb2="00000000" w:usb3="00000000" w:csb0="0000019F" w:csb1="00000000"/>
  </w:font>
  <w:font w:name="HelveticaNeueLT Std Thin">
    <w:altName w:val="Arial"/>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Yu Mincho">
    <w:panose1 w:val="02020400000000000000"/>
    <w:charset w:val="80"/>
    <w:family w:val="roman"/>
    <w:pitch w:val="variable"/>
    <w:sig w:usb0="800002E7" w:usb1="2AC7FCF0"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5316"/>
    <w:rsid w:val="00000730"/>
    <w:rsid w:val="000019BC"/>
    <w:rsid w:val="0002423C"/>
    <w:rsid w:val="00032397"/>
    <w:rsid w:val="00042400"/>
    <w:rsid w:val="00045635"/>
    <w:rsid w:val="00051EFC"/>
    <w:rsid w:val="00052F1D"/>
    <w:rsid w:val="00056B6B"/>
    <w:rsid w:val="00064AF7"/>
    <w:rsid w:val="00064E49"/>
    <w:rsid w:val="0007275D"/>
    <w:rsid w:val="00074772"/>
    <w:rsid w:val="0008432D"/>
    <w:rsid w:val="00087772"/>
    <w:rsid w:val="00093247"/>
    <w:rsid w:val="00095316"/>
    <w:rsid w:val="000A0C69"/>
    <w:rsid w:val="000B1545"/>
    <w:rsid w:val="000B2025"/>
    <w:rsid w:val="000C06D1"/>
    <w:rsid w:val="000C1FD2"/>
    <w:rsid w:val="000C3638"/>
    <w:rsid w:val="000D6AD7"/>
    <w:rsid w:val="000D6ADB"/>
    <w:rsid w:val="001023D9"/>
    <w:rsid w:val="00121DD3"/>
    <w:rsid w:val="00122175"/>
    <w:rsid w:val="001239DD"/>
    <w:rsid w:val="00125B6D"/>
    <w:rsid w:val="00132E75"/>
    <w:rsid w:val="00133465"/>
    <w:rsid w:val="00144155"/>
    <w:rsid w:val="001450AA"/>
    <w:rsid w:val="001478DE"/>
    <w:rsid w:val="00150F94"/>
    <w:rsid w:val="00161694"/>
    <w:rsid w:val="00163E6A"/>
    <w:rsid w:val="00175A28"/>
    <w:rsid w:val="00181A0B"/>
    <w:rsid w:val="00181B33"/>
    <w:rsid w:val="00182317"/>
    <w:rsid w:val="00183C82"/>
    <w:rsid w:val="0019500D"/>
    <w:rsid w:val="001A34FC"/>
    <w:rsid w:val="001B537B"/>
    <w:rsid w:val="001D2CEF"/>
    <w:rsid w:val="001D5401"/>
    <w:rsid w:val="001F2CB2"/>
    <w:rsid w:val="002375D7"/>
    <w:rsid w:val="002544A8"/>
    <w:rsid w:val="002559F9"/>
    <w:rsid w:val="002744E9"/>
    <w:rsid w:val="002761AC"/>
    <w:rsid w:val="002830E5"/>
    <w:rsid w:val="00287A03"/>
    <w:rsid w:val="00292BFA"/>
    <w:rsid w:val="00294F3A"/>
    <w:rsid w:val="002B3451"/>
    <w:rsid w:val="002D158C"/>
    <w:rsid w:val="002D37FA"/>
    <w:rsid w:val="002E35F7"/>
    <w:rsid w:val="003023B4"/>
    <w:rsid w:val="00307C7D"/>
    <w:rsid w:val="0031010A"/>
    <w:rsid w:val="003121C2"/>
    <w:rsid w:val="00316697"/>
    <w:rsid w:val="0031761E"/>
    <w:rsid w:val="003318F7"/>
    <w:rsid w:val="00337C69"/>
    <w:rsid w:val="003430E2"/>
    <w:rsid w:val="00343876"/>
    <w:rsid w:val="003527EA"/>
    <w:rsid w:val="00361108"/>
    <w:rsid w:val="00361C90"/>
    <w:rsid w:val="003810B5"/>
    <w:rsid w:val="00384B36"/>
    <w:rsid w:val="00387BEC"/>
    <w:rsid w:val="003A2B0C"/>
    <w:rsid w:val="003A3E91"/>
    <w:rsid w:val="003A7A5D"/>
    <w:rsid w:val="003B48CC"/>
    <w:rsid w:val="003C0BBD"/>
    <w:rsid w:val="003C67CE"/>
    <w:rsid w:val="003D2103"/>
    <w:rsid w:val="003E04DD"/>
    <w:rsid w:val="003E3771"/>
    <w:rsid w:val="003F09DF"/>
    <w:rsid w:val="00417D0F"/>
    <w:rsid w:val="004338BF"/>
    <w:rsid w:val="00441B51"/>
    <w:rsid w:val="00466E5F"/>
    <w:rsid w:val="004679F0"/>
    <w:rsid w:val="00473F0E"/>
    <w:rsid w:val="00476961"/>
    <w:rsid w:val="004813A0"/>
    <w:rsid w:val="00482D02"/>
    <w:rsid w:val="004876A6"/>
    <w:rsid w:val="00491EFA"/>
    <w:rsid w:val="00491F04"/>
    <w:rsid w:val="00494486"/>
    <w:rsid w:val="004A04C2"/>
    <w:rsid w:val="004A160B"/>
    <w:rsid w:val="004C2B50"/>
    <w:rsid w:val="004D57A9"/>
    <w:rsid w:val="004D7D34"/>
    <w:rsid w:val="004E7293"/>
    <w:rsid w:val="004F1CDC"/>
    <w:rsid w:val="004F20A0"/>
    <w:rsid w:val="0050038F"/>
    <w:rsid w:val="00500ACA"/>
    <w:rsid w:val="00505ACA"/>
    <w:rsid w:val="00505E33"/>
    <w:rsid w:val="00507AA8"/>
    <w:rsid w:val="00512432"/>
    <w:rsid w:val="00536BD4"/>
    <w:rsid w:val="00540F95"/>
    <w:rsid w:val="00551B65"/>
    <w:rsid w:val="0055778D"/>
    <w:rsid w:val="00572828"/>
    <w:rsid w:val="00573F6E"/>
    <w:rsid w:val="00590F47"/>
    <w:rsid w:val="00595A7D"/>
    <w:rsid w:val="005A294E"/>
    <w:rsid w:val="005A701C"/>
    <w:rsid w:val="005B1D01"/>
    <w:rsid w:val="005B2F32"/>
    <w:rsid w:val="005B7A7F"/>
    <w:rsid w:val="005E6350"/>
    <w:rsid w:val="005F6DDB"/>
    <w:rsid w:val="00603E48"/>
    <w:rsid w:val="00605651"/>
    <w:rsid w:val="00610D2E"/>
    <w:rsid w:val="00640ADC"/>
    <w:rsid w:val="006470E2"/>
    <w:rsid w:val="00662D26"/>
    <w:rsid w:val="006723E3"/>
    <w:rsid w:val="006774B0"/>
    <w:rsid w:val="0069622D"/>
    <w:rsid w:val="006A001B"/>
    <w:rsid w:val="006A25BF"/>
    <w:rsid w:val="006A6B81"/>
    <w:rsid w:val="006B4057"/>
    <w:rsid w:val="006E7B05"/>
    <w:rsid w:val="006F0668"/>
    <w:rsid w:val="006F2DFE"/>
    <w:rsid w:val="006F7CF7"/>
    <w:rsid w:val="00734BB1"/>
    <w:rsid w:val="00771945"/>
    <w:rsid w:val="00771F22"/>
    <w:rsid w:val="007750F1"/>
    <w:rsid w:val="00784389"/>
    <w:rsid w:val="007849C3"/>
    <w:rsid w:val="007879F9"/>
    <w:rsid w:val="00794BFA"/>
    <w:rsid w:val="00796DBB"/>
    <w:rsid w:val="007B44D9"/>
    <w:rsid w:val="007B55A1"/>
    <w:rsid w:val="007D10A7"/>
    <w:rsid w:val="007D5DE7"/>
    <w:rsid w:val="007D7CF1"/>
    <w:rsid w:val="007E6CD4"/>
    <w:rsid w:val="007F072E"/>
    <w:rsid w:val="007F5F6F"/>
    <w:rsid w:val="0080402F"/>
    <w:rsid w:val="00804CAE"/>
    <w:rsid w:val="00811FC9"/>
    <w:rsid w:val="008123C3"/>
    <w:rsid w:val="0082121B"/>
    <w:rsid w:val="008219EA"/>
    <w:rsid w:val="00831DA5"/>
    <w:rsid w:val="008328E3"/>
    <w:rsid w:val="00832EEC"/>
    <w:rsid w:val="00845B0C"/>
    <w:rsid w:val="00846FD8"/>
    <w:rsid w:val="00854039"/>
    <w:rsid w:val="0085779F"/>
    <w:rsid w:val="00865D24"/>
    <w:rsid w:val="00885177"/>
    <w:rsid w:val="00897987"/>
    <w:rsid w:val="008A7681"/>
    <w:rsid w:val="008D2EB2"/>
    <w:rsid w:val="008D6FFA"/>
    <w:rsid w:val="008F060F"/>
    <w:rsid w:val="0090567C"/>
    <w:rsid w:val="00915E47"/>
    <w:rsid w:val="00934D77"/>
    <w:rsid w:val="00955F73"/>
    <w:rsid w:val="00957B84"/>
    <w:rsid w:val="0097450F"/>
    <w:rsid w:val="00975427"/>
    <w:rsid w:val="009A11C3"/>
    <w:rsid w:val="009B5FB9"/>
    <w:rsid w:val="009B70DA"/>
    <w:rsid w:val="009D12B1"/>
    <w:rsid w:val="009E397B"/>
    <w:rsid w:val="009E672E"/>
    <w:rsid w:val="00A019CC"/>
    <w:rsid w:val="00A10BB3"/>
    <w:rsid w:val="00A11407"/>
    <w:rsid w:val="00A130B3"/>
    <w:rsid w:val="00A21DD6"/>
    <w:rsid w:val="00A33FE0"/>
    <w:rsid w:val="00A5146E"/>
    <w:rsid w:val="00A63DA7"/>
    <w:rsid w:val="00A65B3B"/>
    <w:rsid w:val="00A73E09"/>
    <w:rsid w:val="00A9053F"/>
    <w:rsid w:val="00A90694"/>
    <w:rsid w:val="00A92438"/>
    <w:rsid w:val="00A941B7"/>
    <w:rsid w:val="00A9571D"/>
    <w:rsid w:val="00A96E48"/>
    <w:rsid w:val="00AA352D"/>
    <w:rsid w:val="00AB7C33"/>
    <w:rsid w:val="00AC0C7C"/>
    <w:rsid w:val="00AC637B"/>
    <w:rsid w:val="00AD0C80"/>
    <w:rsid w:val="00AE1918"/>
    <w:rsid w:val="00B03AE2"/>
    <w:rsid w:val="00B11FFC"/>
    <w:rsid w:val="00B16FE0"/>
    <w:rsid w:val="00B1727F"/>
    <w:rsid w:val="00B220DB"/>
    <w:rsid w:val="00B233FD"/>
    <w:rsid w:val="00B27100"/>
    <w:rsid w:val="00B31923"/>
    <w:rsid w:val="00B349F4"/>
    <w:rsid w:val="00B40BB7"/>
    <w:rsid w:val="00B50D1D"/>
    <w:rsid w:val="00B531D2"/>
    <w:rsid w:val="00B531D8"/>
    <w:rsid w:val="00B56DD8"/>
    <w:rsid w:val="00B726A5"/>
    <w:rsid w:val="00B7718F"/>
    <w:rsid w:val="00B807DF"/>
    <w:rsid w:val="00B82FC3"/>
    <w:rsid w:val="00B8455B"/>
    <w:rsid w:val="00B853BA"/>
    <w:rsid w:val="00B90015"/>
    <w:rsid w:val="00B90355"/>
    <w:rsid w:val="00BA0462"/>
    <w:rsid w:val="00BA5538"/>
    <w:rsid w:val="00BB3144"/>
    <w:rsid w:val="00BB4CD0"/>
    <w:rsid w:val="00BD0EE3"/>
    <w:rsid w:val="00BF4EED"/>
    <w:rsid w:val="00C00AD0"/>
    <w:rsid w:val="00C104F5"/>
    <w:rsid w:val="00C17021"/>
    <w:rsid w:val="00C22174"/>
    <w:rsid w:val="00C34B4F"/>
    <w:rsid w:val="00C40A76"/>
    <w:rsid w:val="00C4640C"/>
    <w:rsid w:val="00C5586D"/>
    <w:rsid w:val="00C730A6"/>
    <w:rsid w:val="00C8048A"/>
    <w:rsid w:val="00C84166"/>
    <w:rsid w:val="00C9219D"/>
    <w:rsid w:val="00CA4A21"/>
    <w:rsid w:val="00CA7512"/>
    <w:rsid w:val="00CB21E3"/>
    <w:rsid w:val="00CB5D53"/>
    <w:rsid w:val="00CC5D56"/>
    <w:rsid w:val="00CC7D95"/>
    <w:rsid w:val="00CD07AB"/>
    <w:rsid w:val="00CE0403"/>
    <w:rsid w:val="00CE7DC2"/>
    <w:rsid w:val="00CF23E9"/>
    <w:rsid w:val="00CF2EAC"/>
    <w:rsid w:val="00D0254E"/>
    <w:rsid w:val="00D05FB1"/>
    <w:rsid w:val="00D21846"/>
    <w:rsid w:val="00D2798C"/>
    <w:rsid w:val="00D35242"/>
    <w:rsid w:val="00D35545"/>
    <w:rsid w:val="00D3663D"/>
    <w:rsid w:val="00D46D0D"/>
    <w:rsid w:val="00D50EC7"/>
    <w:rsid w:val="00D656D3"/>
    <w:rsid w:val="00D6721B"/>
    <w:rsid w:val="00D67DA0"/>
    <w:rsid w:val="00D77F0E"/>
    <w:rsid w:val="00D93E4A"/>
    <w:rsid w:val="00DA05E2"/>
    <w:rsid w:val="00DB5C96"/>
    <w:rsid w:val="00DB65BC"/>
    <w:rsid w:val="00DB7FEA"/>
    <w:rsid w:val="00DC27AE"/>
    <w:rsid w:val="00DC4735"/>
    <w:rsid w:val="00DC5D37"/>
    <w:rsid w:val="00DE609C"/>
    <w:rsid w:val="00E020D9"/>
    <w:rsid w:val="00E1480F"/>
    <w:rsid w:val="00E23AF8"/>
    <w:rsid w:val="00E27CF8"/>
    <w:rsid w:val="00E31326"/>
    <w:rsid w:val="00E32DCB"/>
    <w:rsid w:val="00E56822"/>
    <w:rsid w:val="00E568B5"/>
    <w:rsid w:val="00E64936"/>
    <w:rsid w:val="00E71EC9"/>
    <w:rsid w:val="00E769B3"/>
    <w:rsid w:val="00E94EFE"/>
    <w:rsid w:val="00EA480D"/>
    <w:rsid w:val="00EC343E"/>
    <w:rsid w:val="00EC60D5"/>
    <w:rsid w:val="00ED721F"/>
    <w:rsid w:val="00EE1B8B"/>
    <w:rsid w:val="00EE78CE"/>
    <w:rsid w:val="00F01A04"/>
    <w:rsid w:val="00F16D18"/>
    <w:rsid w:val="00F3135B"/>
    <w:rsid w:val="00F31E63"/>
    <w:rsid w:val="00F532CA"/>
    <w:rsid w:val="00F61F65"/>
    <w:rsid w:val="00F67C4E"/>
    <w:rsid w:val="00F74BB0"/>
    <w:rsid w:val="00F75BD1"/>
    <w:rsid w:val="00F81F38"/>
    <w:rsid w:val="00F85549"/>
    <w:rsid w:val="00F91DF0"/>
    <w:rsid w:val="00F945B0"/>
    <w:rsid w:val="00F979E5"/>
    <w:rsid w:val="00FA2AD8"/>
    <w:rsid w:val="00FC4A34"/>
    <w:rsid w:val="00FD5F88"/>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95316"/>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C1FD2"/>
    <w:pPr>
      <w:spacing w:after="0" w:line="240" w:lineRule="auto"/>
    </w:pPr>
    <w:rPr>
      <w:rFonts w:ascii="Verdana" w:eastAsiaTheme="minorHAnsi" w:hAnsi="Verdana"/>
      <w:sz w:val="18"/>
      <w:szCs w:val="18"/>
      <w:lang w:val="en-GB" w:eastAsia="en-US"/>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customStyle="1" w:styleId="Documenttitle">
    <w:name w:val="Document title"/>
    <w:next w:val="Documentsubtitle"/>
    <w:uiPriority w:val="7"/>
    <w:rsid w:val="000C1FD2"/>
    <w:pPr>
      <w:spacing w:after="0" w:line="440" w:lineRule="atLeast"/>
    </w:pPr>
    <w:rPr>
      <w:rFonts w:asciiTheme="majorHAnsi" w:eastAsiaTheme="majorEastAsia" w:hAnsiTheme="majorHAnsi" w:cstheme="majorBidi"/>
      <w:b/>
      <w:bCs/>
      <w:color w:val="000000" w:themeColor="text1"/>
      <w:sz w:val="36"/>
      <w:szCs w:val="28"/>
      <w:lang w:val="en-GB" w:eastAsia="en-US"/>
    </w:rPr>
  </w:style>
  <w:style w:type="paragraph" w:customStyle="1" w:styleId="Documentdate">
    <w:name w:val="Document date"/>
    <w:uiPriority w:val="7"/>
    <w:rsid w:val="000C1FD2"/>
    <w:pPr>
      <w:spacing w:after="0" w:line="240" w:lineRule="atLeast"/>
    </w:pPr>
    <w:rPr>
      <w:rFonts w:ascii="Verdana" w:eastAsiaTheme="minorHAnsi" w:hAnsi="Verdana"/>
      <w:sz w:val="18"/>
      <w:szCs w:val="18"/>
      <w:lang w:val="en-GB" w:eastAsia="en-US"/>
    </w:rPr>
  </w:style>
  <w:style w:type="paragraph" w:customStyle="1" w:styleId="Documentsubtitle">
    <w:name w:val="Document subtitle"/>
    <w:basedOn w:val="Normal"/>
    <w:uiPriority w:val="7"/>
    <w:rsid w:val="000C1FD2"/>
    <w:pPr>
      <w:spacing w:after="120" w:line="440" w:lineRule="atLeast"/>
    </w:pPr>
    <w:rPr>
      <w:rFonts w:ascii="Verdana" w:eastAsiaTheme="minorHAnsi" w:hAnsi="Verdana" w:cstheme="minorBidi"/>
      <w:sz w:val="36"/>
      <w:szCs w:val="18"/>
      <w:lang w:val="en-GB" w:eastAsia="en-US"/>
    </w:rPr>
  </w:style>
  <w:style w:type="character" w:styleId="PlaceholderText">
    <w:name w:val="Placeholder Text"/>
    <w:basedOn w:val="DefaultParagraphFont"/>
    <w:uiPriority w:val="99"/>
    <w:semiHidden/>
    <w:rsid w:val="00482D02"/>
    <w:rPr>
      <w:color w:val="808080"/>
      <w:lang w:val="en-GB"/>
    </w:rPr>
  </w:style>
  <w:style w:type="paragraph" w:customStyle="1" w:styleId="6F52E6BED8FA4D04875403527C8B12E4">
    <w:name w:val="6F52E6BED8FA4D04875403527C8B12E4"/>
    <w:rsid w:val="007F072E"/>
  </w:style>
  <w:style w:type="paragraph" w:customStyle="1" w:styleId="8142EC3DC98F4304BF9B264ED5B400B8">
    <w:name w:val="8142EC3DC98F4304BF9B264ED5B400B8"/>
    <w:rsid w:val="004A04C2"/>
  </w:style>
  <w:style w:type="paragraph" w:customStyle="1" w:styleId="A3A9754C83D34111A3C31F73379229C5">
    <w:name w:val="A3A9754C83D34111A3C31F73379229C5"/>
    <w:rsid w:val="004A04C2"/>
  </w:style>
  <w:style w:type="paragraph" w:customStyle="1" w:styleId="339E374970F340CBB09035E9DDB4F544">
    <w:name w:val="339E374970F340CBB09035E9DDB4F544"/>
    <w:rsid w:val="004A04C2"/>
  </w:style>
  <w:style w:type="table" w:customStyle="1" w:styleId="Tabel-Gitter1">
    <w:name w:val="Tabel - Gitter1"/>
    <w:basedOn w:val="TableNormal"/>
    <w:next w:val="TableGrid"/>
    <w:uiPriority w:val="59"/>
    <w:rsid w:val="000C1FD2"/>
    <w:pPr>
      <w:spacing w:after="0" w:line="240" w:lineRule="auto"/>
    </w:pPr>
    <w:rPr>
      <w:rFonts w:ascii="Verdana" w:eastAsiaTheme="minorHAnsi" w:hAnsi="Verdana"/>
      <w:sz w:val="18"/>
      <w:szCs w:val="18"/>
      <w:lang w:val="en-GB" w:eastAsia="en-US"/>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customStyle="1" w:styleId="86514636B67F4B00B62354DAEE7E2734">
    <w:name w:val="86514636B67F4B00B62354DAEE7E2734"/>
    <w:rsid w:val="000C1FD2"/>
  </w:style>
  <w:style w:type="paragraph" w:customStyle="1" w:styleId="C45E729855534210817CDBD0392930EE">
    <w:name w:val="C45E729855534210817CDBD0392930EE"/>
    <w:rsid w:val="000C1FD2"/>
  </w:style>
  <w:style w:type="paragraph" w:customStyle="1" w:styleId="61CE89F2CB8B457296A3A64E07D2D231">
    <w:name w:val="61CE89F2CB8B457296A3A64E07D2D231"/>
    <w:rsid w:val="000C1FD2"/>
  </w:style>
  <w:style w:type="paragraph" w:customStyle="1" w:styleId="3A96E4B3250843CFA343BBB3647E633E">
    <w:name w:val="3A96E4B3250843CFA343BBB3647E633E"/>
    <w:rsid w:val="000C1FD2"/>
  </w:style>
  <w:style w:type="paragraph" w:customStyle="1" w:styleId="2B29019ECD9E498286CA4D4B5933A5C0">
    <w:name w:val="2B29019ECD9E498286CA4D4B5933A5C0"/>
    <w:rsid w:val="000C1FD2"/>
  </w:style>
  <w:style w:type="paragraph" w:customStyle="1" w:styleId="A5857467F8204342B83013D6457569CF">
    <w:name w:val="A5857467F8204342B83013D6457569CF"/>
    <w:rsid w:val="000C1FD2"/>
  </w:style>
  <w:style w:type="paragraph" w:customStyle="1" w:styleId="7201696C3BC54FFAA3258F6EC4636D9A">
    <w:name w:val="7201696C3BC54FFAA3258F6EC4636D9A"/>
    <w:rsid w:val="000C1FD2"/>
  </w:style>
  <w:style w:type="paragraph" w:customStyle="1" w:styleId="56143E00805142BD9FAFC940B130396B">
    <w:name w:val="56143E00805142BD9FAFC940B130396B"/>
    <w:rsid w:val="000C1FD2"/>
  </w:style>
  <w:style w:type="paragraph" w:customStyle="1" w:styleId="B8234058F1094BDD91864EDFE7CBC8F8">
    <w:name w:val="B8234058F1094BDD91864EDFE7CBC8F8"/>
    <w:rsid w:val="000C1FD2"/>
  </w:style>
  <w:style w:type="paragraph" w:customStyle="1" w:styleId="62374E895BEF43F29C6F1BFAEA2D3616">
    <w:name w:val="62374E895BEF43F29C6F1BFAEA2D3616"/>
    <w:rsid w:val="000C1FD2"/>
  </w:style>
  <w:style w:type="paragraph" w:customStyle="1" w:styleId="7FDD9F1D1E5546C980D97C3001F88DF8">
    <w:name w:val="7FDD9F1D1E5546C980D97C3001F88DF8"/>
    <w:rsid w:val="000C1FD2"/>
  </w:style>
  <w:style w:type="paragraph" w:customStyle="1" w:styleId="2ED34137BF3B4F33852F00E33DA621CF">
    <w:name w:val="2ED34137BF3B4F33852F00E33DA621CF"/>
    <w:rsid w:val="000C1FD2"/>
  </w:style>
  <w:style w:type="paragraph" w:customStyle="1" w:styleId="39E89E11979C48CA8895B477DB773428">
    <w:name w:val="39E89E11979C48CA8895B477DB773428"/>
    <w:rsid w:val="000C1FD2"/>
  </w:style>
  <w:style w:type="paragraph" w:customStyle="1" w:styleId="62B21152C129429D94BE703EF5FBF594">
    <w:name w:val="62B21152C129429D94BE703EF5FBF594"/>
    <w:rsid w:val="000C1FD2"/>
  </w:style>
  <w:style w:type="paragraph" w:customStyle="1" w:styleId="456A8B69549943A591DB234F72847624">
    <w:name w:val="456A8B69549943A591DB234F72847624"/>
    <w:rsid w:val="000C1FD2"/>
  </w:style>
  <w:style w:type="paragraph" w:customStyle="1" w:styleId="029919B33EAD47E988B128CB2FFB38CB">
    <w:name w:val="029919B33EAD47E988B128CB2FFB38CB"/>
    <w:rsid w:val="000C1FD2"/>
  </w:style>
  <w:style w:type="paragraph" w:customStyle="1" w:styleId="ECAFF258CFBD4BDD9B0F602BFED26E15">
    <w:name w:val="ECAFF258CFBD4BDD9B0F602BFED26E15"/>
    <w:rsid w:val="006A25BF"/>
  </w:style>
  <w:style w:type="paragraph" w:customStyle="1" w:styleId="A1AFA7F5C5334F3AB5999A0A3F256735">
    <w:name w:val="A1AFA7F5C5334F3AB5999A0A3F256735"/>
    <w:rsid w:val="006A25BF"/>
  </w:style>
  <w:style w:type="paragraph" w:customStyle="1" w:styleId="28095E34EF4C47A1ABA5EAE42D5955F8">
    <w:name w:val="28095E34EF4C47A1ABA5EAE42D5955F8"/>
    <w:rsid w:val="006A25BF"/>
  </w:style>
  <w:style w:type="paragraph" w:customStyle="1" w:styleId="BCE5F30A64DC4A0FBA61C6C4C2E64B90">
    <w:name w:val="BCE5F30A64DC4A0FBA61C6C4C2E64B90"/>
    <w:rsid w:val="00F532CA"/>
  </w:style>
  <w:style w:type="paragraph" w:customStyle="1" w:styleId="320FB5E9C79748E18DABFD65734C759E">
    <w:name w:val="320FB5E9C79748E18DABFD65734C759E"/>
    <w:rsid w:val="0031761E"/>
  </w:style>
  <w:style w:type="paragraph" w:customStyle="1" w:styleId="E0D96FF2B7004DC49783C189E0760366">
    <w:name w:val="E0D96FF2B7004DC49783C189E0760366"/>
    <w:rsid w:val="008D2EB2"/>
  </w:style>
  <w:style w:type="paragraph" w:customStyle="1" w:styleId="0DC3989BCA844ACABC24A63D6E96BE5B">
    <w:name w:val="0DC3989BCA844ACABC24A63D6E96BE5B"/>
    <w:rsid w:val="00B853BA"/>
    <w:pPr>
      <w:spacing w:after="160" w:line="259" w:lineRule="auto"/>
    </w:pPr>
  </w:style>
  <w:style w:type="paragraph" w:customStyle="1" w:styleId="7D83D5BF34244E2A8B5A817125C519AD">
    <w:name w:val="7D83D5BF34244E2A8B5A817125C519AD"/>
    <w:rsid w:val="00B853BA"/>
    <w:pPr>
      <w:spacing w:after="160" w:line="259" w:lineRule="auto"/>
    </w:pPr>
  </w:style>
  <w:style w:type="paragraph" w:customStyle="1" w:styleId="DDA79C5C720144AC8356A32D29D639AA">
    <w:name w:val="DDA79C5C720144AC8356A32D29D639AA"/>
    <w:rsid w:val="00DA05E2"/>
    <w:pPr>
      <w:spacing w:after="160" w:line="259" w:lineRule="auto"/>
    </w:pPr>
  </w:style>
  <w:style w:type="paragraph" w:customStyle="1" w:styleId="C19FC841B059469A8E641BA892CEE0FD">
    <w:name w:val="C19FC841B059469A8E641BA892CEE0FD"/>
    <w:rsid w:val="00482D02"/>
    <w:pPr>
      <w:spacing w:after="160" w:line="259" w:lineRule="auto"/>
    </w:pPr>
  </w:style>
  <w:style w:type="paragraph" w:customStyle="1" w:styleId="F4F00146543A473B91BCD3A8E10D69EE">
    <w:name w:val="F4F00146543A473B91BCD3A8E10D69EE"/>
    <w:rsid w:val="00482D02"/>
    <w:pPr>
      <w:spacing w:after="160" w:line="259" w:lineRule="auto"/>
    </w:pPr>
  </w:style>
  <w:style w:type="paragraph" w:customStyle="1" w:styleId="DE0BF9AEC28240C986C566BD6C883CA3">
    <w:name w:val="DE0BF9AEC28240C986C566BD6C883CA3"/>
    <w:pPr>
      <w:spacing w:after="160" w:line="259" w:lineRule="auto"/>
    </w:pPr>
    <w:rPr>
      <w:lang w:val="en-AU"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Deloitte">
  <a:themeElements>
    <a:clrScheme name="Deloitte">
      <a:dk1>
        <a:srgbClr val="000000"/>
      </a:dk1>
      <a:lt1>
        <a:srgbClr val="FFFFFF"/>
      </a:lt1>
      <a:dk2>
        <a:srgbClr val="44546A"/>
      </a:dk2>
      <a:lt2>
        <a:srgbClr val="E7E6E6"/>
      </a:lt2>
      <a:accent1>
        <a:srgbClr val="86BC25"/>
      </a:accent1>
      <a:accent2>
        <a:srgbClr val="046A38"/>
      </a:accent2>
      <a:accent3>
        <a:srgbClr val="62B5E5"/>
      </a:accent3>
      <a:accent4>
        <a:srgbClr val="012169"/>
      </a:accent4>
      <a:accent5>
        <a:srgbClr val="0097A9"/>
      </a:accent5>
      <a:accent6>
        <a:srgbClr val="75787B"/>
      </a:accent6>
      <a:hlink>
        <a:srgbClr val="00A3E0"/>
      </a:hlink>
      <a:folHlink>
        <a:srgbClr val="954F72"/>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solidFill>
            <a:schemeClr val="accent3"/>
          </a:solidFill>
          <a:miter lim="800000"/>
          <a:headEnd/>
          <a:tailEnd/>
        </a:ln>
      </a:spPr>
      <a:bodyPr wrap="square" lIns="88900" tIns="88900" rIns="88900" bIns="88900" rtlCol="0" anchor="ctr"/>
      <a:lstStyle>
        <a:defPPr algn="ctr">
          <a:lnSpc>
            <a:spcPct val="106000"/>
          </a:lnSpc>
          <a:buFont typeface="Wingdings 2" pitchFamily="18" charset="2"/>
          <a:buNone/>
          <a:defRPr sz="1600" b="1" noProof="0" dirty="0" err="1" smtClean="0">
            <a:solidFill>
              <a:schemeClr val="bg1"/>
            </a:solidFill>
          </a:defRPr>
        </a:defPPr>
      </a:lstStyle>
    </a:spDef>
    <a:lnDef>
      <a:spPr>
        <a:ln>
          <a:solidFill>
            <a:srgbClr val="44546A"/>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34000" indent="-234000">
          <a:spcBef>
            <a:spcPts val="0"/>
          </a:spcBef>
          <a:spcAft>
            <a:spcPts val="1333"/>
          </a:spcAft>
          <a:buSzPct val="100000"/>
          <a:buFont typeface="Arial"/>
          <a:buChar char="•"/>
          <a:defRPr sz="1200" noProof="0" dirty="0" err="1" smtClean="0">
            <a:solidFill>
              <a:schemeClr val="tx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Deloitte" id="{020FA619-153C-4BC1-AB41-D999AE5EF9C3}" vid="{04C754E3-B662-48D8-B304-73D035B0168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Relevant Document" ma:contentTypeID="0x010100F35962552CBAA04E98DC94B72C0FE7EF007024A57D5114CF49B19E59421DDFCAF5" ma:contentTypeVersion="11" ma:contentTypeDescription="" ma:contentTypeScope="" ma:versionID="4f677913dcbb7b83362caf93c0fef7e6">
  <xsd:schema xmlns:xsd="http://www.w3.org/2001/XMLSchema" xmlns:xs="http://www.w3.org/2001/XMLSchema" xmlns:p="http://schemas.microsoft.com/office/2006/metadata/properties" xmlns:ns1="http://schemas.microsoft.com/sharepoint/v3" xmlns:ns2="59098f23-3ca6-4eec-8c4e-6f77ceae2d9e" targetNamespace="http://schemas.microsoft.com/office/2006/metadata/properties" ma:root="true" ma:fieldsID="01986c9c8565eda41a4a9f81e70b40cc" ns1:_="" ns2:_="">
    <xsd:import namespace="http://schemas.microsoft.com/sharepoint/v3"/>
    <xsd:import namespace="59098f23-3ca6-4eec-8c4e-6f77ceae2d9e"/>
    <xsd:element name="properties">
      <xsd:complexType>
        <xsd:sequence>
          <xsd:element name="documentManagement">
            <xsd:complexType>
              <xsd:all>
                <xsd:element ref="ns2:CBSFileName" minOccurs="0"/>
                <xsd:element ref="ns2:CBSStatus" minOccurs="0"/>
                <xsd:element ref="ns2:CBSDocComments" minOccurs="0"/>
                <xsd:element ref="ns2:CBSDueBy" minOccurs="0"/>
                <xsd:element ref="ns2:CBSReviewersContributors" minOccurs="0"/>
                <xsd:element ref="ns2:SendEmailToAuthors" minOccurs="0"/>
                <xsd:element ref="ns1:DocumentSetDescription" minOccurs="0"/>
                <xsd:element ref="ns2:CBSDoc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9" nillable="true" ma:displayName="Description" ma:description="A description of the Document Set" ma:hidden="true"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098f23-3ca6-4eec-8c4e-6f77ceae2d9e" elementFormDefault="qualified">
    <xsd:import namespace="http://schemas.microsoft.com/office/2006/documentManagement/types"/>
    <xsd:import namespace="http://schemas.microsoft.com/office/infopath/2007/PartnerControls"/>
    <xsd:element name="CBSFileName" ma:index="1" nillable="true" ma:displayName="File Name" ma:internalName="CBSFileName">
      <xsd:simpleType>
        <xsd:restriction base="dms:Text">
          <xsd:maxLength value="255"/>
        </xsd:restriction>
      </xsd:simpleType>
    </xsd:element>
    <xsd:element name="CBSStatus" ma:index="2" nillable="true" ma:displayName="Doc Status" ma:default="Draft" ma:format="Dropdown" ma:internalName="CBSStatus">
      <xsd:simpleType>
        <xsd:restriction base="dms:Choice">
          <xsd:enumeration value="Draft"/>
          <xsd:enumeration value="Finalised"/>
          <xsd:enumeration value="Not required"/>
        </xsd:restriction>
      </xsd:simpleType>
    </xsd:element>
    <xsd:element name="CBSDocComments" ma:index="3" nillable="true" ma:displayName="Document Comments" ma:internalName="CBSDocComments">
      <xsd:simpleType>
        <xsd:restriction base="dms:Note">
          <xsd:maxLength value="255"/>
        </xsd:restriction>
      </xsd:simpleType>
    </xsd:element>
    <xsd:element name="CBSDueBy" ma:index="4" nillable="true" ma:displayName="Document DueBy" ma:format="DateOnly" ma:internalName="CBSDueBy">
      <xsd:simpleType>
        <xsd:restriction base="dms:DateTime"/>
      </xsd:simpleType>
    </xsd:element>
    <xsd:element name="CBSReviewersContributors" ma:index="5" nillable="true" ma:displayName="Reviewers Contributors" ma:list="UserInfo" ma:SharePointGroup="0" ma:internalName="CBSReviewersContribut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ndEmailToAuthors" ma:index="8" nillable="true" ma:displayName="Send Email To Contributors" ma:default="Send Email" ma:hidden="true" ma:internalName="SendEmailToAuthors" ma:readOnly="false">
      <xsd:simpleType>
        <xsd:restriction base="dms:Text">
          <xsd:maxLength value="255"/>
        </xsd:restriction>
      </xsd:simpleType>
    </xsd:element>
    <xsd:element name="CBSDocType" ma:index="15" nillable="true" ma:displayName="Document Type" ma:hidden="true" ma:internalName="CBSDocType"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BSFileName xmlns="59098f23-3ca6-4eec-8c4e-6f77ceae2d9e">Attachment 1 RIS PHW (Prescribed Accommodation) Regulations </CBSFileName>
    <CBSDocType xmlns="59098f23-3ca6-4eec-8c4e-6f77ceae2d9e" xsi:nil="true"/>
    <DocumentSetDescription xmlns="http://schemas.microsoft.com/sharepoint/v3" xsi:nil="true"/>
    <CBSStatus xmlns="59098f23-3ca6-4eec-8c4e-6f77ceae2d9e">Finalised</CBSStatus>
    <CBSReviewersContributors xmlns="59098f23-3ca6-4eec-8c4e-6f77ceae2d9e">
      <UserInfo>
        <DisplayName/>
        <AccountId xsi:nil="true"/>
        <AccountType/>
      </UserInfo>
    </CBSReviewersContributors>
    <CBSDocComments xmlns="59098f23-3ca6-4eec-8c4e-6f77ceae2d9e" xsi:nil="true"/>
    <CBSDueBy xmlns="59098f23-3ca6-4eec-8c4e-6f77ceae2d9e" xsi:nil="true"/>
    <SendEmailToAuthors xmlns="59098f23-3ca6-4eec-8c4e-6f77ceae2d9e">Send Email</SendEmailToAutho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64691E-5564-4AC8-9329-364AC82B26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9098f23-3ca6-4eec-8c4e-6f77ceae2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8A2696-4D1F-41AF-A6F5-00801A49C7E3}">
  <ds:schemaRefs>
    <ds:schemaRef ds:uri="http://purl.org/dc/dcmitype/"/>
    <ds:schemaRef ds:uri="59098f23-3ca6-4eec-8c4e-6f77ceae2d9e"/>
    <ds:schemaRef ds:uri="http://purl.org/dc/elements/1.1/"/>
    <ds:schemaRef ds:uri="http://schemas.microsoft.com/office/2006/documentManagement/types"/>
    <ds:schemaRef ds:uri="http://schemas.microsoft.com/sharepoint/v3"/>
    <ds:schemaRef ds:uri="http://purl.org/dc/terms/"/>
    <ds:schemaRef ds:uri="http://schemas.openxmlformats.org/package/2006/metadata/core-properties"/>
    <ds:schemaRef ds:uri="http://schemas.microsoft.com/office/infopath/2007/PartnerControl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A32E90DA-865E-412C-AC14-62B58FF26724}">
  <ds:schemaRefs>
    <ds:schemaRef ds:uri="http://schemas.microsoft.com/sharepoint/v3/contenttype/forms"/>
  </ds:schemaRefs>
</ds:datastoreItem>
</file>

<file path=customXml/itemProps4.xml><?xml version="1.0" encoding="utf-8"?>
<ds:datastoreItem xmlns:ds="http://schemas.openxmlformats.org/officeDocument/2006/customXml" ds:itemID="{37C297BC-D697-4160-B7F1-3D181E2B1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82</Pages>
  <Words>36016</Words>
  <Characters>205297</Characters>
  <Application>Microsoft Office Word</Application>
  <DocSecurity>4</DocSecurity>
  <Lines>1710</Lines>
  <Paragraphs>481</Paragraphs>
  <ScaleCrop>false</ScaleCrop>
  <HeadingPairs>
    <vt:vector size="6" baseType="variant">
      <vt:variant>
        <vt:lpstr>Title</vt:lpstr>
      </vt:variant>
      <vt:variant>
        <vt:i4>1</vt:i4>
      </vt:variant>
      <vt:variant>
        <vt:lpstr>Titel</vt:lpstr>
      </vt:variant>
      <vt:variant>
        <vt:i4>1</vt:i4>
      </vt:variant>
      <vt:variant>
        <vt:lpstr>Overskrifter</vt:lpstr>
      </vt:variant>
      <vt:variant>
        <vt:i4>2</vt:i4>
      </vt:variant>
    </vt:vector>
  </HeadingPairs>
  <TitlesOfParts>
    <vt:vector size="4" baseType="lpstr">
      <vt:lpstr>Regulatory Impact Statement: Public Health and Wellbeing (Prescribed Accommodation) Regulations 2020</vt:lpstr>
      <vt:lpstr>Document title</vt:lpstr>
      <vt:lpstr/>
      <vt:lpstr>    </vt:lpstr>
    </vt:vector>
  </TitlesOfParts>
  <Manager/>
  <Company>Deloitte</Company>
  <LinksUpToDate>false</LinksUpToDate>
  <CharactersWithSpaces>240832</CharactersWithSpaces>
  <SharedDoc>false</SharedDoc>
  <HyperlinkBase/>
  <HLinks>
    <vt:vector size="954" baseType="variant">
      <vt:variant>
        <vt:i4>1507407</vt:i4>
      </vt:variant>
      <vt:variant>
        <vt:i4>469</vt:i4>
      </vt:variant>
      <vt:variant>
        <vt:i4>0</vt:i4>
      </vt:variant>
      <vt:variant>
        <vt:i4>5</vt:i4>
      </vt:variant>
      <vt:variant>
        <vt:lpwstr>http://www.deloitte.com/au/deloitte-access-economics</vt:lpwstr>
      </vt:variant>
      <vt:variant>
        <vt:lpwstr/>
      </vt:variant>
      <vt:variant>
        <vt:i4>4718604</vt:i4>
      </vt:variant>
      <vt:variant>
        <vt:i4>463</vt:i4>
      </vt:variant>
      <vt:variant>
        <vt:i4>0</vt:i4>
      </vt:variant>
      <vt:variant>
        <vt:i4>5</vt:i4>
      </vt:variant>
      <vt:variant>
        <vt:lpwstr>https://www.who.int/publications/i/item/who-housing-and-health-guidelines</vt:lpwstr>
      </vt:variant>
      <vt:variant>
        <vt:lpwstr/>
      </vt:variant>
      <vt:variant>
        <vt:i4>6684731</vt:i4>
      </vt:variant>
      <vt:variant>
        <vt:i4>460</vt:i4>
      </vt:variant>
      <vt:variant>
        <vt:i4>0</vt:i4>
      </vt:variant>
      <vt:variant>
        <vt:i4>5</vt:i4>
      </vt:variant>
      <vt:variant>
        <vt:lpwstr>https://www.who.int/westernpacific/health-topics/diarrhoea</vt:lpwstr>
      </vt:variant>
      <vt:variant>
        <vt:lpwstr/>
      </vt:variant>
      <vt:variant>
        <vt:i4>2293818</vt:i4>
      </vt:variant>
      <vt:variant>
        <vt:i4>457</vt:i4>
      </vt:variant>
      <vt:variant>
        <vt:i4>0</vt:i4>
      </vt:variant>
      <vt:variant>
        <vt:i4>5</vt:i4>
      </vt:variant>
      <vt:variant>
        <vt:lpwstr>https://www.sgsep.com.au/assets/main/SGS-Economics-and-Planning-Last-Resort-Housing.pdf</vt:lpwstr>
      </vt:variant>
      <vt:variant>
        <vt:lpwstr/>
      </vt:variant>
      <vt:variant>
        <vt:i4>1769502</vt:i4>
      </vt:variant>
      <vt:variant>
        <vt:i4>454</vt:i4>
      </vt:variant>
      <vt:variant>
        <vt:i4>0</vt:i4>
      </vt:variant>
      <vt:variant>
        <vt:i4>5</vt:i4>
      </vt:variant>
      <vt:variant>
        <vt:lpwstr>https://www.ahuri.edu.au/research/final-reports/4</vt:lpwstr>
      </vt:variant>
      <vt:variant>
        <vt:lpwstr/>
      </vt:variant>
      <vt:variant>
        <vt:i4>3145769</vt:i4>
      </vt:variant>
      <vt:variant>
        <vt:i4>451</vt:i4>
      </vt:variant>
      <vt:variant>
        <vt:i4>0</vt:i4>
      </vt:variant>
      <vt:variant>
        <vt:i4>5</vt:i4>
      </vt:variant>
      <vt:variant>
        <vt:lpwstr>http://www.sanitationyear2008.org/</vt:lpwstr>
      </vt:variant>
      <vt:variant>
        <vt:lpwstr/>
      </vt:variant>
      <vt:variant>
        <vt:i4>1638464</vt:i4>
      </vt:variant>
      <vt:variant>
        <vt:i4>448</vt:i4>
      </vt:variant>
      <vt:variant>
        <vt:i4>0</vt:i4>
      </vt:variant>
      <vt:variant>
        <vt:i4>5</vt:i4>
      </vt:variant>
      <vt:variant>
        <vt:lpwstr>https://www.tra.gov.au/Economic-analysis/australian-accommodation-monitor</vt:lpwstr>
      </vt:variant>
      <vt:variant>
        <vt:lpwstr/>
      </vt:variant>
      <vt:variant>
        <vt:i4>1638464</vt:i4>
      </vt:variant>
      <vt:variant>
        <vt:i4>445</vt:i4>
      </vt:variant>
      <vt:variant>
        <vt:i4>0</vt:i4>
      </vt:variant>
      <vt:variant>
        <vt:i4>5</vt:i4>
      </vt:variant>
      <vt:variant>
        <vt:lpwstr>https://www.tra.gov.au/Economic-analysis/australian-accommodation-monitor</vt:lpwstr>
      </vt:variant>
      <vt:variant>
        <vt:lpwstr/>
      </vt:variant>
      <vt:variant>
        <vt:i4>3211360</vt:i4>
      </vt:variant>
      <vt:variant>
        <vt:i4>442</vt:i4>
      </vt:variant>
      <vt:variant>
        <vt:i4>0</vt:i4>
      </vt:variant>
      <vt:variant>
        <vt:i4>5</vt:i4>
      </vt:variant>
      <vt:variant>
        <vt:lpwstr>https://theconversation.com/ever-wondered-how-many-airbnbs-australia-has-and-where-they-all-are-we-have-the-answers-129003</vt:lpwstr>
      </vt:variant>
      <vt:variant>
        <vt:lpwstr/>
      </vt:variant>
      <vt:variant>
        <vt:i4>3211360</vt:i4>
      </vt:variant>
      <vt:variant>
        <vt:i4>439</vt:i4>
      </vt:variant>
      <vt:variant>
        <vt:i4>0</vt:i4>
      </vt:variant>
      <vt:variant>
        <vt:i4>5</vt:i4>
      </vt:variant>
      <vt:variant>
        <vt:lpwstr>https://theconversation.com/ever-wondered-how-many-airbnbs-australia-has-and-where-they-all-are-we-have-the-answers-129003</vt:lpwstr>
      </vt:variant>
      <vt:variant>
        <vt:lpwstr/>
      </vt:variant>
      <vt:variant>
        <vt:i4>2031728</vt:i4>
      </vt:variant>
      <vt:variant>
        <vt:i4>436</vt:i4>
      </vt:variant>
      <vt:variant>
        <vt:i4>0</vt:i4>
      </vt:variant>
      <vt:variant>
        <vt:i4>5</vt:i4>
      </vt:variant>
      <vt:variant>
        <vt:lpwstr>http://www.nwhn.net.au/admin/file/content101/c6/No Room to move Report_1332384268120.pdf</vt:lpwstr>
      </vt:variant>
      <vt:variant>
        <vt:lpwstr/>
      </vt:variant>
      <vt:variant>
        <vt:i4>2031728</vt:i4>
      </vt:variant>
      <vt:variant>
        <vt:i4>433</vt:i4>
      </vt:variant>
      <vt:variant>
        <vt:i4>0</vt:i4>
      </vt:variant>
      <vt:variant>
        <vt:i4>5</vt:i4>
      </vt:variant>
      <vt:variant>
        <vt:lpwstr>http://www.nwhn.net.au/admin/file/content101/c6/No Room to move Report_1332384268120.pdf</vt:lpwstr>
      </vt:variant>
      <vt:variant>
        <vt:lpwstr/>
      </vt:variant>
      <vt:variant>
        <vt:i4>3276921</vt:i4>
      </vt:variant>
      <vt:variant>
        <vt:i4>430</vt:i4>
      </vt:variant>
      <vt:variant>
        <vt:i4>0</vt:i4>
      </vt:variant>
      <vt:variant>
        <vt:i4>5</vt:i4>
      </vt:variant>
      <vt:variant>
        <vt:lpwstr>https://www.business.vic.gov.au/tourism-industry-resources/Business-Tools-and-Support/starting-a-tourism-business-A/starting-an-accommodation-business</vt:lpwstr>
      </vt:variant>
      <vt:variant>
        <vt:lpwstr/>
      </vt:variant>
      <vt:variant>
        <vt:i4>7864427</vt:i4>
      </vt:variant>
      <vt:variant>
        <vt:i4>427</vt:i4>
      </vt:variant>
      <vt:variant>
        <vt:i4>0</vt:i4>
      </vt:variant>
      <vt:variant>
        <vt:i4>5</vt:i4>
      </vt:variant>
      <vt:variant>
        <vt:lpwstr>http://chp.org.au/wp-content/uploads/2013/05/Appendix-Taskforce-Report.pdf</vt:lpwstr>
      </vt:variant>
      <vt:variant>
        <vt:lpwstr/>
      </vt:variant>
      <vt:variant>
        <vt:i4>4587591</vt:i4>
      </vt:variant>
      <vt:variant>
        <vt:i4>424</vt:i4>
      </vt:variant>
      <vt:variant>
        <vt:i4>0</vt:i4>
      </vt:variant>
      <vt:variant>
        <vt:i4>5</vt:i4>
      </vt:variant>
      <vt:variant>
        <vt:lpwstr>https://www.rba.gov.au/publications/smp/2020/aug/</vt:lpwstr>
      </vt:variant>
      <vt:variant>
        <vt:lpwstr/>
      </vt:variant>
      <vt:variant>
        <vt:i4>1572940</vt:i4>
      </vt:variant>
      <vt:variant>
        <vt:i4>421</vt:i4>
      </vt:variant>
      <vt:variant>
        <vt:i4>0</vt:i4>
      </vt:variant>
      <vt:variant>
        <vt:i4>5</vt:i4>
      </vt:variant>
      <vt:variant>
        <vt:lpwstr>https://www.business.vic.gov.au/__data/assets/pdf_file/0009/1545039/Public_Health_and_Wellbeing_Regulations_2009.pdf</vt:lpwstr>
      </vt:variant>
      <vt:variant>
        <vt:lpwstr/>
      </vt:variant>
      <vt:variant>
        <vt:i4>1572940</vt:i4>
      </vt:variant>
      <vt:variant>
        <vt:i4>418</vt:i4>
      </vt:variant>
      <vt:variant>
        <vt:i4>0</vt:i4>
      </vt:variant>
      <vt:variant>
        <vt:i4>5</vt:i4>
      </vt:variant>
      <vt:variant>
        <vt:lpwstr>https://www.business.vic.gov.au/__data/assets/pdf_file/0009/1545039/Public_Health_and_Wellbeing_Regulations_2009.pdf</vt:lpwstr>
      </vt:variant>
      <vt:variant>
        <vt:lpwstr/>
      </vt:variant>
      <vt:variant>
        <vt:i4>4456466</vt:i4>
      </vt:variant>
      <vt:variant>
        <vt:i4>415</vt:i4>
      </vt:variant>
      <vt:variant>
        <vt:i4>0</vt:i4>
      </vt:variant>
      <vt:variant>
        <vt:i4>5</vt:i4>
      </vt:variant>
      <vt:variant>
        <vt:lpwstr>https://www.health.nsw.gov.au/environment/aboriginal/Publications/housing-health.pdf</vt:lpwstr>
      </vt:variant>
      <vt:variant>
        <vt:lpwstr/>
      </vt:variant>
      <vt:variant>
        <vt:i4>3211389</vt:i4>
      </vt:variant>
      <vt:variant>
        <vt:i4>412</vt:i4>
      </vt:variant>
      <vt:variant>
        <vt:i4>0</vt:i4>
      </vt:variant>
      <vt:variant>
        <vt:i4>5</vt:i4>
      </vt:variant>
      <vt:variant>
        <vt:lpwstr>https://nchh.org/resource-library/Housing Interventions and Health.pdf</vt:lpwstr>
      </vt:variant>
      <vt:variant>
        <vt:lpwstr/>
      </vt:variant>
      <vt:variant>
        <vt:i4>1900610</vt:i4>
      </vt:variant>
      <vt:variant>
        <vt:i4>409</vt:i4>
      </vt:variant>
      <vt:variant>
        <vt:i4>0</vt:i4>
      </vt:variant>
      <vt:variant>
        <vt:i4>5</vt:i4>
      </vt:variant>
      <vt:variant>
        <vt:lpwstr>https://www.ncbi.nlm.nih.gov/pmc/articles/PMC2981586/</vt:lpwstr>
      </vt:variant>
      <vt:variant>
        <vt:lpwstr/>
      </vt:variant>
      <vt:variant>
        <vt:i4>4259929</vt:i4>
      </vt:variant>
      <vt:variant>
        <vt:i4>406</vt:i4>
      </vt:variant>
      <vt:variant>
        <vt:i4>0</vt:i4>
      </vt:variant>
      <vt:variant>
        <vt:i4>5</vt:i4>
      </vt:variant>
      <vt:variant>
        <vt:lpwstr>https://researchbank.swinburne.edu.au/file/30e52c92-64a1-477c-993a-0e547c6c7371/1/PDF %28Published version%29.pdf</vt:lpwstr>
      </vt:variant>
      <vt:variant>
        <vt:lpwstr/>
      </vt:variant>
      <vt:variant>
        <vt:i4>4259929</vt:i4>
      </vt:variant>
      <vt:variant>
        <vt:i4>403</vt:i4>
      </vt:variant>
      <vt:variant>
        <vt:i4>0</vt:i4>
      </vt:variant>
      <vt:variant>
        <vt:i4>5</vt:i4>
      </vt:variant>
      <vt:variant>
        <vt:lpwstr>https://researchbank.swinburne.edu.au/file/30e52c92-64a1-477c-993a-0e547c6c7371/1/PDF %28Published version%29.pdf</vt:lpwstr>
      </vt:variant>
      <vt:variant>
        <vt:lpwstr/>
      </vt:variant>
      <vt:variant>
        <vt:i4>2556013</vt:i4>
      </vt:variant>
      <vt:variant>
        <vt:i4>400</vt:i4>
      </vt:variant>
      <vt:variant>
        <vt:i4>0</vt:i4>
      </vt:variant>
      <vt:variant>
        <vt:i4>5</vt:i4>
      </vt:variant>
      <vt:variant>
        <vt:lpwstr>https://ajph.aphapublications.org/doi/10.2105/AJPH.92.5.758</vt:lpwstr>
      </vt:variant>
      <vt:variant>
        <vt:lpwstr/>
      </vt:variant>
      <vt:variant>
        <vt:i4>5111872</vt:i4>
      </vt:variant>
      <vt:variant>
        <vt:i4>397</vt:i4>
      </vt:variant>
      <vt:variant>
        <vt:i4>0</vt:i4>
      </vt:variant>
      <vt:variant>
        <vt:i4>5</vt:i4>
      </vt:variant>
      <vt:variant>
        <vt:lpwstr>https://www.researchgate.net/publication/272789417_Homelessness_in_Melbourne_Confronting_the_Challenge</vt:lpwstr>
      </vt:variant>
      <vt:variant>
        <vt:lpwstr/>
      </vt:variant>
      <vt:variant>
        <vt:i4>3407986</vt:i4>
      </vt:variant>
      <vt:variant>
        <vt:i4>394</vt:i4>
      </vt:variant>
      <vt:variant>
        <vt:i4>0</vt:i4>
      </vt:variant>
      <vt:variant>
        <vt:i4>5</vt:i4>
      </vt:variant>
      <vt:variant>
        <vt:lpwstr>https://www.ibisworld.com/au/industry/hotels-resorts/1811/</vt:lpwstr>
      </vt:variant>
      <vt:variant>
        <vt:lpwstr/>
      </vt:variant>
      <vt:variant>
        <vt:i4>7405631</vt:i4>
      </vt:variant>
      <vt:variant>
        <vt:i4>391</vt:i4>
      </vt:variant>
      <vt:variant>
        <vt:i4>0</vt:i4>
      </vt:variant>
      <vt:variant>
        <vt:i4>5</vt:i4>
      </vt:variant>
      <vt:variant>
        <vt:lpwstr>https://www.homedesigndirectory.com.au/calculators/bathroom-cost-estimates.php</vt:lpwstr>
      </vt:variant>
      <vt:variant>
        <vt:lpwstr/>
      </vt:variant>
      <vt:variant>
        <vt:i4>4718672</vt:i4>
      </vt:variant>
      <vt:variant>
        <vt:i4>388</vt:i4>
      </vt:variant>
      <vt:variant>
        <vt:i4>0</vt:i4>
      </vt:variant>
      <vt:variant>
        <vt:i4>5</vt:i4>
      </vt:variant>
      <vt:variant>
        <vt:lpwstr>https://england.shelter.org.uk/__data/assets/pdf_file/0016/39202/Chance_of_a_Lifetime.pdf</vt:lpwstr>
      </vt:variant>
      <vt:variant>
        <vt:lpwstr/>
      </vt:variant>
      <vt:variant>
        <vt:i4>4718672</vt:i4>
      </vt:variant>
      <vt:variant>
        <vt:i4>385</vt:i4>
      </vt:variant>
      <vt:variant>
        <vt:i4>0</vt:i4>
      </vt:variant>
      <vt:variant>
        <vt:i4>5</vt:i4>
      </vt:variant>
      <vt:variant>
        <vt:lpwstr>https://england.shelter.org.uk/__data/assets/pdf_file/0016/39202/Chance_of_a_Lifetime.pdf</vt:lpwstr>
      </vt:variant>
      <vt:variant>
        <vt:lpwstr/>
      </vt:variant>
      <vt:variant>
        <vt:i4>2228313</vt:i4>
      </vt:variant>
      <vt:variant>
        <vt:i4>382</vt:i4>
      </vt:variant>
      <vt:variant>
        <vt:i4>0</vt:i4>
      </vt:variant>
      <vt:variant>
        <vt:i4>5</vt:i4>
      </vt:variant>
      <vt:variant>
        <vt:lpwstr>https://www.ahuri.edu.au/__data/assets/pdf_file/0016/2239/AHURI_Final_Report_No54_Boarding_houses_and_government_supply_side_intervention.pdf</vt:lpwstr>
      </vt:variant>
      <vt:variant>
        <vt:lpwstr/>
      </vt:variant>
      <vt:variant>
        <vt:i4>2228313</vt:i4>
      </vt:variant>
      <vt:variant>
        <vt:i4>379</vt:i4>
      </vt:variant>
      <vt:variant>
        <vt:i4>0</vt:i4>
      </vt:variant>
      <vt:variant>
        <vt:i4>5</vt:i4>
      </vt:variant>
      <vt:variant>
        <vt:lpwstr>https://www.ahuri.edu.au/__data/assets/pdf_file/0016/2239/AHURI_Final_Report_No54_Boarding_houses_and_government_supply_side_intervention.pdf</vt:lpwstr>
      </vt:variant>
      <vt:variant>
        <vt:lpwstr/>
      </vt:variant>
      <vt:variant>
        <vt:i4>6094934</vt:i4>
      </vt:variant>
      <vt:variant>
        <vt:i4>376</vt:i4>
      </vt:variant>
      <vt:variant>
        <vt:i4>0</vt:i4>
      </vt:variant>
      <vt:variant>
        <vt:i4>5</vt:i4>
      </vt:variant>
      <vt:variant>
        <vt:lpwstr>https://onlinelibrary.wiley.com/doi/full/10.1111/j.1600-0668.2007.00475.x</vt:lpwstr>
      </vt:variant>
      <vt:variant>
        <vt:lpwstr/>
      </vt:variant>
      <vt:variant>
        <vt:i4>7471217</vt:i4>
      </vt:variant>
      <vt:variant>
        <vt:i4>373</vt:i4>
      </vt:variant>
      <vt:variant>
        <vt:i4>0</vt:i4>
      </vt:variant>
      <vt:variant>
        <vt:i4>5</vt:i4>
      </vt:variant>
      <vt:variant>
        <vt:lpwstr>https://www.fwc.gov.au/documents/documents/agreements/fwa/ae506266.pdf</vt:lpwstr>
      </vt:variant>
      <vt:variant>
        <vt:lpwstr/>
      </vt:variant>
      <vt:variant>
        <vt:i4>7864432</vt:i4>
      </vt:variant>
      <vt:variant>
        <vt:i4>370</vt:i4>
      </vt:variant>
      <vt:variant>
        <vt:i4>0</vt:i4>
      </vt:variant>
      <vt:variant>
        <vt:i4>5</vt:i4>
      </vt:variant>
      <vt:variant>
        <vt:lpwstr>https://www.fwc.gov.au/documents/documents/agreements/fwa/ae504856.pdf</vt:lpwstr>
      </vt:variant>
      <vt:variant>
        <vt:lpwstr/>
      </vt:variant>
      <vt:variant>
        <vt:i4>8126578</vt:i4>
      </vt:variant>
      <vt:variant>
        <vt:i4>367</vt:i4>
      </vt:variant>
      <vt:variant>
        <vt:i4>0</vt:i4>
      </vt:variant>
      <vt:variant>
        <vt:i4>5</vt:i4>
      </vt:variant>
      <vt:variant>
        <vt:lpwstr>https://www.fwc.gov.au/documents/documents/agreements/fwa/ae503309.pdf</vt:lpwstr>
      </vt:variant>
      <vt:variant>
        <vt:lpwstr/>
      </vt:variant>
      <vt:variant>
        <vt:i4>3801215</vt:i4>
      </vt:variant>
      <vt:variant>
        <vt:i4>364</vt:i4>
      </vt:variant>
      <vt:variant>
        <vt:i4>0</vt:i4>
      </vt:variant>
      <vt:variant>
        <vt:i4>5</vt:i4>
      </vt:variant>
      <vt:variant>
        <vt:lpwstr>https://9now.nine.com.au/a-current-affair/coronavirus-overcrowded-student-dorms-exposed-as-potential-covid19-hotspots/f03265e3-d575-4676-8214-3d8deba8110d</vt:lpwstr>
      </vt:variant>
      <vt:variant>
        <vt:lpwstr/>
      </vt:variant>
      <vt:variant>
        <vt:i4>3801215</vt:i4>
      </vt:variant>
      <vt:variant>
        <vt:i4>361</vt:i4>
      </vt:variant>
      <vt:variant>
        <vt:i4>0</vt:i4>
      </vt:variant>
      <vt:variant>
        <vt:i4>5</vt:i4>
      </vt:variant>
      <vt:variant>
        <vt:lpwstr>https://9now.nine.com.au/a-current-affair/coronavirus-overcrowded-student-dorms-exposed-as-potential-covid19-hotspots/f03265e3-d575-4676-8214-3d8deba8110d</vt:lpwstr>
      </vt:variant>
      <vt:variant>
        <vt:lpwstr/>
      </vt:variant>
      <vt:variant>
        <vt:i4>5505041</vt:i4>
      </vt:variant>
      <vt:variant>
        <vt:i4>358</vt:i4>
      </vt:variant>
      <vt:variant>
        <vt:i4>0</vt:i4>
      </vt:variant>
      <vt:variant>
        <vt:i4>5</vt:i4>
      </vt:variant>
      <vt:variant>
        <vt:lpwstr>https://www.dtf.vic.gov.au/state-financial-data-sets/macroeconomic-indicators</vt:lpwstr>
      </vt:variant>
      <vt:variant>
        <vt:lpwstr/>
      </vt:variant>
      <vt:variant>
        <vt:i4>2424878</vt:i4>
      </vt:variant>
      <vt:variant>
        <vt:i4>355</vt:i4>
      </vt:variant>
      <vt:variant>
        <vt:i4>0</vt:i4>
      </vt:variant>
      <vt:variant>
        <vt:i4>5</vt:i4>
      </vt:variant>
      <vt:variant>
        <vt:lpwstr>https://www.dhhs.vic.gov.au/publications/rental-report</vt:lpwstr>
      </vt:variant>
      <vt:variant>
        <vt:lpwstr/>
      </vt:variant>
      <vt:variant>
        <vt:i4>4849741</vt:i4>
      </vt:variant>
      <vt:variant>
        <vt:i4>352</vt:i4>
      </vt:variant>
      <vt:variant>
        <vt:i4>0</vt:i4>
      </vt:variant>
      <vt:variant>
        <vt:i4>5</vt:i4>
      </vt:variant>
      <vt:variant>
        <vt:lpwstr>https://www.vic.gov.au/sites/default/files/2019-11/Residential-tenancies-Rooming-house-standards-Regulations-2011-RIS.pdf</vt:lpwstr>
      </vt:variant>
      <vt:variant>
        <vt:lpwstr/>
      </vt:variant>
      <vt:variant>
        <vt:i4>4849741</vt:i4>
      </vt:variant>
      <vt:variant>
        <vt:i4>349</vt:i4>
      </vt:variant>
      <vt:variant>
        <vt:i4>0</vt:i4>
      </vt:variant>
      <vt:variant>
        <vt:i4>5</vt:i4>
      </vt:variant>
      <vt:variant>
        <vt:lpwstr>https://www.vic.gov.au/sites/default/files/2019-11/Residential-tenancies-Rooming-house-standards-Regulations-2011-RIS.pdf</vt:lpwstr>
      </vt:variant>
      <vt:variant>
        <vt:lpwstr/>
      </vt:variant>
      <vt:variant>
        <vt:i4>3080236</vt:i4>
      </vt:variant>
      <vt:variant>
        <vt:i4>346</vt:i4>
      </vt:variant>
      <vt:variant>
        <vt:i4>0</vt:i4>
      </vt:variant>
      <vt:variant>
        <vt:i4>5</vt:i4>
      </vt:variant>
      <vt:variant>
        <vt:lpwstr>https://www.ahuri.edu.au/research/final-reports/245</vt:lpwstr>
      </vt:variant>
      <vt:variant>
        <vt:lpwstr/>
      </vt:variant>
      <vt:variant>
        <vt:i4>1572871</vt:i4>
      </vt:variant>
      <vt:variant>
        <vt:i4>343</vt:i4>
      </vt:variant>
      <vt:variant>
        <vt:i4>0</vt:i4>
      </vt:variant>
      <vt:variant>
        <vt:i4>5</vt:i4>
      </vt:variant>
      <vt:variant>
        <vt:lpwstr>http://www.betterregulation.vic.gov.au/Guidance-and-Resources</vt:lpwstr>
      </vt:variant>
      <vt:variant>
        <vt:lpwstr/>
      </vt:variant>
      <vt:variant>
        <vt:i4>7274619</vt:i4>
      </vt:variant>
      <vt:variant>
        <vt:i4>340</vt:i4>
      </vt:variant>
      <vt:variant>
        <vt:i4>0</vt:i4>
      </vt:variant>
      <vt:variant>
        <vt:i4>5</vt:i4>
      </vt:variant>
      <vt:variant>
        <vt:lpwstr>https://link.springer.com/content/pdf/10.1057/palgrave.rlp.5100081.pdf</vt:lpwstr>
      </vt:variant>
      <vt:variant>
        <vt:lpwstr/>
      </vt:variant>
      <vt:variant>
        <vt:i4>4522054</vt:i4>
      </vt:variant>
      <vt:variant>
        <vt:i4>337</vt:i4>
      </vt:variant>
      <vt:variant>
        <vt:i4>0</vt:i4>
      </vt:variant>
      <vt:variant>
        <vt:i4>5</vt:i4>
      </vt:variant>
      <vt:variant>
        <vt:lpwstr>http://www.nwhn.net.au/admin/file/content2/c7/Counting Boarding Houses -  Chris Chamberlain 2012.pdf</vt:lpwstr>
      </vt:variant>
      <vt:variant>
        <vt:lpwstr/>
      </vt:variant>
      <vt:variant>
        <vt:i4>4522054</vt:i4>
      </vt:variant>
      <vt:variant>
        <vt:i4>334</vt:i4>
      </vt:variant>
      <vt:variant>
        <vt:i4>0</vt:i4>
      </vt:variant>
      <vt:variant>
        <vt:i4>5</vt:i4>
      </vt:variant>
      <vt:variant>
        <vt:lpwstr>http://www.nwhn.net.au/admin/file/content2/c7/Counting Boarding Houses -  Chris Chamberlain 2012.pdf</vt:lpwstr>
      </vt:variant>
      <vt:variant>
        <vt:lpwstr/>
      </vt:variant>
      <vt:variant>
        <vt:i4>4849741</vt:i4>
      </vt:variant>
      <vt:variant>
        <vt:i4>331</vt:i4>
      </vt:variant>
      <vt:variant>
        <vt:i4>0</vt:i4>
      </vt:variant>
      <vt:variant>
        <vt:i4>5</vt:i4>
      </vt:variant>
      <vt:variant>
        <vt:lpwstr>https://www.cdc.gov/globalhealth/ntd/diseases/index.html</vt:lpwstr>
      </vt:variant>
      <vt:variant>
        <vt:lpwstr/>
      </vt:variant>
      <vt:variant>
        <vt:i4>8060980</vt:i4>
      </vt:variant>
      <vt:variant>
        <vt:i4>328</vt:i4>
      </vt:variant>
      <vt:variant>
        <vt:i4>0</vt:i4>
      </vt:variant>
      <vt:variant>
        <vt:i4>5</vt:i4>
      </vt:variant>
      <vt:variant>
        <vt:lpwstr>https://www.bre.co.uk/filelibrary/pdf/87741-Cost-of-Poor-Housing-Briefing-Paper-v3.pdf</vt:lpwstr>
      </vt:variant>
      <vt:variant>
        <vt:lpwstr/>
      </vt:variant>
      <vt:variant>
        <vt:i4>7405626</vt:i4>
      </vt:variant>
      <vt:variant>
        <vt:i4>325</vt:i4>
      </vt:variant>
      <vt:variant>
        <vt:i4>0</vt:i4>
      </vt:variant>
      <vt:variant>
        <vt:i4>5</vt:i4>
      </vt:variant>
      <vt:variant>
        <vt:lpwstr>https://www.betterhealth.vic.gov.au/health/conditionsandtreatments/mould-and-your-health</vt:lpwstr>
      </vt:variant>
      <vt:variant>
        <vt:lpwstr>:~:text=Mould%20associated%20with%20damp%20buildings,allergies</vt:lpwstr>
      </vt:variant>
      <vt:variant>
        <vt:i4>2424944</vt:i4>
      </vt:variant>
      <vt:variant>
        <vt:i4>322</vt:i4>
      </vt:variant>
      <vt:variant>
        <vt:i4>0</vt:i4>
      </vt:variant>
      <vt:variant>
        <vt:i4>5</vt:i4>
      </vt:variant>
      <vt:variant>
        <vt:lpwstr>https://www.tandfonline.com/doi/full/10.1080/10852352.2016.1197714</vt:lpwstr>
      </vt:variant>
      <vt:variant>
        <vt:lpwstr/>
      </vt:variant>
      <vt:variant>
        <vt:i4>3276847</vt:i4>
      </vt:variant>
      <vt:variant>
        <vt:i4>319</vt:i4>
      </vt:variant>
      <vt:variant>
        <vt:i4>0</vt:i4>
      </vt:variant>
      <vt:variant>
        <vt:i4>5</vt:i4>
      </vt:variant>
      <vt:variant>
        <vt:lpwstr>https://d1wqtxts1xzle7.cloudfront.net/39652920/Increasing_Incidence_of_Serious_Infectio20151103-22313-1add3pq.pdf?1446593837=&amp;response-content-disposition=inline%3B+filename%3DIncreasing_incidence_of_serious_infectio.pdf&amp;Expires=1598324221&amp;Signature=FSsvC4w0vjChfKAxZhh-eJAXt~g3AeAV3N5OAFruLm7WK143H--onNHgrVTsN9r8Nsg2t-3UA0RSnEbd4uRQWAJNM69Rk-6S5k-U6kGJ2Z-TJfIWIiR6xmlHwLZ2cokboER0fdOI2Sv8FMJPFAaxxT0XBWvwpISVKku5JbeVWtbdivjbmtfQ4bIUJkEa9d~zG3040d7nZd92dyZPbrzc565PniFgv9Zfz8eKYGzY5M8Ko7X5h1BAA310xqLrHUBZCkP6lXS1~Rmxec2hKq5EnMJiVQcIAXHSn6IjpBzEpq7NyzWd91p8ui5BoidfPcw4Bg9SikzLKGyxi4q~C3k1Dw__&amp;Key-Pair-Id=APKAJLOHF5GGSLRBV4ZA</vt:lpwstr>
      </vt:variant>
      <vt:variant>
        <vt:lpwstr/>
      </vt:variant>
      <vt:variant>
        <vt:i4>2883622</vt:i4>
      </vt:variant>
      <vt:variant>
        <vt:i4>316</vt:i4>
      </vt:variant>
      <vt:variant>
        <vt:i4>0</vt:i4>
      </vt:variant>
      <vt:variant>
        <vt:i4>5</vt:i4>
      </vt:variant>
      <vt:variant>
        <vt:lpwstr>https://d1wqtxts1xzle7.cloudfront.net/39652920/Increasing_Incidence_of_Serious_Infectio20151103-22313-1add3pq.pdf?1446593837=&amp;response-content-disposition=inline%3B+filename%3DIncreasing_incidence_of_serious_infectio.pdf&amp;Expires=1597295307&amp;Signature=YLfuW8vti3Fir1zDdEFnKoeR3D8LbGMHmzbuPX-R6Eo7EAc~9UFsl8CfIOt9O1RSJv7sZhYMd4XsNCJa2nqR~r9thtLGgFpqHt5sD69ySZwu1oTiXJWpG5JvrI171YJao3W9~7kXBBJ71TRLjpSFpYu-QnYyoD30iedPVsNdjtOdokzylu4ckduEMJrijl2xvDhYIgfS~219dBJlDv2exhztL3OyyyCxgNBvvYj14ewsUvmGtqypNAHTgmTRo2937TFFdrCxXlLbkD50elorATTLnT3r3iBbMoMpMQ-lpIilY-2hPXrhpkmYl3XgWSbLSQkEUKHaEp-vA4EFwe0z9w__&amp;Key-Pair-Id=APKAJLOHF5GGSLRBV4ZA</vt:lpwstr>
      </vt:variant>
      <vt:variant>
        <vt:lpwstr/>
      </vt:variant>
      <vt:variant>
        <vt:i4>6094933</vt:i4>
      </vt:variant>
      <vt:variant>
        <vt:i4>313</vt:i4>
      </vt:variant>
      <vt:variant>
        <vt:i4>0</vt:i4>
      </vt:variant>
      <vt:variant>
        <vt:i4>5</vt:i4>
      </vt:variant>
      <vt:variant>
        <vt:lpwstr>https://researchdata.edu.au/health-public/490094</vt:lpwstr>
      </vt:variant>
      <vt:variant>
        <vt:lpwstr/>
      </vt:variant>
      <vt:variant>
        <vt:i4>2424869</vt:i4>
      </vt:variant>
      <vt:variant>
        <vt:i4>310</vt:i4>
      </vt:variant>
      <vt:variant>
        <vt:i4>0</vt:i4>
      </vt:variant>
      <vt:variant>
        <vt:i4>5</vt:i4>
      </vt:variant>
      <vt:variant>
        <vt:lpwstr>https://www1.health.gov.au/internet/publications/publishing.nsf/Content/ohp-enhealth-manual-atsi-cnt-l~ohp-enhealth-manual-atsi-cnt-l-ch3~ohp-enhealth-manual-atsi-cnt-l-ch3.2</vt:lpwstr>
      </vt:variant>
      <vt:variant>
        <vt:lpwstr/>
      </vt:variant>
      <vt:variant>
        <vt:i4>5242935</vt:i4>
      </vt:variant>
      <vt:variant>
        <vt:i4>307</vt:i4>
      </vt:variant>
      <vt:variant>
        <vt:i4>0</vt:i4>
      </vt:variant>
      <vt:variant>
        <vt:i4>5</vt:i4>
      </vt:variant>
      <vt:variant>
        <vt:lpwstr>https://www.abs.gov.au/ausstats/abs@.nsf/mf/6306.0/</vt:lpwstr>
      </vt:variant>
      <vt:variant>
        <vt:lpwstr/>
      </vt:variant>
      <vt:variant>
        <vt:i4>7733315</vt:i4>
      </vt:variant>
      <vt:variant>
        <vt:i4>304</vt:i4>
      </vt:variant>
      <vt:variant>
        <vt:i4>0</vt:i4>
      </vt:variant>
      <vt:variant>
        <vt:i4>5</vt:i4>
      </vt:variant>
      <vt:variant>
        <vt:lpwstr>https://www.abs.gov.au/AUSSTATS/abs@.nsf/Lookup/1270.0.55.005Main+Features1July 2016?OpenDocument</vt:lpwstr>
      </vt:variant>
      <vt:variant>
        <vt:lpwstr/>
      </vt:variant>
      <vt:variant>
        <vt:i4>2621464</vt:i4>
      </vt:variant>
      <vt:variant>
        <vt:i4>301</vt:i4>
      </vt:variant>
      <vt:variant>
        <vt:i4>0</vt:i4>
      </vt:variant>
      <vt:variant>
        <vt:i4>5</vt:i4>
      </vt:variant>
      <vt:variant>
        <vt:lpwstr>https://www.abs.gov.au/AUSSTATS/abs@.nsf/DetailsPage/2049.02016?OpenDocument</vt:lpwstr>
      </vt:variant>
      <vt:variant>
        <vt:lpwstr/>
      </vt:variant>
      <vt:variant>
        <vt:i4>2621464</vt:i4>
      </vt:variant>
      <vt:variant>
        <vt:i4>298</vt:i4>
      </vt:variant>
      <vt:variant>
        <vt:i4>0</vt:i4>
      </vt:variant>
      <vt:variant>
        <vt:i4>5</vt:i4>
      </vt:variant>
      <vt:variant>
        <vt:lpwstr>https://www.abs.gov.au/AUSSTATS/abs@.nsf/DetailsPage/2049.02016?OpenDocument</vt:lpwstr>
      </vt:variant>
      <vt:variant>
        <vt:lpwstr/>
      </vt:variant>
      <vt:variant>
        <vt:i4>5308500</vt:i4>
      </vt:variant>
      <vt:variant>
        <vt:i4>295</vt:i4>
      </vt:variant>
      <vt:variant>
        <vt:i4>0</vt:i4>
      </vt:variant>
      <vt:variant>
        <vt:i4>5</vt:i4>
      </vt:variant>
      <vt:variant>
        <vt:lpwstr>https://ncc.abcb.gov.au/ncc-online/NCC/2016-A1/NCC-2016-Volume-One/Section-F-Health-And-Amenity/Part-F2-Sanitary-And-Other-Facilities-Dts/F21-Facilities-In-Residential-Buildings?inlineLink=4e0202a0-d936-48c2-a892-6c01cff6895e</vt:lpwstr>
      </vt:variant>
      <vt:variant>
        <vt:lpwstr/>
      </vt:variant>
      <vt:variant>
        <vt:i4>1835057</vt:i4>
      </vt:variant>
      <vt:variant>
        <vt:i4>98</vt:i4>
      </vt:variant>
      <vt:variant>
        <vt:i4>0</vt:i4>
      </vt:variant>
      <vt:variant>
        <vt:i4>5</vt:i4>
      </vt:variant>
      <vt:variant>
        <vt:lpwstr/>
      </vt:variant>
      <vt:variant>
        <vt:lpwstr>_Toc49460317</vt:lpwstr>
      </vt:variant>
      <vt:variant>
        <vt:i4>1900593</vt:i4>
      </vt:variant>
      <vt:variant>
        <vt:i4>92</vt:i4>
      </vt:variant>
      <vt:variant>
        <vt:i4>0</vt:i4>
      </vt:variant>
      <vt:variant>
        <vt:i4>5</vt:i4>
      </vt:variant>
      <vt:variant>
        <vt:lpwstr/>
      </vt:variant>
      <vt:variant>
        <vt:lpwstr>_Toc49460316</vt:lpwstr>
      </vt:variant>
      <vt:variant>
        <vt:i4>1966129</vt:i4>
      </vt:variant>
      <vt:variant>
        <vt:i4>86</vt:i4>
      </vt:variant>
      <vt:variant>
        <vt:i4>0</vt:i4>
      </vt:variant>
      <vt:variant>
        <vt:i4>5</vt:i4>
      </vt:variant>
      <vt:variant>
        <vt:lpwstr/>
      </vt:variant>
      <vt:variant>
        <vt:lpwstr>_Toc49460315</vt:lpwstr>
      </vt:variant>
      <vt:variant>
        <vt:i4>2031665</vt:i4>
      </vt:variant>
      <vt:variant>
        <vt:i4>80</vt:i4>
      </vt:variant>
      <vt:variant>
        <vt:i4>0</vt:i4>
      </vt:variant>
      <vt:variant>
        <vt:i4>5</vt:i4>
      </vt:variant>
      <vt:variant>
        <vt:lpwstr/>
      </vt:variant>
      <vt:variant>
        <vt:lpwstr>_Toc49460314</vt:lpwstr>
      </vt:variant>
      <vt:variant>
        <vt:i4>1572913</vt:i4>
      </vt:variant>
      <vt:variant>
        <vt:i4>74</vt:i4>
      </vt:variant>
      <vt:variant>
        <vt:i4>0</vt:i4>
      </vt:variant>
      <vt:variant>
        <vt:i4>5</vt:i4>
      </vt:variant>
      <vt:variant>
        <vt:lpwstr/>
      </vt:variant>
      <vt:variant>
        <vt:lpwstr>_Toc49460313</vt:lpwstr>
      </vt:variant>
      <vt:variant>
        <vt:i4>1638449</vt:i4>
      </vt:variant>
      <vt:variant>
        <vt:i4>68</vt:i4>
      </vt:variant>
      <vt:variant>
        <vt:i4>0</vt:i4>
      </vt:variant>
      <vt:variant>
        <vt:i4>5</vt:i4>
      </vt:variant>
      <vt:variant>
        <vt:lpwstr/>
      </vt:variant>
      <vt:variant>
        <vt:lpwstr>_Toc49460312</vt:lpwstr>
      </vt:variant>
      <vt:variant>
        <vt:i4>1179696</vt:i4>
      </vt:variant>
      <vt:variant>
        <vt:i4>62</vt:i4>
      </vt:variant>
      <vt:variant>
        <vt:i4>0</vt:i4>
      </vt:variant>
      <vt:variant>
        <vt:i4>5</vt:i4>
      </vt:variant>
      <vt:variant>
        <vt:lpwstr/>
      </vt:variant>
      <vt:variant>
        <vt:lpwstr>_Toc49460309</vt:lpwstr>
      </vt:variant>
      <vt:variant>
        <vt:i4>1245232</vt:i4>
      </vt:variant>
      <vt:variant>
        <vt:i4>56</vt:i4>
      </vt:variant>
      <vt:variant>
        <vt:i4>0</vt:i4>
      </vt:variant>
      <vt:variant>
        <vt:i4>5</vt:i4>
      </vt:variant>
      <vt:variant>
        <vt:lpwstr/>
      </vt:variant>
      <vt:variant>
        <vt:lpwstr>_Toc49460308</vt:lpwstr>
      </vt:variant>
      <vt:variant>
        <vt:i4>1835056</vt:i4>
      </vt:variant>
      <vt:variant>
        <vt:i4>50</vt:i4>
      </vt:variant>
      <vt:variant>
        <vt:i4>0</vt:i4>
      </vt:variant>
      <vt:variant>
        <vt:i4>5</vt:i4>
      </vt:variant>
      <vt:variant>
        <vt:lpwstr/>
      </vt:variant>
      <vt:variant>
        <vt:lpwstr>_Toc49460307</vt:lpwstr>
      </vt:variant>
      <vt:variant>
        <vt:i4>2031664</vt:i4>
      </vt:variant>
      <vt:variant>
        <vt:i4>44</vt:i4>
      </vt:variant>
      <vt:variant>
        <vt:i4>0</vt:i4>
      </vt:variant>
      <vt:variant>
        <vt:i4>5</vt:i4>
      </vt:variant>
      <vt:variant>
        <vt:lpwstr/>
      </vt:variant>
      <vt:variant>
        <vt:lpwstr>_Toc49460304</vt:lpwstr>
      </vt:variant>
      <vt:variant>
        <vt:i4>1179705</vt:i4>
      </vt:variant>
      <vt:variant>
        <vt:i4>38</vt:i4>
      </vt:variant>
      <vt:variant>
        <vt:i4>0</vt:i4>
      </vt:variant>
      <vt:variant>
        <vt:i4>5</vt:i4>
      </vt:variant>
      <vt:variant>
        <vt:lpwstr/>
      </vt:variant>
      <vt:variant>
        <vt:lpwstr>_Toc49460298</vt:lpwstr>
      </vt:variant>
      <vt:variant>
        <vt:i4>1966137</vt:i4>
      </vt:variant>
      <vt:variant>
        <vt:i4>32</vt:i4>
      </vt:variant>
      <vt:variant>
        <vt:i4>0</vt:i4>
      </vt:variant>
      <vt:variant>
        <vt:i4>5</vt:i4>
      </vt:variant>
      <vt:variant>
        <vt:lpwstr/>
      </vt:variant>
      <vt:variant>
        <vt:lpwstr>_Toc49460294</vt:lpwstr>
      </vt:variant>
      <vt:variant>
        <vt:i4>1900600</vt:i4>
      </vt:variant>
      <vt:variant>
        <vt:i4>26</vt:i4>
      </vt:variant>
      <vt:variant>
        <vt:i4>0</vt:i4>
      </vt:variant>
      <vt:variant>
        <vt:i4>5</vt:i4>
      </vt:variant>
      <vt:variant>
        <vt:lpwstr/>
      </vt:variant>
      <vt:variant>
        <vt:lpwstr>_Toc49460287</vt:lpwstr>
      </vt:variant>
      <vt:variant>
        <vt:i4>1245239</vt:i4>
      </vt:variant>
      <vt:variant>
        <vt:i4>20</vt:i4>
      </vt:variant>
      <vt:variant>
        <vt:i4>0</vt:i4>
      </vt:variant>
      <vt:variant>
        <vt:i4>5</vt:i4>
      </vt:variant>
      <vt:variant>
        <vt:lpwstr/>
      </vt:variant>
      <vt:variant>
        <vt:lpwstr>_Toc49460279</vt:lpwstr>
      </vt:variant>
      <vt:variant>
        <vt:i4>1572919</vt:i4>
      </vt:variant>
      <vt:variant>
        <vt:i4>14</vt:i4>
      </vt:variant>
      <vt:variant>
        <vt:i4>0</vt:i4>
      </vt:variant>
      <vt:variant>
        <vt:i4>5</vt:i4>
      </vt:variant>
      <vt:variant>
        <vt:lpwstr/>
      </vt:variant>
      <vt:variant>
        <vt:lpwstr>_Toc49460272</vt:lpwstr>
      </vt:variant>
      <vt:variant>
        <vt:i4>1769527</vt:i4>
      </vt:variant>
      <vt:variant>
        <vt:i4>8</vt:i4>
      </vt:variant>
      <vt:variant>
        <vt:i4>0</vt:i4>
      </vt:variant>
      <vt:variant>
        <vt:i4>5</vt:i4>
      </vt:variant>
      <vt:variant>
        <vt:lpwstr/>
      </vt:variant>
      <vt:variant>
        <vt:lpwstr>_Toc49460271</vt:lpwstr>
      </vt:variant>
      <vt:variant>
        <vt:i4>1703991</vt:i4>
      </vt:variant>
      <vt:variant>
        <vt:i4>2</vt:i4>
      </vt:variant>
      <vt:variant>
        <vt:i4>0</vt:i4>
      </vt:variant>
      <vt:variant>
        <vt:i4>5</vt:i4>
      </vt:variant>
      <vt:variant>
        <vt:lpwstr/>
      </vt:variant>
      <vt:variant>
        <vt:lpwstr>_Toc49460270</vt:lpwstr>
      </vt:variant>
      <vt:variant>
        <vt:i4>5439502</vt:i4>
      </vt:variant>
      <vt:variant>
        <vt:i4>249</vt:i4>
      </vt:variant>
      <vt:variant>
        <vt:i4>0</vt:i4>
      </vt:variant>
      <vt:variant>
        <vt:i4>5</vt:i4>
      </vt:variant>
      <vt:variant>
        <vt:lpwstr>https://engage.vic.gov.au/smallbizreview</vt:lpwstr>
      </vt:variant>
      <vt:variant>
        <vt:lpwstr/>
      </vt:variant>
      <vt:variant>
        <vt:i4>4456466</vt:i4>
      </vt:variant>
      <vt:variant>
        <vt:i4>246</vt:i4>
      </vt:variant>
      <vt:variant>
        <vt:i4>0</vt:i4>
      </vt:variant>
      <vt:variant>
        <vt:i4>5</vt:i4>
      </vt:variant>
      <vt:variant>
        <vt:lpwstr>https://www.health.nsw.gov.au/environment/aboriginal/Publications/housing-health.pdf</vt:lpwstr>
      </vt:variant>
      <vt:variant>
        <vt:lpwstr/>
      </vt:variant>
      <vt:variant>
        <vt:i4>4456466</vt:i4>
      </vt:variant>
      <vt:variant>
        <vt:i4>243</vt:i4>
      </vt:variant>
      <vt:variant>
        <vt:i4>0</vt:i4>
      </vt:variant>
      <vt:variant>
        <vt:i4>5</vt:i4>
      </vt:variant>
      <vt:variant>
        <vt:lpwstr>https://www.health.nsw.gov.au/environment/aboriginal/Publications/housing-health.pdf</vt:lpwstr>
      </vt:variant>
      <vt:variant>
        <vt:lpwstr/>
      </vt:variant>
      <vt:variant>
        <vt:i4>4456466</vt:i4>
      </vt:variant>
      <vt:variant>
        <vt:i4>240</vt:i4>
      </vt:variant>
      <vt:variant>
        <vt:i4>0</vt:i4>
      </vt:variant>
      <vt:variant>
        <vt:i4>5</vt:i4>
      </vt:variant>
      <vt:variant>
        <vt:lpwstr>https://www.health.nsw.gov.au/environment/aboriginal/Publications/housing-health.pdf</vt:lpwstr>
      </vt:variant>
      <vt:variant>
        <vt:lpwstr/>
      </vt:variant>
      <vt:variant>
        <vt:i4>4456466</vt:i4>
      </vt:variant>
      <vt:variant>
        <vt:i4>237</vt:i4>
      </vt:variant>
      <vt:variant>
        <vt:i4>0</vt:i4>
      </vt:variant>
      <vt:variant>
        <vt:i4>5</vt:i4>
      </vt:variant>
      <vt:variant>
        <vt:lpwstr>https://www.health.nsw.gov.au/environment/aboriginal/Publications/housing-health.pdf</vt:lpwstr>
      </vt:variant>
      <vt:variant>
        <vt:lpwstr/>
      </vt:variant>
      <vt:variant>
        <vt:i4>8060980</vt:i4>
      </vt:variant>
      <vt:variant>
        <vt:i4>234</vt:i4>
      </vt:variant>
      <vt:variant>
        <vt:i4>0</vt:i4>
      </vt:variant>
      <vt:variant>
        <vt:i4>5</vt:i4>
      </vt:variant>
      <vt:variant>
        <vt:lpwstr>https://www.bre.co.uk/filelibrary/pdf/87741-Cost-of-Poor-Housing-Briefing-Paper-v3.pdf</vt:lpwstr>
      </vt:variant>
      <vt:variant>
        <vt:lpwstr/>
      </vt:variant>
      <vt:variant>
        <vt:i4>56</vt:i4>
      </vt:variant>
      <vt:variant>
        <vt:i4>231</vt:i4>
      </vt:variant>
      <vt:variant>
        <vt:i4>0</vt:i4>
      </vt:variant>
      <vt:variant>
        <vt:i4>5</vt:i4>
      </vt:variant>
      <vt:variant>
        <vt:lpwstr>https://www.monash.edu/__data/assets/pdf_file/0008/218492/haz76.pdf</vt:lpwstr>
      </vt:variant>
      <vt:variant>
        <vt:lpwstr/>
      </vt:variant>
      <vt:variant>
        <vt:i4>3211389</vt:i4>
      </vt:variant>
      <vt:variant>
        <vt:i4>228</vt:i4>
      </vt:variant>
      <vt:variant>
        <vt:i4>0</vt:i4>
      </vt:variant>
      <vt:variant>
        <vt:i4>5</vt:i4>
      </vt:variant>
      <vt:variant>
        <vt:lpwstr>https://nchh.org/resource-library/Housing Interventions and Health.pdf</vt:lpwstr>
      </vt:variant>
      <vt:variant>
        <vt:lpwstr/>
      </vt:variant>
      <vt:variant>
        <vt:i4>3211389</vt:i4>
      </vt:variant>
      <vt:variant>
        <vt:i4>225</vt:i4>
      </vt:variant>
      <vt:variant>
        <vt:i4>0</vt:i4>
      </vt:variant>
      <vt:variant>
        <vt:i4>5</vt:i4>
      </vt:variant>
      <vt:variant>
        <vt:lpwstr>https://nchh.org/resource-library/Housing Interventions and Health.pdf</vt:lpwstr>
      </vt:variant>
      <vt:variant>
        <vt:lpwstr/>
      </vt:variant>
      <vt:variant>
        <vt:i4>4718672</vt:i4>
      </vt:variant>
      <vt:variant>
        <vt:i4>222</vt:i4>
      </vt:variant>
      <vt:variant>
        <vt:i4>0</vt:i4>
      </vt:variant>
      <vt:variant>
        <vt:i4>5</vt:i4>
      </vt:variant>
      <vt:variant>
        <vt:lpwstr>https://england.shelter.org.uk/__data/assets/pdf_file/0016/39202/Chance_of_a_Lifetime.pdf</vt:lpwstr>
      </vt:variant>
      <vt:variant>
        <vt:lpwstr/>
      </vt:variant>
      <vt:variant>
        <vt:i4>1769502</vt:i4>
      </vt:variant>
      <vt:variant>
        <vt:i4>219</vt:i4>
      </vt:variant>
      <vt:variant>
        <vt:i4>0</vt:i4>
      </vt:variant>
      <vt:variant>
        <vt:i4>5</vt:i4>
      </vt:variant>
      <vt:variant>
        <vt:lpwstr>https://www.ahuri.edu.au/research/final-reports/4</vt:lpwstr>
      </vt:variant>
      <vt:variant>
        <vt:lpwstr/>
      </vt:variant>
      <vt:variant>
        <vt:i4>3473450</vt:i4>
      </vt:variant>
      <vt:variant>
        <vt:i4>216</vt:i4>
      </vt:variant>
      <vt:variant>
        <vt:i4>0</vt:i4>
      </vt:variant>
      <vt:variant>
        <vt:i4>5</vt:i4>
      </vt:variant>
      <vt:variant>
        <vt:lpwstr>https://www.ahuri.edu.au/research/final-reports/4.</vt:lpwstr>
      </vt:variant>
      <vt:variant>
        <vt:lpwstr/>
      </vt:variant>
      <vt:variant>
        <vt:i4>6094934</vt:i4>
      </vt:variant>
      <vt:variant>
        <vt:i4>213</vt:i4>
      </vt:variant>
      <vt:variant>
        <vt:i4>0</vt:i4>
      </vt:variant>
      <vt:variant>
        <vt:i4>5</vt:i4>
      </vt:variant>
      <vt:variant>
        <vt:lpwstr>https://onlinelibrary.wiley.com/doi/full/10.1111/j.1600-0668.2007.00475.x</vt:lpwstr>
      </vt:variant>
      <vt:variant>
        <vt:lpwstr/>
      </vt:variant>
      <vt:variant>
        <vt:i4>6094934</vt:i4>
      </vt:variant>
      <vt:variant>
        <vt:i4>210</vt:i4>
      </vt:variant>
      <vt:variant>
        <vt:i4>0</vt:i4>
      </vt:variant>
      <vt:variant>
        <vt:i4>5</vt:i4>
      </vt:variant>
      <vt:variant>
        <vt:lpwstr>https://onlinelibrary.wiley.com/doi/full/10.1111/j.1600-0668.2007.00475.x</vt:lpwstr>
      </vt:variant>
      <vt:variant>
        <vt:lpwstr/>
      </vt:variant>
      <vt:variant>
        <vt:i4>3211389</vt:i4>
      </vt:variant>
      <vt:variant>
        <vt:i4>207</vt:i4>
      </vt:variant>
      <vt:variant>
        <vt:i4>0</vt:i4>
      </vt:variant>
      <vt:variant>
        <vt:i4>5</vt:i4>
      </vt:variant>
      <vt:variant>
        <vt:lpwstr>https://nchh.org/resource-library/Housing Interventions and Health.pdf</vt:lpwstr>
      </vt:variant>
      <vt:variant>
        <vt:lpwstr/>
      </vt:variant>
      <vt:variant>
        <vt:i4>3211389</vt:i4>
      </vt:variant>
      <vt:variant>
        <vt:i4>204</vt:i4>
      </vt:variant>
      <vt:variant>
        <vt:i4>0</vt:i4>
      </vt:variant>
      <vt:variant>
        <vt:i4>5</vt:i4>
      </vt:variant>
      <vt:variant>
        <vt:lpwstr>https://nchh.org/resource-library/Housing Interventions and Health.pdf</vt:lpwstr>
      </vt:variant>
      <vt:variant>
        <vt:lpwstr/>
      </vt:variant>
      <vt:variant>
        <vt:i4>6094874</vt:i4>
      </vt:variant>
      <vt:variant>
        <vt:i4>201</vt:i4>
      </vt:variant>
      <vt:variant>
        <vt:i4>0</vt:i4>
      </vt:variant>
      <vt:variant>
        <vt:i4>5</vt:i4>
      </vt:variant>
      <vt:variant>
        <vt:lpwstr>https://www.betterhealth.vic.gov.au/health/conditionsandtreatments/mould-and-your-health</vt:lpwstr>
      </vt:variant>
      <vt:variant>
        <vt:lpwstr/>
      </vt:variant>
      <vt:variant>
        <vt:i4>4456466</vt:i4>
      </vt:variant>
      <vt:variant>
        <vt:i4>198</vt:i4>
      </vt:variant>
      <vt:variant>
        <vt:i4>0</vt:i4>
      </vt:variant>
      <vt:variant>
        <vt:i4>5</vt:i4>
      </vt:variant>
      <vt:variant>
        <vt:lpwstr>https://www.health.nsw.gov.au/environment/aboriginal/Publications/housing-health.pdf</vt:lpwstr>
      </vt:variant>
      <vt:variant>
        <vt:lpwstr/>
      </vt:variant>
      <vt:variant>
        <vt:i4>4456466</vt:i4>
      </vt:variant>
      <vt:variant>
        <vt:i4>195</vt:i4>
      </vt:variant>
      <vt:variant>
        <vt:i4>0</vt:i4>
      </vt:variant>
      <vt:variant>
        <vt:i4>5</vt:i4>
      </vt:variant>
      <vt:variant>
        <vt:lpwstr>https://www.health.nsw.gov.au/environment/aboriginal/Publications/housing-health.pdf</vt:lpwstr>
      </vt:variant>
      <vt:variant>
        <vt:lpwstr/>
      </vt:variant>
      <vt:variant>
        <vt:i4>4718604</vt:i4>
      </vt:variant>
      <vt:variant>
        <vt:i4>192</vt:i4>
      </vt:variant>
      <vt:variant>
        <vt:i4>0</vt:i4>
      </vt:variant>
      <vt:variant>
        <vt:i4>5</vt:i4>
      </vt:variant>
      <vt:variant>
        <vt:lpwstr>https://www.who.int/publications/i/item/who-housing-and-health-guidelines</vt:lpwstr>
      </vt:variant>
      <vt:variant>
        <vt:lpwstr/>
      </vt:variant>
      <vt:variant>
        <vt:i4>4718604</vt:i4>
      </vt:variant>
      <vt:variant>
        <vt:i4>189</vt:i4>
      </vt:variant>
      <vt:variant>
        <vt:i4>0</vt:i4>
      </vt:variant>
      <vt:variant>
        <vt:i4>5</vt:i4>
      </vt:variant>
      <vt:variant>
        <vt:lpwstr>https://www.who.int/publications/i/item/who-housing-and-health-guidelines</vt:lpwstr>
      </vt:variant>
      <vt:variant>
        <vt:lpwstr/>
      </vt:variant>
      <vt:variant>
        <vt:i4>3276847</vt:i4>
      </vt:variant>
      <vt:variant>
        <vt:i4>186</vt:i4>
      </vt:variant>
      <vt:variant>
        <vt:i4>0</vt:i4>
      </vt:variant>
      <vt:variant>
        <vt:i4>5</vt:i4>
      </vt:variant>
      <vt:variant>
        <vt:lpwstr>https://d1wqtxts1xzle7.cloudfront.net/39652920/Increasing_Incidence_of_Serious_Infectio20151103-22313-1add3pq.pdf?1446593837=&amp;response-content-disposition=inline%3B+filename%3DIncreasing_incidence_of_serious_infectio.pdf&amp;Expires=1598324221&amp;Signature=FSsvC4w0vjChfKAxZhh-eJAXt~g3AeAV3N5OAFruLm7WK143H--onNHgrVTsN9r8Nsg2t-3UA0RSnEbd4uRQWAJNM69Rk-6S5k-U6kGJ2Z-TJfIWIiR6xmlHwLZ2cokboER0fdOI2Sv8FMJPFAaxxT0XBWvwpISVKku5JbeVWtbdivjbmtfQ4bIUJkEa9d~zG3040d7nZd92dyZPbrzc565PniFgv9Zfz8eKYGzY5M8Ko7X5h1BAA310xqLrHUBZCkP6lXS1~Rmxec2hKq5EnMJiVQcIAXHSn6IjpBzEpq7NyzWd91p8ui5BoidfPcw4Bg9SikzLKGyxi4q~C3k1Dw__&amp;Key-Pair-Id=APKAJLOHF5GGSLRBV4ZA</vt:lpwstr>
      </vt:variant>
      <vt:variant>
        <vt:lpwstr/>
      </vt:variant>
      <vt:variant>
        <vt:i4>3276847</vt:i4>
      </vt:variant>
      <vt:variant>
        <vt:i4>183</vt:i4>
      </vt:variant>
      <vt:variant>
        <vt:i4>0</vt:i4>
      </vt:variant>
      <vt:variant>
        <vt:i4>5</vt:i4>
      </vt:variant>
      <vt:variant>
        <vt:lpwstr>https://d1wqtxts1xzle7.cloudfront.net/39652920/Increasing_Incidence_of_Serious_Infectio20151103-22313-1add3pq.pdf?1446593837=&amp;response-content-disposition=inline%3B+filename%3DIncreasing_incidence_of_serious_infectio.pdf&amp;Expires=1598324221&amp;Signature=FSsvC4w0vjChfKAxZhh-eJAXt~g3AeAV3N5OAFruLm7WK143H--onNHgrVTsN9r8Nsg2t-3UA0RSnEbd4uRQWAJNM69Rk-6S5k-U6kGJ2Z-TJfIWIiR6xmlHwLZ2cokboER0fdOI2Sv8FMJPFAaxxT0XBWvwpISVKku5JbeVWtbdivjbmtfQ4bIUJkEa9d~zG3040d7nZd92dyZPbrzc565PniFgv9Zfz8eKYGzY5M8Ko7X5h1BAA310xqLrHUBZCkP6lXS1~Rmxec2hKq5EnMJiVQcIAXHSn6IjpBzEpq7NyzWd91p8ui5BoidfPcw4Bg9SikzLKGyxi4q~C3k1Dw__&amp;Key-Pair-Id=APKAJLOHF5GGSLRBV4ZA</vt:lpwstr>
      </vt:variant>
      <vt:variant>
        <vt:lpwstr/>
      </vt:variant>
      <vt:variant>
        <vt:i4>2424944</vt:i4>
      </vt:variant>
      <vt:variant>
        <vt:i4>180</vt:i4>
      </vt:variant>
      <vt:variant>
        <vt:i4>0</vt:i4>
      </vt:variant>
      <vt:variant>
        <vt:i4>5</vt:i4>
      </vt:variant>
      <vt:variant>
        <vt:lpwstr>https://www.tandfonline.com/doi/full/10.1080/10852352.2016.1197714</vt:lpwstr>
      </vt:variant>
      <vt:variant>
        <vt:lpwstr/>
      </vt:variant>
      <vt:variant>
        <vt:i4>2424944</vt:i4>
      </vt:variant>
      <vt:variant>
        <vt:i4>177</vt:i4>
      </vt:variant>
      <vt:variant>
        <vt:i4>0</vt:i4>
      </vt:variant>
      <vt:variant>
        <vt:i4>5</vt:i4>
      </vt:variant>
      <vt:variant>
        <vt:lpwstr>https://www.tandfonline.com/doi/full/10.1080/10852352.2016.1197714</vt:lpwstr>
      </vt:variant>
      <vt:variant>
        <vt:lpwstr/>
      </vt:variant>
      <vt:variant>
        <vt:i4>4849741</vt:i4>
      </vt:variant>
      <vt:variant>
        <vt:i4>174</vt:i4>
      </vt:variant>
      <vt:variant>
        <vt:i4>0</vt:i4>
      </vt:variant>
      <vt:variant>
        <vt:i4>5</vt:i4>
      </vt:variant>
      <vt:variant>
        <vt:lpwstr>https://www.vic.gov.au/sites/default/files/2019-11/Residential-tenancies-Rooming-house-standards-Regulations-2011-RIS.pdf</vt:lpwstr>
      </vt:variant>
      <vt:variant>
        <vt:lpwstr/>
      </vt:variant>
      <vt:variant>
        <vt:i4>4849741</vt:i4>
      </vt:variant>
      <vt:variant>
        <vt:i4>171</vt:i4>
      </vt:variant>
      <vt:variant>
        <vt:i4>0</vt:i4>
      </vt:variant>
      <vt:variant>
        <vt:i4>5</vt:i4>
      </vt:variant>
      <vt:variant>
        <vt:lpwstr>https://www.vic.gov.au/sites/default/files/2019-11/Residential-tenancies-Rooming-house-standards-Regulations-2011-RIS.pdf</vt:lpwstr>
      </vt:variant>
      <vt:variant>
        <vt:lpwstr/>
      </vt:variant>
      <vt:variant>
        <vt:i4>2293818</vt:i4>
      </vt:variant>
      <vt:variant>
        <vt:i4>168</vt:i4>
      </vt:variant>
      <vt:variant>
        <vt:i4>0</vt:i4>
      </vt:variant>
      <vt:variant>
        <vt:i4>5</vt:i4>
      </vt:variant>
      <vt:variant>
        <vt:lpwstr>https://www.sgsep.com.au/assets/main/SGS-Economics-and-Planning-Last-Resort-Housing.pdf</vt:lpwstr>
      </vt:variant>
      <vt:variant>
        <vt:lpwstr/>
      </vt:variant>
      <vt:variant>
        <vt:i4>2293818</vt:i4>
      </vt:variant>
      <vt:variant>
        <vt:i4>165</vt:i4>
      </vt:variant>
      <vt:variant>
        <vt:i4>0</vt:i4>
      </vt:variant>
      <vt:variant>
        <vt:i4>5</vt:i4>
      </vt:variant>
      <vt:variant>
        <vt:lpwstr>https://www.sgsep.com.au/assets/main/SGS-Economics-and-Planning-Last-Resort-Housing.pdf</vt:lpwstr>
      </vt:variant>
      <vt:variant>
        <vt:lpwstr/>
      </vt:variant>
      <vt:variant>
        <vt:i4>4259929</vt:i4>
      </vt:variant>
      <vt:variant>
        <vt:i4>162</vt:i4>
      </vt:variant>
      <vt:variant>
        <vt:i4>0</vt:i4>
      </vt:variant>
      <vt:variant>
        <vt:i4>5</vt:i4>
      </vt:variant>
      <vt:variant>
        <vt:lpwstr>https://researchbank.swinburne.edu.au/file/30e52c92-64a1-477c-993a-0e547c6c7371/1/PDF %28Published version%29.pdf</vt:lpwstr>
      </vt:variant>
      <vt:variant>
        <vt:lpwstr/>
      </vt:variant>
      <vt:variant>
        <vt:i4>4259929</vt:i4>
      </vt:variant>
      <vt:variant>
        <vt:i4>159</vt:i4>
      </vt:variant>
      <vt:variant>
        <vt:i4>0</vt:i4>
      </vt:variant>
      <vt:variant>
        <vt:i4>5</vt:i4>
      </vt:variant>
      <vt:variant>
        <vt:lpwstr>https://researchbank.swinburne.edu.au/file/30e52c92-64a1-477c-993a-0e547c6c7371/1/PDF %28Published version%29.pdf</vt:lpwstr>
      </vt:variant>
      <vt:variant>
        <vt:lpwstr/>
      </vt:variant>
      <vt:variant>
        <vt:i4>2621464</vt:i4>
      </vt:variant>
      <vt:variant>
        <vt:i4>156</vt:i4>
      </vt:variant>
      <vt:variant>
        <vt:i4>0</vt:i4>
      </vt:variant>
      <vt:variant>
        <vt:i4>5</vt:i4>
      </vt:variant>
      <vt:variant>
        <vt:lpwstr>https://www.abs.gov.au/AUSSTATS/abs@.nsf/DetailsPage/2049.02016?OpenDocument</vt:lpwstr>
      </vt:variant>
      <vt:variant>
        <vt:lpwstr/>
      </vt:variant>
      <vt:variant>
        <vt:i4>2621464</vt:i4>
      </vt:variant>
      <vt:variant>
        <vt:i4>153</vt:i4>
      </vt:variant>
      <vt:variant>
        <vt:i4>0</vt:i4>
      </vt:variant>
      <vt:variant>
        <vt:i4>5</vt:i4>
      </vt:variant>
      <vt:variant>
        <vt:lpwstr>https://www.abs.gov.au/AUSSTATS/abs@.nsf/DetailsPage/2049.02016?OpenDocument</vt:lpwstr>
      </vt:variant>
      <vt:variant>
        <vt:lpwstr/>
      </vt:variant>
      <vt:variant>
        <vt:i4>2031728</vt:i4>
      </vt:variant>
      <vt:variant>
        <vt:i4>150</vt:i4>
      </vt:variant>
      <vt:variant>
        <vt:i4>0</vt:i4>
      </vt:variant>
      <vt:variant>
        <vt:i4>5</vt:i4>
      </vt:variant>
      <vt:variant>
        <vt:lpwstr>http://www.nwhn.net.au/admin/file/content101/c6/No Room to move Report_1332384268120.pdf</vt:lpwstr>
      </vt:variant>
      <vt:variant>
        <vt:lpwstr/>
      </vt:variant>
      <vt:variant>
        <vt:i4>2228313</vt:i4>
      </vt:variant>
      <vt:variant>
        <vt:i4>147</vt:i4>
      </vt:variant>
      <vt:variant>
        <vt:i4>0</vt:i4>
      </vt:variant>
      <vt:variant>
        <vt:i4>5</vt:i4>
      </vt:variant>
      <vt:variant>
        <vt:lpwstr>https://www.ahuri.edu.au/__data/assets/pdf_file/0016/2239/AHURI_Final_Report_No54_Boarding_houses_and_government_supply_side_intervention.pdf</vt:lpwstr>
      </vt:variant>
      <vt:variant>
        <vt:lpwstr/>
      </vt:variant>
      <vt:variant>
        <vt:i4>3080236</vt:i4>
      </vt:variant>
      <vt:variant>
        <vt:i4>144</vt:i4>
      </vt:variant>
      <vt:variant>
        <vt:i4>0</vt:i4>
      </vt:variant>
      <vt:variant>
        <vt:i4>5</vt:i4>
      </vt:variant>
      <vt:variant>
        <vt:lpwstr>https://www.ahuri.edu.au/research/final-reports/245</vt:lpwstr>
      </vt:variant>
      <vt:variant>
        <vt:lpwstr/>
      </vt:variant>
      <vt:variant>
        <vt:i4>2228313</vt:i4>
      </vt:variant>
      <vt:variant>
        <vt:i4>141</vt:i4>
      </vt:variant>
      <vt:variant>
        <vt:i4>0</vt:i4>
      </vt:variant>
      <vt:variant>
        <vt:i4>5</vt:i4>
      </vt:variant>
      <vt:variant>
        <vt:lpwstr>https://www.ahuri.edu.au/__data/assets/pdf_file/0016/2239/AHURI_Final_Report_No54_Boarding_houses_and_government_supply_side_intervention.pdf</vt:lpwstr>
      </vt:variant>
      <vt:variant>
        <vt:lpwstr/>
      </vt:variant>
      <vt:variant>
        <vt:i4>4849741</vt:i4>
      </vt:variant>
      <vt:variant>
        <vt:i4>138</vt:i4>
      </vt:variant>
      <vt:variant>
        <vt:i4>0</vt:i4>
      </vt:variant>
      <vt:variant>
        <vt:i4>5</vt:i4>
      </vt:variant>
      <vt:variant>
        <vt:lpwstr>https://www.vic.gov.au/sites/default/files/2019-11/Residential-tenancies-Rooming-house-standards-Regulations-2011-RIS.pdf</vt:lpwstr>
      </vt:variant>
      <vt:variant>
        <vt:lpwstr/>
      </vt:variant>
      <vt:variant>
        <vt:i4>2228313</vt:i4>
      </vt:variant>
      <vt:variant>
        <vt:i4>135</vt:i4>
      </vt:variant>
      <vt:variant>
        <vt:i4>0</vt:i4>
      </vt:variant>
      <vt:variant>
        <vt:i4>5</vt:i4>
      </vt:variant>
      <vt:variant>
        <vt:lpwstr>https://www.ahuri.edu.au/__data/assets/pdf_file/0016/2239/AHURI_Final_Report_No54_Boarding_houses_and_government_supply_side_intervention.pdf</vt:lpwstr>
      </vt:variant>
      <vt:variant>
        <vt:lpwstr/>
      </vt:variant>
      <vt:variant>
        <vt:i4>7274619</vt:i4>
      </vt:variant>
      <vt:variant>
        <vt:i4>132</vt:i4>
      </vt:variant>
      <vt:variant>
        <vt:i4>0</vt:i4>
      </vt:variant>
      <vt:variant>
        <vt:i4>5</vt:i4>
      </vt:variant>
      <vt:variant>
        <vt:lpwstr>https://link.springer.com/content/pdf/10.1057/palgrave.rlp.5100081.pdf</vt:lpwstr>
      </vt:variant>
      <vt:variant>
        <vt:lpwstr/>
      </vt:variant>
      <vt:variant>
        <vt:i4>5505041</vt:i4>
      </vt:variant>
      <vt:variant>
        <vt:i4>129</vt:i4>
      </vt:variant>
      <vt:variant>
        <vt:i4>0</vt:i4>
      </vt:variant>
      <vt:variant>
        <vt:i4>5</vt:i4>
      </vt:variant>
      <vt:variant>
        <vt:lpwstr>https://www.dtf.vic.gov.au/state-financial-data-sets/macroeconomic-indicators</vt:lpwstr>
      </vt:variant>
      <vt:variant>
        <vt:lpwstr/>
      </vt:variant>
      <vt:variant>
        <vt:i4>4849741</vt:i4>
      </vt:variant>
      <vt:variant>
        <vt:i4>126</vt:i4>
      </vt:variant>
      <vt:variant>
        <vt:i4>0</vt:i4>
      </vt:variant>
      <vt:variant>
        <vt:i4>5</vt:i4>
      </vt:variant>
      <vt:variant>
        <vt:lpwstr>https://www.vic.gov.au/sites/default/files/2019-11/Residential-tenancies-Rooming-house-standards-Regulations-2011-RIS.pdf</vt:lpwstr>
      </vt:variant>
      <vt:variant>
        <vt:lpwstr/>
      </vt:variant>
      <vt:variant>
        <vt:i4>7405631</vt:i4>
      </vt:variant>
      <vt:variant>
        <vt:i4>123</vt:i4>
      </vt:variant>
      <vt:variant>
        <vt:i4>0</vt:i4>
      </vt:variant>
      <vt:variant>
        <vt:i4>5</vt:i4>
      </vt:variant>
      <vt:variant>
        <vt:lpwstr>https://www.homedesigndirectory.com.au/calculators/bathroom-cost-estimates.php</vt:lpwstr>
      </vt:variant>
      <vt:variant>
        <vt:lpwstr/>
      </vt:variant>
      <vt:variant>
        <vt:i4>6029367</vt:i4>
      </vt:variant>
      <vt:variant>
        <vt:i4>120</vt:i4>
      </vt:variant>
      <vt:variant>
        <vt:i4>0</vt:i4>
      </vt:variant>
      <vt:variant>
        <vt:i4>5</vt:i4>
      </vt:variant>
      <vt:variant>
        <vt:lpwstr>https://www.abs.gov.au/ausstats/abs@.nsf/mf/2049.0</vt:lpwstr>
      </vt:variant>
      <vt:variant>
        <vt:lpwstr/>
      </vt:variant>
      <vt:variant>
        <vt:i4>5505041</vt:i4>
      </vt:variant>
      <vt:variant>
        <vt:i4>117</vt:i4>
      </vt:variant>
      <vt:variant>
        <vt:i4>0</vt:i4>
      </vt:variant>
      <vt:variant>
        <vt:i4>5</vt:i4>
      </vt:variant>
      <vt:variant>
        <vt:lpwstr>https://www.dtf.vic.gov.au/state-financial-data-sets/macroeconomic-indicators</vt:lpwstr>
      </vt:variant>
      <vt:variant>
        <vt:lpwstr/>
      </vt:variant>
      <vt:variant>
        <vt:i4>5242935</vt:i4>
      </vt:variant>
      <vt:variant>
        <vt:i4>114</vt:i4>
      </vt:variant>
      <vt:variant>
        <vt:i4>0</vt:i4>
      </vt:variant>
      <vt:variant>
        <vt:i4>5</vt:i4>
      </vt:variant>
      <vt:variant>
        <vt:lpwstr>https://www.abs.gov.au/ausstats/abs@.nsf/mf/6306.0/</vt:lpwstr>
      </vt:variant>
      <vt:variant>
        <vt:lpwstr/>
      </vt:variant>
      <vt:variant>
        <vt:i4>7471217</vt:i4>
      </vt:variant>
      <vt:variant>
        <vt:i4>111</vt:i4>
      </vt:variant>
      <vt:variant>
        <vt:i4>0</vt:i4>
      </vt:variant>
      <vt:variant>
        <vt:i4>5</vt:i4>
      </vt:variant>
      <vt:variant>
        <vt:lpwstr>https://www.fwc.gov.au/documents/documents/agreements/fwa/ae506266.pdf</vt:lpwstr>
      </vt:variant>
      <vt:variant>
        <vt:lpwstr/>
      </vt:variant>
      <vt:variant>
        <vt:i4>7864432</vt:i4>
      </vt:variant>
      <vt:variant>
        <vt:i4>108</vt:i4>
      </vt:variant>
      <vt:variant>
        <vt:i4>0</vt:i4>
      </vt:variant>
      <vt:variant>
        <vt:i4>5</vt:i4>
      </vt:variant>
      <vt:variant>
        <vt:lpwstr>https://www.fwc.gov.au/documents/documents/agreements/fwa/ae504856.pdf</vt:lpwstr>
      </vt:variant>
      <vt:variant>
        <vt:lpwstr/>
      </vt:variant>
      <vt:variant>
        <vt:i4>8126578</vt:i4>
      </vt:variant>
      <vt:variant>
        <vt:i4>105</vt:i4>
      </vt:variant>
      <vt:variant>
        <vt:i4>0</vt:i4>
      </vt:variant>
      <vt:variant>
        <vt:i4>5</vt:i4>
      </vt:variant>
      <vt:variant>
        <vt:lpwstr>https://www.fwc.gov.au/documents/documents/agreements/fwa/ae503309.pdf</vt:lpwstr>
      </vt:variant>
      <vt:variant>
        <vt:lpwstr/>
      </vt:variant>
      <vt:variant>
        <vt:i4>4522054</vt:i4>
      </vt:variant>
      <vt:variant>
        <vt:i4>102</vt:i4>
      </vt:variant>
      <vt:variant>
        <vt:i4>0</vt:i4>
      </vt:variant>
      <vt:variant>
        <vt:i4>5</vt:i4>
      </vt:variant>
      <vt:variant>
        <vt:lpwstr>http://www.nwhn.net.au/admin/file/content2/c7/Counting Boarding Houses -  Chris Chamberlain 2012.pdf</vt:lpwstr>
      </vt:variant>
      <vt:variant>
        <vt:lpwstr/>
      </vt:variant>
      <vt:variant>
        <vt:i4>1638464</vt:i4>
      </vt:variant>
      <vt:variant>
        <vt:i4>99</vt:i4>
      </vt:variant>
      <vt:variant>
        <vt:i4>0</vt:i4>
      </vt:variant>
      <vt:variant>
        <vt:i4>5</vt:i4>
      </vt:variant>
      <vt:variant>
        <vt:lpwstr>https://www.tra.gov.au/Economic-analysis/australian-accommodation-monitor</vt:lpwstr>
      </vt:variant>
      <vt:variant>
        <vt:lpwstr/>
      </vt:variant>
      <vt:variant>
        <vt:i4>3407986</vt:i4>
      </vt:variant>
      <vt:variant>
        <vt:i4>96</vt:i4>
      </vt:variant>
      <vt:variant>
        <vt:i4>0</vt:i4>
      </vt:variant>
      <vt:variant>
        <vt:i4>5</vt:i4>
      </vt:variant>
      <vt:variant>
        <vt:lpwstr>https://www.ibisworld.com/au/industry/hotels-resorts/1811/</vt:lpwstr>
      </vt:variant>
      <vt:variant>
        <vt:lpwstr/>
      </vt:variant>
      <vt:variant>
        <vt:i4>4587591</vt:i4>
      </vt:variant>
      <vt:variant>
        <vt:i4>93</vt:i4>
      </vt:variant>
      <vt:variant>
        <vt:i4>0</vt:i4>
      </vt:variant>
      <vt:variant>
        <vt:i4>5</vt:i4>
      </vt:variant>
      <vt:variant>
        <vt:lpwstr>https://www.rba.gov.au/publications/smp/2020/aug/</vt:lpwstr>
      </vt:variant>
      <vt:variant>
        <vt:lpwstr/>
      </vt:variant>
      <vt:variant>
        <vt:i4>2293812</vt:i4>
      </vt:variant>
      <vt:variant>
        <vt:i4>90</vt:i4>
      </vt:variant>
      <vt:variant>
        <vt:i4>0</vt:i4>
      </vt:variant>
      <vt:variant>
        <vt:i4>5</vt:i4>
      </vt:variant>
      <vt:variant>
        <vt:lpwstr>https://www.vic.gov.au/sites/default/files/2020-01/Subordinate-Legislation-Act-1994-Guidelines-2020.pdf</vt:lpwstr>
      </vt:variant>
      <vt:variant>
        <vt:lpwstr/>
      </vt:variant>
      <vt:variant>
        <vt:i4>7864427</vt:i4>
      </vt:variant>
      <vt:variant>
        <vt:i4>87</vt:i4>
      </vt:variant>
      <vt:variant>
        <vt:i4>0</vt:i4>
      </vt:variant>
      <vt:variant>
        <vt:i4>5</vt:i4>
      </vt:variant>
      <vt:variant>
        <vt:lpwstr>http://chp.org.au/wp-content/uploads/2013/05/Appendix-Taskforce-Report.pdf</vt:lpwstr>
      </vt:variant>
      <vt:variant>
        <vt:lpwstr/>
      </vt:variant>
      <vt:variant>
        <vt:i4>2031728</vt:i4>
      </vt:variant>
      <vt:variant>
        <vt:i4>84</vt:i4>
      </vt:variant>
      <vt:variant>
        <vt:i4>0</vt:i4>
      </vt:variant>
      <vt:variant>
        <vt:i4>5</vt:i4>
      </vt:variant>
      <vt:variant>
        <vt:lpwstr>http://www.nwhn.net.au/admin/file/content101/c6/No Room to move Report_1332384268120.pdf</vt:lpwstr>
      </vt:variant>
      <vt:variant>
        <vt:lpwstr/>
      </vt:variant>
      <vt:variant>
        <vt:i4>2621464</vt:i4>
      </vt:variant>
      <vt:variant>
        <vt:i4>81</vt:i4>
      </vt:variant>
      <vt:variant>
        <vt:i4>0</vt:i4>
      </vt:variant>
      <vt:variant>
        <vt:i4>5</vt:i4>
      </vt:variant>
      <vt:variant>
        <vt:lpwstr>https://www.abs.gov.au/AUSSTATS/abs@.nsf/DetailsPage/2049.02016?OpenDocument</vt:lpwstr>
      </vt:variant>
      <vt:variant>
        <vt:lpwstr/>
      </vt:variant>
      <vt:variant>
        <vt:i4>1900610</vt:i4>
      </vt:variant>
      <vt:variant>
        <vt:i4>78</vt:i4>
      </vt:variant>
      <vt:variant>
        <vt:i4>0</vt:i4>
      </vt:variant>
      <vt:variant>
        <vt:i4>5</vt:i4>
      </vt:variant>
      <vt:variant>
        <vt:lpwstr>https://www.ncbi.nlm.nih.gov/pmc/articles/PMC2981586/</vt:lpwstr>
      </vt:variant>
      <vt:variant>
        <vt:lpwstr/>
      </vt:variant>
      <vt:variant>
        <vt:i4>1900610</vt:i4>
      </vt:variant>
      <vt:variant>
        <vt:i4>75</vt:i4>
      </vt:variant>
      <vt:variant>
        <vt:i4>0</vt:i4>
      </vt:variant>
      <vt:variant>
        <vt:i4>5</vt:i4>
      </vt:variant>
      <vt:variant>
        <vt:lpwstr>https://www.ncbi.nlm.nih.gov/pmc/articles/PMC2981586/</vt:lpwstr>
      </vt:variant>
      <vt:variant>
        <vt:lpwstr/>
      </vt:variant>
      <vt:variant>
        <vt:i4>3145769</vt:i4>
      </vt:variant>
      <vt:variant>
        <vt:i4>72</vt:i4>
      </vt:variant>
      <vt:variant>
        <vt:i4>0</vt:i4>
      </vt:variant>
      <vt:variant>
        <vt:i4>5</vt:i4>
      </vt:variant>
      <vt:variant>
        <vt:lpwstr>http://www.sanitationyear2008.org/</vt:lpwstr>
      </vt:variant>
      <vt:variant>
        <vt:lpwstr/>
      </vt:variant>
      <vt:variant>
        <vt:i4>3145769</vt:i4>
      </vt:variant>
      <vt:variant>
        <vt:i4>69</vt:i4>
      </vt:variant>
      <vt:variant>
        <vt:i4>0</vt:i4>
      </vt:variant>
      <vt:variant>
        <vt:i4>5</vt:i4>
      </vt:variant>
      <vt:variant>
        <vt:lpwstr>http://www.sanitationyear2008.org/</vt:lpwstr>
      </vt:variant>
      <vt:variant>
        <vt:lpwstr/>
      </vt:variant>
      <vt:variant>
        <vt:i4>2424869</vt:i4>
      </vt:variant>
      <vt:variant>
        <vt:i4>66</vt:i4>
      </vt:variant>
      <vt:variant>
        <vt:i4>0</vt:i4>
      </vt:variant>
      <vt:variant>
        <vt:i4>5</vt:i4>
      </vt:variant>
      <vt:variant>
        <vt:lpwstr>https://www1.health.gov.au/internet/publications/publishing.nsf/Content/ohp-enhealth-manual-atsi-cnt-l~ohp-enhealth-manual-atsi-cnt-l-ch3~ohp-enhealth-manual-atsi-cnt-l-ch3.2</vt:lpwstr>
      </vt:variant>
      <vt:variant>
        <vt:lpwstr/>
      </vt:variant>
      <vt:variant>
        <vt:i4>2424869</vt:i4>
      </vt:variant>
      <vt:variant>
        <vt:i4>63</vt:i4>
      </vt:variant>
      <vt:variant>
        <vt:i4>0</vt:i4>
      </vt:variant>
      <vt:variant>
        <vt:i4>5</vt:i4>
      </vt:variant>
      <vt:variant>
        <vt:lpwstr>https://www1.health.gov.au/internet/publications/publishing.nsf/Content/ohp-enhealth-manual-atsi-cnt-l~ohp-enhealth-manual-atsi-cnt-l-ch3~ohp-enhealth-manual-atsi-cnt-l-ch3.2</vt:lpwstr>
      </vt:variant>
      <vt:variant>
        <vt:lpwstr/>
      </vt:variant>
      <vt:variant>
        <vt:i4>2424869</vt:i4>
      </vt:variant>
      <vt:variant>
        <vt:i4>60</vt:i4>
      </vt:variant>
      <vt:variant>
        <vt:i4>0</vt:i4>
      </vt:variant>
      <vt:variant>
        <vt:i4>5</vt:i4>
      </vt:variant>
      <vt:variant>
        <vt:lpwstr>https://www1.health.gov.au/internet/publications/publishing.nsf/Content/ohp-enhealth-manual-atsi-cnt-l~ohp-enhealth-manual-atsi-cnt-l-ch3~ohp-enhealth-manual-atsi-cnt-l-ch3.2</vt:lpwstr>
      </vt:variant>
      <vt:variant>
        <vt:lpwstr/>
      </vt:variant>
      <vt:variant>
        <vt:i4>7405626</vt:i4>
      </vt:variant>
      <vt:variant>
        <vt:i4>57</vt:i4>
      </vt:variant>
      <vt:variant>
        <vt:i4>0</vt:i4>
      </vt:variant>
      <vt:variant>
        <vt:i4>5</vt:i4>
      </vt:variant>
      <vt:variant>
        <vt:lpwstr>https://www.betterhealth.vic.gov.au/health/conditionsandtreatments/mould-and-your-health</vt:lpwstr>
      </vt:variant>
      <vt:variant>
        <vt:lpwstr>:~:text=Mould%20associated%20with%20damp%20buildings,allergies</vt:lpwstr>
      </vt:variant>
      <vt:variant>
        <vt:i4>4849741</vt:i4>
      </vt:variant>
      <vt:variant>
        <vt:i4>54</vt:i4>
      </vt:variant>
      <vt:variant>
        <vt:i4>0</vt:i4>
      </vt:variant>
      <vt:variant>
        <vt:i4>5</vt:i4>
      </vt:variant>
      <vt:variant>
        <vt:lpwstr>https://www.cdc.gov/globalhealth/ntd/diseases/index.html</vt:lpwstr>
      </vt:variant>
      <vt:variant>
        <vt:lpwstr/>
      </vt:variant>
      <vt:variant>
        <vt:i4>6684731</vt:i4>
      </vt:variant>
      <vt:variant>
        <vt:i4>51</vt:i4>
      </vt:variant>
      <vt:variant>
        <vt:i4>0</vt:i4>
      </vt:variant>
      <vt:variant>
        <vt:i4>5</vt:i4>
      </vt:variant>
      <vt:variant>
        <vt:lpwstr>https://www.who.int/westernpacific/health-topics/diarrhoea</vt:lpwstr>
      </vt:variant>
      <vt:variant>
        <vt:lpwstr/>
      </vt:variant>
      <vt:variant>
        <vt:i4>6684731</vt:i4>
      </vt:variant>
      <vt:variant>
        <vt:i4>48</vt:i4>
      </vt:variant>
      <vt:variant>
        <vt:i4>0</vt:i4>
      </vt:variant>
      <vt:variant>
        <vt:i4>5</vt:i4>
      </vt:variant>
      <vt:variant>
        <vt:lpwstr>https://www.who.int/westernpacific/health-topics/diarrhoea</vt:lpwstr>
      </vt:variant>
      <vt:variant>
        <vt:lpwstr/>
      </vt:variant>
      <vt:variant>
        <vt:i4>2556013</vt:i4>
      </vt:variant>
      <vt:variant>
        <vt:i4>45</vt:i4>
      </vt:variant>
      <vt:variant>
        <vt:i4>0</vt:i4>
      </vt:variant>
      <vt:variant>
        <vt:i4>5</vt:i4>
      </vt:variant>
      <vt:variant>
        <vt:lpwstr>https://ajph.aphapublications.org/doi/10.2105/AJPH.92.5.758</vt:lpwstr>
      </vt:variant>
      <vt:variant>
        <vt:lpwstr/>
      </vt:variant>
      <vt:variant>
        <vt:i4>1638464</vt:i4>
      </vt:variant>
      <vt:variant>
        <vt:i4>42</vt:i4>
      </vt:variant>
      <vt:variant>
        <vt:i4>0</vt:i4>
      </vt:variant>
      <vt:variant>
        <vt:i4>5</vt:i4>
      </vt:variant>
      <vt:variant>
        <vt:lpwstr>https://www.tra.gov.au/Economic-analysis/australian-accommodation-monitor</vt:lpwstr>
      </vt:variant>
      <vt:variant>
        <vt:lpwstr/>
      </vt:variant>
      <vt:variant>
        <vt:i4>4522054</vt:i4>
      </vt:variant>
      <vt:variant>
        <vt:i4>39</vt:i4>
      </vt:variant>
      <vt:variant>
        <vt:i4>0</vt:i4>
      </vt:variant>
      <vt:variant>
        <vt:i4>5</vt:i4>
      </vt:variant>
      <vt:variant>
        <vt:lpwstr>http://www.nwhn.net.au/admin/file/content2/c7/Counting Boarding Houses -  Chris Chamberlain 2012.pdf</vt:lpwstr>
      </vt:variant>
      <vt:variant>
        <vt:lpwstr/>
      </vt:variant>
      <vt:variant>
        <vt:i4>4522054</vt:i4>
      </vt:variant>
      <vt:variant>
        <vt:i4>36</vt:i4>
      </vt:variant>
      <vt:variant>
        <vt:i4>0</vt:i4>
      </vt:variant>
      <vt:variant>
        <vt:i4>5</vt:i4>
      </vt:variant>
      <vt:variant>
        <vt:lpwstr>http://www.nwhn.net.au/admin/file/content2/c7/Counting Boarding Houses -  Chris Chamberlain 2012.pdf</vt:lpwstr>
      </vt:variant>
      <vt:variant>
        <vt:lpwstr/>
      </vt:variant>
      <vt:variant>
        <vt:i4>2621464</vt:i4>
      </vt:variant>
      <vt:variant>
        <vt:i4>33</vt:i4>
      </vt:variant>
      <vt:variant>
        <vt:i4>0</vt:i4>
      </vt:variant>
      <vt:variant>
        <vt:i4>5</vt:i4>
      </vt:variant>
      <vt:variant>
        <vt:lpwstr>https://www.abs.gov.au/AUSSTATS/abs@.nsf/DetailsPage/2049.02016?OpenDocument</vt:lpwstr>
      </vt:variant>
      <vt:variant>
        <vt:lpwstr/>
      </vt:variant>
      <vt:variant>
        <vt:i4>7733315</vt:i4>
      </vt:variant>
      <vt:variant>
        <vt:i4>30</vt:i4>
      </vt:variant>
      <vt:variant>
        <vt:i4>0</vt:i4>
      </vt:variant>
      <vt:variant>
        <vt:i4>5</vt:i4>
      </vt:variant>
      <vt:variant>
        <vt:lpwstr>https://www.abs.gov.au/AUSSTATS/abs@.nsf/Lookup/1270.0.55.005Main+Features1July 2016?OpenDocument</vt:lpwstr>
      </vt:variant>
      <vt:variant>
        <vt:lpwstr/>
      </vt:variant>
      <vt:variant>
        <vt:i4>3211360</vt:i4>
      </vt:variant>
      <vt:variant>
        <vt:i4>27</vt:i4>
      </vt:variant>
      <vt:variant>
        <vt:i4>0</vt:i4>
      </vt:variant>
      <vt:variant>
        <vt:i4>5</vt:i4>
      </vt:variant>
      <vt:variant>
        <vt:lpwstr>https://theconversation.com/ever-wondered-how-many-airbnbs-australia-has-and-where-they-all-are-we-have-the-answers-129003</vt:lpwstr>
      </vt:variant>
      <vt:variant>
        <vt:lpwstr/>
      </vt:variant>
      <vt:variant>
        <vt:i4>393301</vt:i4>
      </vt:variant>
      <vt:variant>
        <vt:i4>24</vt:i4>
      </vt:variant>
      <vt:variant>
        <vt:i4>0</vt:i4>
      </vt:variant>
      <vt:variant>
        <vt:i4>5</vt:i4>
      </vt:variant>
      <vt:variant>
        <vt:lpwstr>https://www.consumer.vic.gov.au/housing/renting/types-of-rental-agreements/holiday-accommodation</vt:lpwstr>
      </vt:variant>
      <vt:variant>
        <vt:lpwstr/>
      </vt:variant>
      <vt:variant>
        <vt:i4>3276921</vt:i4>
      </vt:variant>
      <vt:variant>
        <vt:i4>21</vt:i4>
      </vt:variant>
      <vt:variant>
        <vt:i4>0</vt:i4>
      </vt:variant>
      <vt:variant>
        <vt:i4>5</vt:i4>
      </vt:variant>
      <vt:variant>
        <vt:lpwstr>https://www.business.vic.gov.au/tourism-industry-resources/Business-Tools-and-Support/starting-a-tourism-business-A/starting-an-accommodation-business</vt:lpwstr>
      </vt:variant>
      <vt:variant>
        <vt:lpwstr/>
      </vt:variant>
      <vt:variant>
        <vt:i4>3801215</vt:i4>
      </vt:variant>
      <vt:variant>
        <vt:i4>18</vt:i4>
      </vt:variant>
      <vt:variant>
        <vt:i4>0</vt:i4>
      </vt:variant>
      <vt:variant>
        <vt:i4>5</vt:i4>
      </vt:variant>
      <vt:variant>
        <vt:lpwstr>https://9now.nine.com.au/a-current-affair/coronavirus-overcrowded-student-dorms-exposed-as-potential-covid19-hotspots/f03265e3-d575-4676-8214-3d8deba8110d</vt:lpwstr>
      </vt:variant>
      <vt:variant>
        <vt:lpwstr/>
      </vt:variant>
      <vt:variant>
        <vt:i4>4849741</vt:i4>
      </vt:variant>
      <vt:variant>
        <vt:i4>15</vt:i4>
      </vt:variant>
      <vt:variant>
        <vt:i4>0</vt:i4>
      </vt:variant>
      <vt:variant>
        <vt:i4>5</vt:i4>
      </vt:variant>
      <vt:variant>
        <vt:lpwstr>https://www.vic.gov.au/sites/default/files/2019-11/Residential-tenancies-Rooming-house-standards-Regulations-2011-RIS.pdf</vt:lpwstr>
      </vt:variant>
      <vt:variant>
        <vt:lpwstr/>
      </vt:variant>
      <vt:variant>
        <vt:i4>5111872</vt:i4>
      </vt:variant>
      <vt:variant>
        <vt:i4>12</vt:i4>
      </vt:variant>
      <vt:variant>
        <vt:i4>0</vt:i4>
      </vt:variant>
      <vt:variant>
        <vt:i4>5</vt:i4>
      </vt:variant>
      <vt:variant>
        <vt:lpwstr>https://www.researchgate.net/publication/272789417_Homelessness_in_Melbourne_Confronting_the_Challenge</vt:lpwstr>
      </vt:variant>
      <vt:variant>
        <vt:lpwstr/>
      </vt:variant>
      <vt:variant>
        <vt:i4>1572871</vt:i4>
      </vt:variant>
      <vt:variant>
        <vt:i4>9</vt:i4>
      </vt:variant>
      <vt:variant>
        <vt:i4>0</vt:i4>
      </vt:variant>
      <vt:variant>
        <vt:i4>5</vt:i4>
      </vt:variant>
      <vt:variant>
        <vt:lpwstr>http://www.betterregulation.vic.gov.au/Guidance-and-Resources</vt:lpwstr>
      </vt:variant>
      <vt:variant>
        <vt:lpwstr/>
      </vt:variant>
      <vt:variant>
        <vt:i4>5308500</vt:i4>
      </vt:variant>
      <vt:variant>
        <vt:i4>6</vt:i4>
      </vt:variant>
      <vt:variant>
        <vt:i4>0</vt:i4>
      </vt:variant>
      <vt:variant>
        <vt:i4>5</vt:i4>
      </vt:variant>
      <vt:variant>
        <vt:lpwstr>https://ncc.abcb.gov.au/ncc-online/NCC/2016-A1/NCC-2016-Volume-One/Section-F-Health-And-Amenity/Part-F2-Sanitary-And-Other-Facilities-Dts/F21-Facilities-In-Residential-Buildings?inlineLink=4e0202a0-d936-48c2-a892-6c01cff6895e</vt:lpwstr>
      </vt:variant>
      <vt:variant>
        <vt:lpwstr/>
      </vt:variant>
      <vt:variant>
        <vt:i4>6094933</vt:i4>
      </vt:variant>
      <vt:variant>
        <vt:i4>3</vt:i4>
      </vt:variant>
      <vt:variant>
        <vt:i4>0</vt:i4>
      </vt:variant>
      <vt:variant>
        <vt:i4>5</vt:i4>
      </vt:variant>
      <vt:variant>
        <vt:lpwstr>https://researchdata.edu.au/health-public/490094</vt:lpwstr>
      </vt:variant>
      <vt:variant>
        <vt:lpwstr/>
      </vt:variant>
      <vt:variant>
        <vt:i4>4718604</vt:i4>
      </vt:variant>
      <vt:variant>
        <vt:i4>0</vt:i4>
      </vt:variant>
      <vt:variant>
        <vt:i4>0</vt:i4>
      </vt:variant>
      <vt:variant>
        <vt:i4>5</vt:i4>
      </vt:variant>
      <vt:variant>
        <vt:lpwstr>https://www.who.int/publications/i/item/who-housing-and-health-guidelines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Regulatory Impact Statement: Public Health and Wellbeing (Prescribed Accommodation) Regulations 2020</dc:title>
  <dc:subject>Regulatory Impact Statement: Public Health and Wellbeing (Prescribed Accommodation) Regulations 2020</dc:subject>
  <dc:creator>Deloitte</dc:creator>
  <cp:keywords>Prescribed accommodation regulations, prescribed accommodation review, regulatory impact statement</cp:keywords>
  <dc:description/>
  <cp:lastModifiedBy>Gabrielle Davis (DHHS)</cp:lastModifiedBy>
  <cp:revision>2</cp:revision>
  <cp:lastPrinted>2020-09-15T01:20:00Z</cp:lastPrinted>
  <dcterms:created xsi:type="dcterms:W3CDTF">2020-09-15T01:40:00Z</dcterms:created>
  <dcterms:modified xsi:type="dcterms:W3CDTF">2020-09-15T01:40:00Z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E_Templates">
    <vt:lpwstr>True</vt:lpwstr>
  </property>
  <property fmtid="{D5CDD505-2E9C-101B-9397-08002B2CF9AE}" pid="3" name="FrontpageColorChange">
    <vt:lpwstr>True</vt:lpwstr>
  </property>
  <property fmtid="{D5CDD505-2E9C-101B-9397-08002B2CF9AE}" pid="4" name="TemplafyTimeStamp">
    <vt:lpwstr>2019-01-18T15:11:06.3577793Z</vt:lpwstr>
  </property>
  <property fmtid="{D5CDD505-2E9C-101B-9397-08002B2CF9AE}" pid="5" name="CustomerId">
    <vt:lpwstr>deloitteaus</vt:lpwstr>
  </property>
  <property fmtid="{D5CDD505-2E9C-101B-9397-08002B2CF9AE}" pid="6" name="TemplateId">
    <vt:lpwstr>636915989739845782</vt:lpwstr>
  </property>
  <property fmtid="{D5CDD505-2E9C-101B-9397-08002B2CF9AE}" pid="7" name="UserProfileId">
    <vt:lpwstr>636463214536389588</vt:lpwstr>
  </property>
  <property fmtid="{D5CDD505-2E9C-101B-9397-08002B2CF9AE}" pid="8" name="ContentTypeId">
    <vt:lpwstr>0x010100F35962552CBAA04E98DC94B72C0FE7EF007024A57D5114CF49B19E59421DDFCAF5</vt:lpwstr>
  </property>
  <property fmtid="{D5CDD505-2E9C-101B-9397-08002B2CF9AE}" pid="9" name="MSIP_Label_efdf5488-3066-4b6c-8fea-9472b8a1f34c_Enabled">
    <vt:lpwstr>True</vt:lpwstr>
  </property>
  <property fmtid="{D5CDD505-2E9C-101B-9397-08002B2CF9AE}" pid="10" name="MSIP_Label_efdf5488-3066-4b6c-8fea-9472b8a1f34c_SiteId">
    <vt:lpwstr>c0e0601f-0fac-449c-9c88-a104c4eb9f28</vt:lpwstr>
  </property>
  <property fmtid="{D5CDD505-2E9C-101B-9397-08002B2CF9AE}" pid="11" name="MSIP_Label_efdf5488-3066-4b6c-8fea-9472b8a1f34c_Owner">
    <vt:lpwstr>Sarah.Alexander@dhhs.vic.gov.au</vt:lpwstr>
  </property>
  <property fmtid="{D5CDD505-2E9C-101B-9397-08002B2CF9AE}" pid="12" name="MSIP_Label_efdf5488-3066-4b6c-8fea-9472b8a1f34c_SetDate">
    <vt:lpwstr>2020-09-08T04:21:09.0753202Z</vt:lpwstr>
  </property>
  <property fmtid="{D5CDD505-2E9C-101B-9397-08002B2CF9AE}" pid="13" name="MSIP_Label_efdf5488-3066-4b6c-8fea-9472b8a1f34c_Name">
    <vt:lpwstr>DO NOT MARK</vt:lpwstr>
  </property>
  <property fmtid="{D5CDD505-2E9C-101B-9397-08002B2CF9AE}" pid="14" name="MSIP_Label_efdf5488-3066-4b6c-8fea-9472b8a1f34c_Application">
    <vt:lpwstr>Microsoft Azure Information Protection</vt:lpwstr>
  </property>
  <property fmtid="{D5CDD505-2E9C-101B-9397-08002B2CF9AE}" pid="15" name="MSIP_Label_efdf5488-3066-4b6c-8fea-9472b8a1f34c_ActionId">
    <vt:lpwstr>368313b3-959f-4eef-b671-855a12121308</vt:lpwstr>
  </property>
  <property fmtid="{D5CDD505-2E9C-101B-9397-08002B2CF9AE}" pid="16" name="MSIP_Label_efdf5488-3066-4b6c-8fea-9472b8a1f34c_Extended_MSFT_Method">
    <vt:lpwstr>Manual</vt:lpwstr>
  </property>
  <property fmtid="{D5CDD505-2E9C-101B-9397-08002B2CF9AE}" pid="17" name="Sensitivity">
    <vt:lpwstr>DO NOT MARK</vt:lpwstr>
  </property>
</Properties>
</file>