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6E5488" w14:textId="77777777" w:rsidR="00002990" w:rsidRPr="003072C6" w:rsidRDefault="00AF20D7" w:rsidP="00A55989">
      <w:pPr>
        <w:pStyle w:val="DHHSbodynospace"/>
      </w:pPr>
      <w:r>
        <w:rPr>
          <w:noProof/>
          <w:lang w:eastAsia="en-AU"/>
        </w:rPr>
        <w:drawing>
          <wp:anchor distT="0" distB="0" distL="114300" distR="114300" simplePos="0" relativeHeight="251658240" behindDoc="1" locked="1" layoutInCell="1" allowOverlap="1" wp14:anchorId="5DDA0BF7" wp14:editId="1109E557">
            <wp:simplePos x="0" y="0"/>
            <wp:positionH relativeFrom="page">
              <wp:posOffset>0</wp:posOffset>
            </wp:positionH>
            <wp:positionV relativeFrom="page">
              <wp:posOffset>0</wp:posOffset>
            </wp:positionV>
            <wp:extent cx="7560000" cy="10692000"/>
            <wp:effectExtent l="0" t="0" r="3175" b="0"/>
            <wp:wrapNone/>
            <wp:docPr id="5" name="Picture 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4 Report cover Blood Matters footerbranding2.png"/>
                    <pic:cNvPicPr/>
                  </pic:nvPicPr>
                  <pic:blipFill>
                    <a:blip r:embed="rId8"/>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tbl>
      <w:tblPr>
        <w:tblW w:w="7938" w:type="dxa"/>
        <w:tblInd w:w="113" w:type="dxa"/>
        <w:tblCellMar>
          <w:left w:w="0" w:type="dxa"/>
          <w:right w:w="0" w:type="dxa"/>
        </w:tblCellMar>
        <w:tblLook w:val="0600" w:firstRow="0" w:lastRow="0" w:firstColumn="0" w:lastColumn="0" w:noHBand="1" w:noVBand="1"/>
      </w:tblPr>
      <w:tblGrid>
        <w:gridCol w:w="7938"/>
      </w:tblGrid>
      <w:tr w:rsidR="001817CD" w:rsidRPr="003072C6" w14:paraId="62B0FE2D" w14:textId="77777777" w:rsidTr="00C0160A">
        <w:trPr>
          <w:trHeight w:val="3988"/>
        </w:trPr>
        <w:tc>
          <w:tcPr>
            <w:tcW w:w="7938" w:type="dxa"/>
            <w:shd w:val="clear" w:color="auto" w:fill="auto"/>
          </w:tcPr>
          <w:p w14:paraId="58ADB880" w14:textId="77777777" w:rsidR="0047393E" w:rsidRDefault="0047393E" w:rsidP="0047393E">
            <w:pPr>
              <w:pStyle w:val="DHHSreportsubtitleblack"/>
              <w:rPr>
                <w:color w:val="D50032"/>
                <w:sz w:val="50"/>
                <w:szCs w:val="50"/>
              </w:rPr>
            </w:pPr>
            <w:r w:rsidRPr="0047393E">
              <w:rPr>
                <w:color w:val="D50032"/>
                <w:sz w:val="50"/>
                <w:szCs w:val="50"/>
              </w:rPr>
              <w:t>General practice audit of preoperative anaemia</w:t>
            </w:r>
            <w:r>
              <w:rPr>
                <w:color w:val="D50032"/>
                <w:sz w:val="50"/>
                <w:szCs w:val="50"/>
              </w:rPr>
              <w:t xml:space="preserve"> report 2019</w:t>
            </w:r>
          </w:p>
          <w:p w14:paraId="1B8BF133" w14:textId="77777777" w:rsidR="00444D82" w:rsidRPr="003072C6" w:rsidRDefault="0047393E" w:rsidP="0047393E">
            <w:pPr>
              <w:pStyle w:val="DHHSreportsubtitleblack"/>
            </w:pPr>
            <w:r>
              <w:t>Blood Matters program</w:t>
            </w:r>
          </w:p>
        </w:tc>
      </w:tr>
      <w:tr w:rsidR="001817CD" w:rsidRPr="003072C6" w14:paraId="08F412ED" w14:textId="77777777" w:rsidTr="00C0160A">
        <w:trPr>
          <w:trHeight w:val="4664"/>
        </w:trPr>
        <w:tc>
          <w:tcPr>
            <w:tcW w:w="10252" w:type="dxa"/>
            <w:shd w:val="clear" w:color="auto" w:fill="auto"/>
          </w:tcPr>
          <w:p w14:paraId="3B13FD95" w14:textId="77777777" w:rsidR="00502B8F" w:rsidRPr="003072C6" w:rsidRDefault="00502B8F" w:rsidP="00502B8F">
            <w:pPr>
              <w:pStyle w:val="Coverinstructions"/>
            </w:pPr>
          </w:p>
        </w:tc>
      </w:tr>
    </w:tbl>
    <w:p w14:paraId="1686C0C1" w14:textId="77777777" w:rsidR="0069374A" w:rsidRPr="00256E7C" w:rsidRDefault="0069374A" w:rsidP="00256E7C">
      <w:pPr>
        <w:pStyle w:val="DHHSbody"/>
      </w:pPr>
    </w:p>
    <w:p w14:paraId="4A9D577F" w14:textId="77777777" w:rsidR="00C51B1C" w:rsidRPr="00256E7C" w:rsidRDefault="00C51B1C" w:rsidP="00256E7C">
      <w:pPr>
        <w:pStyle w:val="DHHSbody"/>
        <w:sectPr w:rsidR="00C51B1C" w:rsidRPr="00256E7C" w:rsidSect="00A55989">
          <w:type w:val="oddPage"/>
          <w:pgSz w:w="11906" w:h="16838"/>
          <w:pgMar w:top="3969" w:right="1304" w:bottom="1134" w:left="1304" w:header="454" w:footer="567" w:gutter="0"/>
          <w:cols w:space="720"/>
          <w:docGrid w:linePitch="360"/>
        </w:sectPr>
      </w:pPr>
    </w:p>
    <w:p w14:paraId="1132837F" w14:textId="77777777" w:rsidR="00256E7C" w:rsidRPr="00256E7C" w:rsidRDefault="00256E7C" w:rsidP="00256E7C">
      <w:pPr>
        <w:pStyle w:val="DHHSbody"/>
      </w:pPr>
      <w:r w:rsidRPr="00256E7C">
        <w:lastRenderedPageBreak/>
        <w:br w:type="page"/>
      </w:r>
    </w:p>
    <w:tbl>
      <w:tblPr>
        <w:tblW w:w="0" w:type="auto"/>
        <w:tblInd w:w="1701" w:type="dxa"/>
        <w:tblCellMar>
          <w:left w:w="0" w:type="dxa"/>
          <w:right w:w="0" w:type="dxa"/>
        </w:tblCellMar>
        <w:tblLook w:val="0600" w:firstRow="0" w:lastRow="0" w:firstColumn="0" w:lastColumn="0" w:noHBand="1" w:noVBand="1"/>
      </w:tblPr>
      <w:tblGrid>
        <w:gridCol w:w="7597"/>
      </w:tblGrid>
      <w:tr w:rsidR="00DE24E6" w:rsidRPr="003072C6" w14:paraId="37313BA7" w14:textId="77777777" w:rsidTr="00DE7B07">
        <w:trPr>
          <w:trHeight w:val="7402"/>
        </w:trPr>
        <w:tc>
          <w:tcPr>
            <w:tcW w:w="7597" w:type="dxa"/>
            <w:shd w:val="clear" w:color="auto" w:fill="auto"/>
            <w:vAlign w:val="center"/>
          </w:tcPr>
          <w:p w14:paraId="59EB693D" w14:textId="77777777" w:rsidR="005338EA" w:rsidRPr="003072C6" w:rsidRDefault="0047393E" w:rsidP="0047393E">
            <w:pPr>
              <w:pStyle w:val="DHHSreportsubtitle"/>
            </w:pPr>
            <w:r w:rsidRPr="0047393E">
              <w:rPr>
                <w:color w:val="D50032"/>
                <w:sz w:val="50"/>
                <w:szCs w:val="24"/>
              </w:rPr>
              <w:lastRenderedPageBreak/>
              <w:t>General practice audit of preoperative anaemia</w:t>
            </w:r>
            <w:r>
              <w:rPr>
                <w:color w:val="D50032"/>
                <w:sz w:val="50"/>
                <w:szCs w:val="24"/>
              </w:rPr>
              <w:t xml:space="preserve"> 2019</w:t>
            </w:r>
          </w:p>
        </w:tc>
      </w:tr>
      <w:tr w:rsidR="009906C7" w:rsidRPr="003072C6" w14:paraId="47BE1DE7" w14:textId="77777777" w:rsidTr="00DE7B07">
        <w:tc>
          <w:tcPr>
            <w:tcW w:w="7597" w:type="dxa"/>
            <w:shd w:val="clear" w:color="auto" w:fill="auto"/>
            <w:vAlign w:val="center"/>
          </w:tcPr>
          <w:p w14:paraId="76CA3E1F" w14:textId="77777777" w:rsidR="009906C7" w:rsidRPr="003072C6" w:rsidRDefault="009906C7" w:rsidP="009906C7">
            <w:pPr>
              <w:pStyle w:val="DHHSbody"/>
            </w:pPr>
          </w:p>
        </w:tc>
      </w:tr>
    </w:tbl>
    <w:p w14:paraId="638DFD75" w14:textId="77777777" w:rsidR="00AC0C3B" w:rsidRPr="003072C6" w:rsidRDefault="00C81BA6" w:rsidP="00CA6D4E">
      <w:pPr>
        <w:pStyle w:val="DHHSbodynospace"/>
      </w:pPr>
      <w:r w:rsidRPr="003072C6">
        <w:br w:type="page"/>
      </w:r>
    </w:p>
    <w:tbl>
      <w:tblPr>
        <w:tblW w:w="0" w:type="auto"/>
        <w:tblCellMar>
          <w:top w:w="113" w:type="dxa"/>
          <w:left w:w="0" w:type="dxa"/>
          <w:bottom w:w="57" w:type="dxa"/>
          <w:right w:w="0" w:type="dxa"/>
        </w:tblCellMar>
        <w:tblLook w:val="0600" w:firstRow="0" w:lastRow="0" w:firstColumn="0" w:lastColumn="0" w:noHBand="1" w:noVBand="1"/>
      </w:tblPr>
      <w:tblGrid>
        <w:gridCol w:w="9298"/>
      </w:tblGrid>
      <w:tr w:rsidR="00564E8F" w:rsidRPr="003072C6" w14:paraId="69D7FB2B" w14:textId="77777777" w:rsidTr="00DE7B07">
        <w:trPr>
          <w:trHeight w:val="4313"/>
        </w:trPr>
        <w:tc>
          <w:tcPr>
            <w:tcW w:w="9401" w:type="dxa"/>
          </w:tcPr>
          <w:p w14:paraId="60F67449" w14:textId="473ABE47" w:rsidR="00564E8F" w:rsidRPr="00912C19" w:rsidRDefault="00564E8F" w:rsidP="00031263">
            <w:pPr>
              <w:pStyle w:val="DHHSbody"/>
              <w:rPr>
                <w:color w:val="007B4B"/>
                <w:sz w:val="26"/>
                <w:szCs w:val="26"/>
              </w:rPr>
            </w:pPr>
          </w:p>
        </w:tc>
      </w:tr>
      <w:tr w:rsidR="00564E8F" w:rsidRPr="003072C6" w14:paraId="38B080AD" w14:textId="77777777" w:rsidTr="00DE7B07">
        <w:trPr>
          <w:trHeight w:val="5387"/>
        </w:trPr>
        <w:tc>
          <w:tcPr>
            <w:tcW w:w="9401" w:type="dxa"/>
            <w:vAlign w:val="bottom"/>
          </w:tcPr>
          <w:p w14:paraId="1DCB9AFB" w14:textId="28A94E2C" w:rsidR="009D4AA8" w:rsidRDefault="009D4AA8" w:rsidP="009D4AA8">
            <w:pPr>
              <w:spacing w:after="200" w:line="300" w:lineRule="atLeast"/>
              <w:rPr>
                <w:rFonts w:ascii="Arial" w:eastAsia="Times" w:hAnsi="Arial"/>
                <w:sz w:val="24"/>
                <w:szCs w:val="19"/>
              </w:rPr>
            </w:pPr>
            <w:r>
              <w:rPr>
                <w:rFonts w:ascii="Arial" w:eastAsia="Times" w:hAnsi="Arial"/>
                <w:sz w:val="24"/>
                <w:szCs w:val="19"/>
              </w:rPr>
              <w:t xml:space="preserve">To receive this publication in an accessible format phone </w:t>
            </w:r>
            <w:r w:rsidR="00C43257">
              <w:rPr>
                <w:rFonts w:ascii="Arial" w:eastAsia="Times" w:hAnsi="Arial"/>
                <w:color w:val="007B4B"/>
                <w:sz w:val="24"/>
                <w:szCs w:val="19"/>
              </w:rPr>
              <w:t>03 9694 0102</w:t>
            </w:r>
            <w:r>
              <w:rPr>
                <w:rFonts w:ascii="Arial" w:eastAsia="Times" w:hAnsi="Arial"/>
                <w:sz w:val="24"/>
                <w:szCs w:val="19"/>
              </w:rPr>
              <w:t xml:space="preserve">, using the National Relay Service 13 36 77 if required, or email </w:t>
            </w:r>
            <w:hyperlink r:id="rId9" w:history="1">
              <w:r w:rsidR="00C43257" w:rsidRPr="00A2763C">
                <w:rPr>
                  <w:rStyle w:val="Hyperlink"/>
                  <w:rFonts w:ascii="Arial" w:eastAsia="Times" w:hAnsi="Arial"/>
                  <w:sz w:val="24"/>
                  <w:szCs w:val="19"/>
                </w:rPr>
                <w:t>bloodmatters@redcrossblood.org.au</w:t>
              </w:r>
            </w:hyperlink>
            <w:r w:rsidR="00C43257">
              <w:rPr>
                <w:rFonts w:ascii="Arial" w:eastAsia="Times" w:hAnsi="Arial"/>
                <w:color w:val="007B4B"/>
                <w:sz w:val="24"/>
                <w:szCs w:val="19"/>
              </w:rPr>
              <w:t xml:space="preserve"> </w:t>
            </w:r>
            <w:r w:rsidRPr="00912C19">
              <w:rPr>
                <w:rFonts w:ascii="Arial" w:eastAsia="Times" w:hAnsi="Arial"/>
                <w:color w:val="007B4B"/>
                <w:sz w:val="24"/>
                <w:szCs w:val="19"/>
              </w:rPr>
              <w:t xml:space="preserve"> </w:t>
            </w:r>
            <w:r>
              <w:rPr>
                <w:rFonts w:ascii="Arial" w:eastAsia="Times" w:hAnsi="Arial"/>
                <w:sz w:val="24"/>
                <w:szCs w:val="19"/>
              </w:rPr>
              <w:t>&lt;</w:t>
            </w:r>
            <w:r w:rsidR="00C43257" w:rsidRPr="00C43257">
              <w:rPr>
                <w:rFonts w:ascii="Arial" w:eastAsia="Times" w:hAnsi="Arial"/>
                <w:color w:val="007B4B"/>
                <w:sz w:val="24"/>
                <w:szCs w:val="19"/>
              </w:rPr>
              <w:t>bloodmatters@redcrossblood.org.au</w:t>
            </w:r>
            <w:r>
              <w:rPr>
                <w:rFonts w:ascii="Arial" w:eastAsia="Times" w:hAnsi="Arial"/>
                <w:sz w:val="24"/>
                <w:szCs w:val="19"/>
              </w:rPr>
              <w:t>&gt;.</w:t>
            </w:r>
          </w:p>
          <w:p w14:paraId="27055A6A" w14:textId="77777777" w:rsidR="00551789" w:rsidRPr="00C31117" w:rsidRDefault="00551789" w:rsidP="00551789">
            <w:pPr>
              <w:pStyle w:val="DHHSbody"/>
            </w:pPr>
            <w:r w:rsidRPr="00C31117">
              <w:t>Authorised and published by the Victorian Government, 1 Treasury Place, Melbourne.</w:t>
            </w:r>
          </w:p>
          <w:p w14:paraId="136A5613" w14:textId="0228ACC7" w:rsidR="00551789" w:rsidRPr="00C31117" w:rsidRDefault="00551789" w:rsidP="00551789">
            <w:pPr>
              <w:pStyle w:val="DHHSbody"/>
            </w:pPr>
            <w:r w:rsidRPr="00C31117">
              <w:t>© State of Victoria, Australia, Department of Health and Human Services</w:t>
            </w:r>
            <w:r w:rsidRPr="00C31117">
              <w:rPr>
                <w:color w:val="008950"/>
              </w:rPr>
              <w:t xml:space="preserve"> </w:t>
            </w:r>
            <w:r w:rsidR="00C43257">
              <w:rPr>
                <w:color w:val="007B4B"/>
              </w:rPr>
              <w:t>August 2020</w:t>
            </w:r>
            <w:r w:rsidRPr="00C31117">
              <w:t>.</w:t>
            </w:r>
          </w:p>
          <w:p w14:paraId="2C1F4A3B" w14:textId="77777777" w:rsidR="00C43257" w:rsidRDefault="00C43257" w:rsidP="00551789">
            <w:pPr>
              <w:pStyle w:val="DHHSbody"/>
            </w:pPr>
            <w:r w:rsidRPr="00C43257">
              <w:rPr>
                <w:b/>
                <w:bCs/>
              </w:rPr>
              <w:t xml:space="preserve">ISBN </w:t>
            </w:r>
            <w:r w:rsidRPr="00C43257">
              <w:t>978-1-76096-108-4</w:t>
            </w:r>
            <w:r w:rsidRPr="00C43257">
              <w:rPr>
                <w:b/>
                <w:bCs/>
              </w:rPr>
              <w:t xml:space="preserve"> (pdf/online/MS word)</w:t>
            </w:r>
            <w:r w:rsidRPr="00C43257">
              <w:t xml:space="preserve"> </w:t>
            </w:r>
          </w:p>
          <w:p w14:paraId="2825E12E" w14:textId="10FB83BF" w:rsidR="00551789" w:rsidRPr="006254F8" w:rsidRDefault="00551789" w:rsidP="00551789">
            <w:pPr>
              <w:pStyle w:val="DHHSbody"/>
              <w:rPr>
                <w:color w:val="000000"/>
                <w:szCs w:val="19"/>
              </w:rPr>
            </w:pPr>
            <w:r w:rsidRPr="00C31117">
              <w:rPr>
                <w:szCs w:val="19"/>
              </w:rPr>
              <w:t xml:space="preserve">Available at </w:t>
            </w:r>
            <w:r w:rsidR="00C43257">
              <w:rPr>
                <w:color w:val="007B4B"/>
              </w:rPr>
              <w:t>health.vic.gov.au</w:t>
            </w:r>
            <w:r w:rsidRPr="006254F8">
              <w:rPr>
                <w:color w:val="000000"/>
                <w:szCs w:val="19"/>
              </w:rPr>
              <w:t xml:space="preserve"> </w:t>
            </w:r>
            <w:r w:rsidRPr="006254F8">
              <w:rPr>
                <w:color w:val="000000"/>
              </w:rPr>
              <w:t>&lt;</w:t>
            </w:r>
            <w:r w:rsidR="00C43257" w:rsidRPr="00C43257">
              <w:rPr>
                <w:color w:val="007B4B"/>
              </w:rPr>
              <w:t>https://www2.health.vic.gov.au/hospitals-and-health-services/patient-care/speciality-diagnostics-therapeutics/blood-matters</w:t>
            </w:r>
            <w:r w:rsidR="00C43257">
              <w:rPr>
                <w:color w:val="007B4B"/>
              </w:rPr>
              <w:t xml:space="preserve">  </w:t>
            </w:r>
            <w:r w:rsidRPr="006254F8">
              <w:rPr>
                <w:color w:val="000000"/>
              </w:rPr>
              <w:t>&gt;</w:t>
            </w:r>
          </w:p>
          <w:p w14:paraId="503C69B7" w14:textId="77777777" w:rsidR="00564E8F" w:rsidRPr="003072C6" w:rsidRDefault="00551789" w:rsidP="00551789">
            <w:pPr>
              <w:pStyle w:val="DHHSbody"/>
            </w:pPr>
            <w:r w:rsidRPr="00C31117">
              <w:t xml:space="preserve"> (</w:t>
            </w:r>
            <w:r w:rsidRPr="00912C19">
              <w:rPr>
                <w:color w:val="007B4B"/>
              </w:rPr>
              <w:t>insert design job number in brackets</w:t>
            </w:r>
            <w:r w:rsidRPr="00C31117">
              <w:t>)</w:t>
            </w:r>
          </w:p>
        </w:tc>
      </w:tr>
      <w:tr w:rsidR="009906C7" w:rsidRPr="003072C6" w14:paraId="08263D19" w14:textId="77777777" w:rsidTr="00DE7B07">
        <w:tc>
          <w:tcPr>
            <w:tcW w:w="9401" w:type="dxa"/>
            <w:vAlign w:val="bottom"/>
          </w:tcPr>
          <w:p w14:paraId="6645359A" w14:textId="77777777" w:rsidR="009906C7" w:rsidRPr="003072C6" w:rsidRDefault="009906C7" w:rsidP="003741AD">
            <w:pPr>
              <w:pStyle w:val="DHHSbodynospace"/>
            </w:pPr>
          </w:p>
        </w:tc>
      </w:tr>
    </w:tbl>
    <w:p w14:paraId="3E02ADFE" w14:textId="77777777" w:rsidR="00ED4D17" w:rsidRPr="003072C6" w:rsidRDefault="00ED4D17" w:rsidP="003072C6">
      <w:pPr>
        <w:pStyle w:val="DHHSbody"/>
      </w:pPr>
    </w:p>
    <w:p w14:paraId="07D9AED0" w14:textId="77777777" w:rsidR="00AC0C3B" w:rsidRPr="00711B0C" w:rsidRDefault="00AC0C3B" w:rsidP="00711B0C">
      <w:pPr>
        <w:pStyle w:val="DHHSTOCheadingreport"/>
      </w:pPr>
      <w:r w:rsidRPr="00711B0C">
        <w:lastRenderedPageBreak/>
        <w:t>Contents</w:t>
      </w:r>
    </w:p>
    <w:p w14:paraId="777BA7BE" w14:textId="3FCA3F08" w:rsidR="006538C0" w:rsidRDefault="00E15DA9">
      <w:pPr>
        <w:pStyle w:val="TOC1"/>
        <w:rPr>
          <w:rFonts w:asciiTheme="minorHAnsi" w:eastAsiaTheme="minorEastAsia" w:hAnsiTheme="minorHAnsi" w:cstheme="minorBidi"/>
          <w:b w:val="0"/>
          <w:sz w:val="22"/>
          <w:szCs w:val="22"/>
          <w:lang w:eastAsia="en-AU"/>
        </w:rPr>
      </w:pPr>
      <w:r w:rsidRPr="003072C6">
        <w:rPr>
          <w:noProof w:val="0"/>
        </w:rPr>
        <w:fldChar w:fldCharType="begin"/>
      </w:r>
      <w:r w:rsidRPr="003072C6">
        <w:rPr>
          <w:noProof w:val="0"/>
        </w:rPr>
        <w:instrText xml:space="preserve"> TOC \h \z \t "Heading 1,1,Heading 2,2" </w:instrText>
      </w:r>
      <w:r w:rsidRPr="003072C6">
        <w:rPr>
          <w:noProof w:val="0"/>
        </w:rPr>
        <w:fldChar w:fldCharType="separate"/>
      </w:r>
      <w:hyperlink w:anchor="_Toc48054048" w:history="1">
        <w:r w:rsidR="006538C0" w:rsidRPr="00250167">
          <w:rPr>
            <w:rStyle w:val="Hyperlink"/>
          </w:rPr>
          <w:t>Acknowledgements</w:t>
        </w:r>
        <w:r w:rsidR="006538C0">
          <w:rPr>
            <w:webHidden/>
          </w:rPr>
          <w:tab/>
        </w:r>
        <w:r w:rsidR="006538C0">
          <w:rPr>
            <w:webHidden/>
          </w:rPr>
          <w:fldChar w:fldCharType="begin"/>
        </w:r>
        <w:r w:rsidR="006538C0">
          <w:rPr>
            <w:webHidden/>
          </w:rPr>
          <w:instrText xml:space="preserve"> PAGEREF _Toc48054048 \h </w:instrText>
        </w:r>
        <w:r w:rsidR="006538C0">
          <w:rPr>
            <w:webHidden/>
          </w:rPr>
        </w:r>
        <w:r w:rsidR="006538C0">
          <w:rPr>
            <w:webHidden/>
          </w:rPr>
          <w:fldChar w:fldCharType="separate"/>
        </w:r>
        <w:r w:rsidR="006538C0">
          <w:rPr>
            <w:webHidden/>
          </w:rPr>
          <w:t>6</w:t>
        </w:r>
        <w:r w:rsidR="006538C0">
          <w:rPr>
            <w:webHidden/>
          </w:rPr>
          <w:fldChar w:fldCharType="end"/>
        </w:r>
      </w:hyperlink>
    </w:p>
    <w:p w14:paraId="5DDF2307" w14:textId="676B8E65" w:rsidR="006538C0" w:rsidRDefault="007B45DA">
      <w:pPr>
        <w:pStyle w:val="TOC1"/>
        <w:rPr>
          <w:rFonts w:asciiTheme="minorHAnsi" w:eastAsiaTheme="minorEastAsia" w:hAnsiTheme="minorHAnsi" w:cstheme="minorBidi"/>
          <w:b w:val="0"/>
          <w:sz w:val="22"/>
          <w:szCs w:val="22"/>
          <w:lang w:eastAsia="en-AU"/>
        </w:rPr>
      </w:pPr>
      <w:hyperlink w:anchor="_Toc48054049" w:history="1">
        <w:r w:rsidR="006538C0" w:rsidRPr="00250167">
          <w:rPr>
            <w:rStyle w:val="Hyperlink"/>
          </w:rPr>
          <w:t>Background</w:t>
        </w:r>
        <w:r w:rsidR="006538C0">
          <w:rPr>
            <w:webHidden/>
          </w:rPr>
          <w:tab/>
        </w:r>
        <w:r w:rsidR="006538C0">
          <w:rPr>
            <w:webHidden/>
          </w:rPr>
          <w:fldChar w:fldCharType="begin"/>
        </w:r>
        <w:r w:rsidR="006538C0">
          <w:rPr>
            <w:webHidden/>
          </w:rPr>
          <w:instrText xml:space="preserve"> PAGEREF _Toc48054049 \h </w:instrText>
        </w:r>
        <w:r w:rsidR="006538C0">
          <w:rPr>
            <w:webHidden/>
          </w:rPr>
        </w:r>
        <w:r w:rsidR="006538C0">
          <w:rPr>
            <w:webHidden/>
          </w:rPr>
          <w:fldChar w:fldCharType="separate"/>
        </w:r>
        <w:r w:rsidR="006538C0">
          <w:rPr>
            <w:webHidden/>
          </w:rPr>
          <w:t>8</w:t>
        </w:r>
        <w:r w:rsidR="006538C0">
          <w:rPr>
            <w:webHidden/>
          </w:rPr>
          <w:fldChar w:fldCharType="end"/>
        </w:r>
      </w:hyperlink>
    </w:p>
    <w:p w14:paraId="544F98E3" w14:textId="2AD18492" w:rsidR="006538C0" w:rsidRDefault="007B45DA">
      <w:pPr>
        <w:pStyle w:val="TOC1"/>
        <w:rPr>
          <w:rFonts w:asciiTheme="minorHAnsi" w:eastAsiaTheme="minorEastAsia" w:hAnsiTheme="minorHAnsi" w:cstheme="minorBidi"/>
          <w:b w:val="0"/>
          <w:sz w:val="22"/>
          <w:szCs w:val="22"/>
          <w:lang w:eastAsia="en-AU"/>
        </w:rPr>
      </w:pPr>
      <w:hyperlink w:anchor="_Toc48054050" w:history="1">
        <w:r w:rsidR="006538C0" w:rsidRPr="00250167">
          <w:rPr>
            <w:rStyle w:val="Hyperlink"/>
          </w:rPr>
          <w:t>Audit</w:t>
        </w:r>
        <w:r w:rsidR="006538C0">
          <w:rPr>
            <w:webHidden/>
          </w:rPr>
          <w:tab/>
        </w:r>
        <w:r w:rsidR="006538C0">
          <w:rPr>
            <w:webHidden/>
          </w:rPr>
          <w:fldChar w:fldCharType="begin"/>
        </w:r>
        <w:r w:rsidR="006538C0">
          <w:rPr>
            <w:webHidden/>
          </w:rPr>
          <w:instrText xml:space="preserve"> PAGEREF _Toc48054050 \h </w:instrText>
        </w:r>
        <w:r w:rsidR="006538C0">
          <w:rPr>
            <w:webHidden/>
          </w:rPr>
        </w:r>
        <w:r w:rsidR="006538C0">
          <w:rPr>
            <w:webHidden/>
          </w:rPr>
          <w:fldChar w:fldCharType="separate"/>
        </w:r>
        <w:r w:rsidR="006538C0">
          <w:rPr>
            <w:webHidden/>
          </w:rPr>
          <w:t>8</w:t>
        </w:r>
        <w:r w:rsidR="006538C0">
          <w:rPr>
            <w:webHidden/>
          </w:rPr>
          <w:fldChar w:fldCharType="end"/>
        </w:r>
      </w:hyperlink>
    </w:p>
    <w:p w14:paraId="0CA91209" w14:textId="43727283" w:rsidR="006538C0" w:rsidRDefault="007B45DA">
      <w:pPr>
        <w:pStyle w:val="TOC2"/>
        <w:rPr>
          <w:rFonts w:asciiTheme="minorHAnsi" w:eastAsiaTheme="minorEastAsia" w:hAnsiTheme="minorHAnsi" w:cstheme="minorBidi"/>
          <w:sz w:val="22"/>
          <w:szCs w:val="22"/>
          <w:lang w:eastAsia="en-AU"/>
        </w:rPr>
      </w:pPr>
      <w:hyperlink w:anchor="_Toc48054051" w:history="1">
        <w:r w:rsidR="006538C0" w:rsidRPr="00250167">
          <w:rPr>
            <w:rStyle w:val="Hyperlink"/>
            <w:rFonts w:eastAsia="Times"/>
          </w:rPr>
          <w:t>Learning outcomes of audit activity and feedback</w:t>
        </w:r>
        <w:r w:rsidR="006538C0">
          <w:rPr>
            <w:webHidden/>
          </w:rPr>
          <w:tab/>
        </w:r>
        <w:r w:rsidR="006538C0">
          <w:rPr>
            <w:webHidden/>
          </w:rPr>
          <w:fldChar w:fldCharType="begin"/>
        </w:r>
        <w:r w:rsidR="006538C0">
          <w:rPr>
            <w:webHidden/>
          </w:rPr>
          <w:instrText xml:space="preserve"> PAGEREF _Toc48054051 \h </w:instrText>
        </w:r>
        <w:r w:rsidR="006538C0">
          <w:rPr>
            <w:webHidden/>
          </w:rPr>
        </w:r>
        <w:r w:rsidR="006538C0">
          <w:rPr>
            <w:webHidden/>
          </w:rPr>
          <w:fldChar w:fldCharType="separate"/>
        </w:r>
        <w:r w:rsidR="006538C0">
          <w:rPr>
            <w:webHidden/>
          </w:rPr>
          <w:t>8</w:t>
        </w:r>
        <w:r w:rsidR="006538C0">
          <w:rPr>
            <w:webHidden/>
          </w:rPr>
          <w:fldChar w:fldCharType="end"/>
        </w:r>
      </w:hyperlink>
    </w:p>
    <w:p w14:paraId="4D25A761" w14:textId="7773CB10" w:rsidR="006538C0" w:rsidRDefault="007B45DA">
      <w:pPr>
        <w:pStyle w:val="TOC2"/>
        <w:rPr>
          <w:rFonts w:asciiTheme="minorHAnsi" w:eastAsiaTheme="minorEastAsia" w:hAnsiTheme="minorHAnsi" w:cstheme="minorBidi"/>
          <w:sz w:val="22"/>
          <w:szCs w:val="22"/>
          <w:lang w:eastAsia="en-AU"/>
        </w:rPr>
      </w:pPr>
      <w:hyperlink w:anchor="_Toc48054052" w:history="1">
        <w:r w:rsidR="006538C0" w:rsidRPr="00250167">
          <w:rPr>
            <w:rStyle w:val="Hyperlink"/>
            <w:rFonts w:eastAsia="Times"/>
          </w:rPr>
          <w:t>Method</w:t>
        </w:r>
        <w:r w:rsidR="006538C0">
          <w:rPr>
            <w:webHidden/>
          </w:rPr>
          <w:tab/>
        </w:r>
        <w:r w:rsidR="006538C0">
          <w:rPr>
            <w:webHidden/>
          </w:rPr>
          <w:fldChar w:fldCharType="begin"/>
        </w:r>
        <w:r w:rsidR="006538C0">
          <w:rPr>
            <w:webHidden/>
          </w:rPr>
          <w:instrText xml:space="preserve"> PAGEREF _Toc48054052 \h </w:instrText>
        </w:r>
        <w:r w:rsidR="006538C0">
          <w:rPr>
            <w:webHidden/>
          </w:rPr>
        </w:r>
        <w:r w:rsidR="006538C0">
          <w:rPr>
            <w:webHidden/>
          </w:rPr>
          <w:fldChar w:fldCharType="separate"/>
        </w:r>
        <w:r w:rsidR="006538C0">
          <w:rPr>
            <w:webHidden/>
          </w:rPr>
          <w:t>8</w:t>
        </w:r>
        <w:r w:rsidR="006538C0">
          <w:rPr>
            <w:webHidden/>
          </w:rPr>
          <w:fldChar w:fldCharType="end"/>
        </w:r>
      </w:hyperlink>
    </w:p>
    <w:p w14:paraId="38931259" w14:textId="3C58F8AB" w:rsidR="006538C0" w:rsidRDefault="007B45DA">
      <w:pPr>
        <w:pStyle w:val="TOC2"/>
        <w:rPr>
          <w:rFonts w:asciiTheme="minorHAnsi" w:eastAsiaTheme="minorEastAsia" w:hAnsiTheme="minorHAnsi" w:cstheme="minorBidi"/>
          <w:sz w:val="22"/>
          <w:szCs w:val="22"/>
          <w:lang w:eastAsia="en-AU"/>
        </w:rPr>
      </w:pPr>
      <w:hyperlink w:anchor="_Toc48054053" w:history="1">
        <w:r w:rsidR="006538C0" w:rsidRPr="00250167">
          <w:rPr>
            <w:rStyle w:val="Hyperlink"/>
          </w:rPr>
          <w:t>Audit promotion and circulation</w:t>
        </w:r>
        <w:r w:rsidR="006538C0">
          <w:rPr>
            <w:webHidden/>
          </w:rPr>
          <w:tab/>
        </w:r>
        <w:r w:rsidR="006538C0">
          <w:rPr>
            <w:webHidden/>
          </w:rPr>
          <w:fldChar w:fldCharType="begin"/>
        </w:r>
        <w:r w:rsidR="006538C0">
          <w:rPr>
            <w:webHidden/>
          </w:rPr>
          <w:instrText xml:space="preserve"> PAGEREF _Toc48054053 \h </w:instrText>
        </w:r>
        <w:r w:rsidR="006538C0">
          <w:rPr>
            <w:webHidden/>
          </w:rPr>
        </w:r>
        <w:r w:rsidR="006538C0">
          <w:rPr>
            <w:webHidden/>
          </w:rPr>
          <w:fldChar w:fldCharType="separate"/>
        </w:r>
        <w:r w:rsidR="006538C0">
          <w:rPr>
            <w:webHidden/>
          </w:rPr>
          <w:t>9</w:t>
        </w:r>
        <w:r w:rsidR="006538C0">
          <w:rPr>
            <w:webHidden/>
          </w:rPr>
          <w:fldChar w:fldCharType="end"/>
        </w:r>
      </w:hyperlink>
    </w:p>
    <w:p w14:paraId="7D33BF90" w14:textId="1CF6B398" w:rsidR="006538C0" w:rsidRDefault="007B45DA">
      <w:pPr>
        <w:pStyle w:val="TOC2"/>
        <w:rPr>
          <w:rFonts w:asciiTheme="minorHAnsi" w:eastAsiaTheme="minorEastAsia" w:hAnsiTheme="minorHAnsi" w:cstheme="minorBidi"/>
          <w:sz w:val="22"/>
          <w:szCs w:val="22"/>
          <w:lang w:eastAsia="en-AU"/>
        </w:rPr>
      </w:pPr>
      <w:hyperlink w:anchor="_Toc48054054" w:history="1">
        <w:r w:rsidR="006538C0" w:rsidRPr="00250167">
          <w:rPr>
            <w:rStyle w:val="Hyperlink"/>
          </w:rPr>
          <w:t>Results</w:t>
        </w:r>
        <w:r w:rsidR="006538C0">
          <w:rPr>
            <w:webHidden/>
          </w:rPr>
          <w:tab/>
        </w:r>
        <w:r w:rsidR="006538C0">
          <w:rPr>
            <w:webHidden/>
          </w:rPr>
          <w:fldChar w:fldCharType="begin"/>
        </w:r>
        <w:r w:rsidR="006538C0">
          <w:rPr>
            <w:webHidden/>
          </w:rPr>
          <w:instrText xml:space="preserve"> PAGEREF _Toc48054054 \h </w:instrText>
        </w:r>
        <w:r w:rsidR="006538C0">
          <w:rPr>
            <w:webHidden/>
          </w:rPr>
        </w:r>
        <w:r w:rsidR="006538C0">
          <w:rPr>
            <w:webHidden/>
          </w:rPr>
          <w:fldChar w:fldCharType="separate"/>
        </w:r>
        <w:r w:rsidR="006538C0">
          <w:rPr>
            <w:webHidden/>
          </w:rPr>
          <w:t>9</w:t>
        </w:r>
        <w:r w:rsidR="006538C0">
          <w:rPr>
            <w:webHidden/>
          </w:rPr>
          <w:fldChar w:fldCharType="end"/>
        </w:r>
      </w:hyperlink>
    </w:p>
    <w:p w14:paraId="4548F258" w14:textId="42BB7306" w:rsidR="006538C0" w:rsidRDefault="007B45DA">
      <w:pPr>
        <w:pStyle w:val="TOC2"/>
        <w:rPr>
          <w:rFonts w:asciiTheme="minorHAnsi" w:eastAsiaTheme="minorEastAsia" w:hAnsiTheme="minorHAnsi" w:cstheme="minorBidi"/>
          <w:sz w:val="22"/>
          <w:szCs w:val="22"/>
          <w:lang w:eastAsia="en-AU"/>
        </w:rPr>
      </w:pPr>
      <w:hyperlink w:anchor="_Toc48054055" w:history="1">
        <w:r w:rsidR="006538C0" w:rsidRPr="00250167">
          <w:rPr>
            <w:rStyle w:val="Hyperlink"/>
          </w:rPr>
          <w:t>Workshop</w:t>
        </w:r>
        <w:r w:rsidR="006538C0">
          <w:rPr>
            <w:webHidden/>
          </w:rPr>
          <w:tab/>
        </w:r>
        <w:r w:rsidR="006538C0">
          <w:rPr>
            <w:webHidden/>
          </w:rPr>
          <w:fldChar w:fldCharType="begin"/>
        </w:r>
        <w:r w:rsidR="006538C0">
          <w:rPr>
            <w:webHidden/>
          </w:rPr>
          <w:instrText xml:space="preserve"> PAGEREF _Toc48054055 \h </w:instrText>
        </w:r>
        <w:r w:rsidR="006538C0">
          <w:rPr>
            <w:webHidden/>
          </w:rPr>
        </w:r>
        <w:r w:rsidR="006538C0">
          <w:rPr>
            <w:webHidden/>
          </w:rPr>
          <w:fldChar w:fldCharType="separate"/>
        </w:r>
        <w:r w:rsidR="006538C0">
          <w:rPr>
            <w:webHidden/>
          </w:rPr>
          <w:t>11</w:t>
        </w:r>
        <w:r w:rsidR="006538C0">
          <w:rPr>
            <w:webHidden/>
          </w:rPr>
          <w:fldChar w:fldCharType="end"/>
        </w:r>
      </w:hyperlink>
    </w:p>
    <w:p w14:paraId="1A85FDB3" w14:textId="24A61265" w:rsidR="006538C0" w:rsidRDefault="007B45DA">
      <w:pPr>
        <w:pStyle w:val="TOC1"/>
        <w:rPr>
          <w:rFonts w:asciiTheme="minorHAnsi" w:eastAsiaTheme="minorEastAsia" w:hAnsiTheme="minorHAnsi" w:cstheme="minorBidi"/>
          <w:b w:val="0"/>
          <w:sz w:val="22"/>
          <w:szCs w:val="22"/>
          <w:lang w:eastAsia="en-AU"/>
        </w:rPr>
      </w:pPr>
      <w:hyperlink w:anchor="_Toc48054056" w:history="1">
        <w:r w:rsidR="006538C0" w:rsidRPr="00250167">
          <w:rPr>
            <w:rStyle w:val="Hyperlink"/>
          </w:rPr>
          <w:t>Discussion</w:t>
        </w:r>
        <w:r w:rsidR="006538C0">
          <w:rPr>
            <w:webHidden/>
          </w:rPr>
          <w:tab/>
        </w:r>
        <w:r w:rsidR="006538C0">
          <w:rPr>
            <w:webHidden/>
          </w:rPr>
          <w:fldChar w:fldCharType="begin"/>
        </w:r>
        <w:r w:rsidR="006538C0">
          <w:rPr>
            <w:webHidden/>
          </w:rPr>
          <w:instrText xml:space="preserve"> PAGEREF _Toc48054056 \h </w:instrText>
        </w:r>
        <w:r w:rsidR="006538C0">
          <w:rPr>
            <w:webHidden/>
          </w:rPr>
        </w:r>
        <w:r w:rsidR="006538C0">
          <w:rPr>
            <w:webHidden/>
          </w:rPr>
          <w:fldChar w:fldCharType="separate"/>
        </w:r>
        <w:r w:rsidR="006538C0">
          <w:rPr>
            <w:webHidden/>
          </w:rPr>
          <w:t>12</w:t>
        </w:r>
        <w:r w:rsidR="006538C0">
          <w:rPr>
            <w:webHidden/>
          </w:rPr>
          <w:fldChar w:fldCharType="end"/>
        </w:r>
      </w:hyperlink>
    </w:p>
    <w:p w14:paraId="21628CCD" w14:textId="493EFBA4" w:rsidR="006538C0" w:rsidRDefault="007B45DA">
      <w:pPr>
        <w:pStyle w:val="TOC1"/>
        <w:rPr>
          <w:rFonts w:asciiTheme="minorHAnsi" w:eastAsiaTheme="minorEastAsia" w:hAnsiTheme="minorHAnsi" w:cstheme="minorBidi"/>
          <w:b w:val="0"/>
          <w:sz w:val="22"/>
          <w:szCs w:val="22"/>
          <w:lang w:eastAsia="en-AU"/>
        </w:rPr>
      </w:pPr>
      <w:hyperlink w:anchor="_Toc48054057" w:history="1">
        <w:r w:rsidR="006538C0" w:rsidRPr="00250167">
          <w:rPr>
            <w:rStyle w:val="Hyperlink"/>
          </w:rPr>
          <w:t>References:</w:t>
        </w:r>
        <w:r w:rsidR="006538C0">
          <w:rPr>
            <w:webHidden/>
          </w:rPr>
          <w:tab/>
        </w:r>
        <w:r w:rsidR="006538C0">
          <w:rPr>
            <w:webHidden/>
          </w:rPr>
          <w:fldChar w:fldCharType="begin"/>
        </w:r>
        <w:r w:rsidR="006538C0">
          <w:rPr>
            <w:webHidden/>
          </w:rPr>
          <w:instrText xml:space="preserve"> PAGEREF _Toc48054057 \h </w:instrText>
        </w:r>
        <w:r w:rsidR="006538C0">
          <w:rPr>
            <w:webHidden/>
          </w:rPr>
        </w:r>
        <w:r w:rsidR="006538C0">
          <w:rPr>
            <w:webHidden/>
          </w:rPr>
          <w:fldChar w:fldCharType="separate"/>
        </w:r>
        <w:r w:rsidR="006538C0">
          <w:rPr>
            <w:webHidden/>
          </w:rPr>
          <w:t>13</w:t>
        </w:r>
        <w:r w:rsidR="006538C0">
          <w:rPr>
            <w:webHidden/>
          </w:rPr>
          <w:fldChar w:fldCharType="end"/>
        </w:r>
      </w:hyperlink>
    </w:p>
    <w:p w14:paraId="5CC066F8" w14:textId="21435CD2" w:rsidR="006538C0" w:rsidRDefault="007B45DA">
      <w:pPr>
        <w:pStyle w:val="TOC1"/>
        <w:rPr>
          <w:rFonts w:asciiTheme="minorHAnsi" w:eastAsiaTheme="minorEastAsia" w:hAnsiTheme="minorHAnsi" w:cstheme="minorBidi"/>
          <w:b w:val="0"/>
          <w:sz w:val="22"/>
          <w:szCs w:val="22"/>
          <w:lang w:eastAsia="en-AU"/>
        </w:rPr>
      </w:pPr>
      <w:hyperlink w:anchor="_Toc48054058" w:history="1">
        <w:r w:rsidR="006538C0" w:rsidRPr="00250167">
          <w:rPr>
            <w:rStyle w:val="Hyperlink"/>
          </w:rPr>
          <w:t>Appendix 1: Part 1: General practice audit of preoperative anaemia</w:t>
        </w:r>
        <w:r w:rsidR="006538C0">
          <w:rPr>
            <w:webHidden/>
          </w:rPr>
          <w:tab/>
        </w:r>
        <w:r w:rsidR="006538C0">
          <w:rPr>
            <w:webHidden/>
          </w:rPr>
          <w:fldChar w:fldCharType="begin"/>
        </w:r>
        <w:r w:rsidR="006538C0">
          <w:rPr>
            <w:webHidden/>
          </w:rPr>
          <w:instrText xml:space="preserve"> PAGEREF _Toc48054058 \h </w:instrText>
        </w:r>
        <w:r w:rsidR="006538C0">
          <w:rPr>
            <w:webHidden/>
          </w:rPr>
        </w:r>
        <w:r w:rsidR="006538C0">
          <w:rPr>
            <w:webHidden/>
          </w:rPr>
          <w:fldChar w:fldCharType="separate"/>
        </w:r>
        <w:r w:rsidR="006538C0">
          <w:rPr>
            <w:webHidden/>
          </w:rPr>
          <w:t>14</w:t>
        </w:r>
        <w:r w:rsidR="006538C0">
          <w:rPr>
            <w:webHidden/>
          </w:rPr>
          <w:fldChar w:fldCharType="end"/>
        </w:r>
      </w:hyperlink>
    </w:p>
    <w:p w14:paraId="5C3B1168" w14:textId="221274E8" w:rsidR="006538C0" w:rsidRDefault="007B45DA">
      <w:pPr>
        <w:pStyle w:val="TOC1"/>
        <w:rPr>
          <w:rFonts w:asciiTheme="minorHAnsi" w:eastAsiaTheme="minorEastAsia" w:hAnsiTheme="minorHAnsi" w:cstheme="minorBidi"/>
          <w:b w:val="0"/>
          <w:sz w:val="22"/>
          <w:szCs w:val="22"/>
          <w:lang w:eastAsia="en-AU"/>
        </w:rPr>
      </w:pPr>
      <w:hyperlink w:anchor="_Toc48054059" w:history="1">
        <w:r w:rsidR="006538C0" w:rsidRPr="00250167">
          <w:rPr>
            <w:rStyle w:val="Hyperlink"/>
          </w:rPr>
          <w:t>Appendix 2: Part 2: General practice audit of preoperative anaemia</w:t>
        </w:r>
        <w:r w:rsidR="006538C0">
          <w:rPr>
            <w:webHidden/>
          </w:rPr>
          <w:tab/>
        </w:r>
        <w:r w:rsidR="006538C0">
          <w:rPr>
            <w:webHidden/>
          </w:rPr>
          <w:fldChar w:fldCharType="begin"/>
        </w:r>
        <w:r w:rsidR="006538C0">
          <w:rPr>
            <w:webHidden/>
          </w:rPr>
          <w:instrText xml:space="preserve"> PAGEREF _Toc48054059 \h </w:instrText>
        </w:r>
        <w:r w:rsidR="006538C0">
          <w:rPr>
            <w:webHidden/>
          </w:rPr>
        </w:r>
        <w:r w:rsidR="006538C0">
          <w:rPr>
            <w:webHidden/>
          </w:rPr>
          <w:fldChar w:fldCharType="separate"/>
        </w:r>
        <w:r w:rsidR="006538C0">
          <w:rPr>
            <w:webHidden/>
          </w:rPr>
          <w:t>15</w:t>
        </w:r>
        <w:r w:rsidR="006538C0">
          <w:rPr>
            <w:webHidden/>
          </w:rPr>
          <w:fldChar w:fldCharType="end"/>
        </w:r>
      </w:hyperlink>
    </w:p>
    <w:p w14:paraId="6117B066" w14:textId="65D4D1A5" w:rsidR="006538C0" w:rsidRDefault="007B45DA">
      <w:pPr>
        <w:pStyle w:val="TOC1"/>
        <w:rPr>
          <w:rFonts w:asciiTheme="minorHAnsi" w:eastAsiaTheme="minorEastAsia" w:hAnsiTheme="minorHAnsi" w:cstheme="minorBidi"/>
          <w:b w:val="0"/>
          <w:sz w:val="22"/>
          <w:szCs w:val="22"/>
          <w:lang w:eastAsia="en-AU"/>
        </w:rPr>
      </w:pPr>
      <w:hyperlink w:anchor="_Toc48054060" w:history="1">
        <w:r w:rsidR="006538C0" w:rsidRPr="00250167">
          <w:rPr>
            <w:rStyle w:val="Hyperlink"/>
          </w:rPr>
          <w:t>Appendix 3: Data collection tool – General practice audit of preoperative anaemia</w:t>
        </w:r>
        <w:r w:rsidR="006538C0">
          <w:rPr>
            <w:webHidden/>
          </w:rPr>
          <w:tab/>
        </w:r>
        <w:r w:rsidR="006538C0">
          <w:rPr>
            <w:webHidden/>
          </w:rPr>
          <w:fldChar w:fldCharType="begin"/>
        </w:r>
        <w:r w:rsidR="006538C0">
          <w:rPr>
            <w:webHidden/>
          </w:rPr>
          <w:instrText xml:space="preserve"> PAGEREF _Toc48054060 \h </w:instrText>
        </w:r>
        <w:r w:rsidR="006538C0">
          <w:rPr>
            <w:webHidden/>
          </w:rPr>
        </w:r>
        <w:r w:rsidR="006538C0">
          <w:rPr>
            <w:webHidden/>
          </w:rPr>
          <w:fldChar w:fldCharType="separate"/>
        </w:r>
        <w:r w:rsidR="006538C0">
          <w:rPr>
            <w:webHidden/>
          </w:rPr>
          <w:t>16</w:t>
        </w:r>
        <w:r w:rsidR="006538C0">
          <w:rPr>
            <w:webHidden/>
          </w:rPr>
          <w:fldChar w:fldCharType="end"/>
        </w:r>
      </w:hyperlink>
    </w:p>
    <w:p w14:paraId="64D72F4A" w14:textId="353C3780" w:rsidR="006538C0" w:rsidRDefault="007B45DA">
      <w:pPr>
        <w:pStyle w:val="TOC1"/>
        <w:rPr>
          <w:rFonts w:asciiTheme="minorHAnsi" w:eastAsiaTheme="minorEastAsia" w:hAnsiTheme="minorHAnsi" w:cstheme="minorBidi"/>
          <w:b w:val="0"/>
          <w:sz w:val="22"/>
          <w:szCs w:val="22"/>
          <w:lang w:eastAsia="en-AU"/>
        </w:rPr>
      </w:pPr>
      <w:hyperlink w:anchor="_Toc48054061" w:history="1">
        <w:r w:rsidR="006538C0" w:rsidRPr="00250167">
          <w:rPr>
            <w:rStyle w:val="Hyperlink"/>
          </w:rPr>
          <w:t>Appendix 4: General practice audit of preoperative anaemia evaluation and QI</w:t>
        </w:r>
        <w:r w:rsidR="006538C0">
          <w:rPr>
            <w:webHidden/>
          </w:rPr>
          <w:tab/>
        </w:r>
        <w:r w:rsidR="006538C0">
          <w:rPr>
            <w:webHidden/>
          </w:rPr>
          <w:fldChar w:fldCharType="begin"/>
        </w:r>
        <w:r w:rsidR="006538C0">
          <w:rPr>
            <w:webHidden/>
          </w:rPr>
          <w:instrText xml:space="preserve"> PAGEREF _Toc48054061 \h </w:instrText>
        </w:r>
        <w:r w:rsidR="006538C0">
          <w:rPr>
            <w:webHidden/>
          </w:rPr>
        </w:r>
        <w:r w:rsidR="006538C0">
          <w:rPr>
            <w:webHidden/>
          </w:rPr>
          <w:fldChar w:fldCharType="separate"/>
        </w:r>
        <w:r w:rsidR="006538C0">
          <w:rPr>
            <w:webHidden/>
          </w:rPr>
          <w:t>17</w:t>
        </w:r>
        <w:r w:rsidR="006538C0">
          <w:rPr>
            <w:webHidden/>
          </w:rPr>
          <w:fldChar w:fldCharType="end"/>
        </w:r>
      </w:hyperlink>
    </w:p>
    <w:p w14:paraId="2E3E1BDA" w14:textId="0A2ADC5E" w:rsidR="006538C0" w:rsidRDefault="007B45DA">
      <w:pPr>
        <w:pStyle w:val="TOC1"/>
        <w:rPr>
          <w:rFonts w:asciiTheme="minorHAnsi" w:eastAsiaTheme="minorEastAsia" w:hAnsiTheme="minorHAnsi" w:cstheme="minorBidi"/>
          <w:b w:val="0"/>
          <w:sz w:val="22"/>
          <w:szCs w:val="22"/>
          <w:lang w:eastAsia="en-AU"/>
        </w:rPr>
      </w:pPr>
      <w:hyperlink w:anchor="_Toc48054062" w:history="1">
        <w:r w:rsidR="006538C0" w:rsidRPr="00250167">
          <w:rPr>
            <w:rStyle w:val="Hyperlink"/>
          </w:rPr>
          <w:t>Appendix 5: Example of results summary provided to reporting GPs</w:t>
        </w:r>
        <w:r w:rsidR="006538C0">
          <w:rPr>
            <w:webHidden/>
          </w:rPr>
          <w:tab/>
        </w:r>
        <w:r w:rsidR="006538C0">
          <w:rPr>
            <w:webHidden/>
          </w:rPr>
          <w:fldChar w:fldCharType="begin"/>
        </w:r>
        <w:r w:rsidR="006538C0">
          <w:rPr>
            <w:webHidden/>
          </w:rPr>
          <w:instrText xml:space="preserve"> PAGEREF _Toc48054062 \h </w:instrText>
        </w:r>
        <w:r w:rsidR="006538C0">
          <w:rPr>
            <w:webHidden/>
          </w:rPr>
        </w:r>
        <w:r w:rsidR="006538C0">
          <w:rPr>
            <w:webHidden/>
          </w:rPr>
          <w:fldChar w:fldCharType="separate"/>
        </w:r>
        <w:r w:rsidR="006538C0">
          <w:rPr>
            <w:webHidden/>
          </w:rPr>
          <w:t>18</w:t>
        </w:r>
        <w:r w:rsidR="006538C0">
          <w:rPr>
            <w:webHidden/>
          </w:rPr>
          <w:fldChar w:fldCharType="end"/>
        </w:r>
      </w:hyperlink>
    </w:p>
    <w:p w14:paraId="1FBF383D" w14:textId="6780A1F6" w:rsidR="006538C0" w:rsidRDefault="007B45DA">
      <w:pPr>
        <w:pStyle w:val="TOC1"/>
        <w:rPr>
          <w:rFonts w:asciiTheme="minorHAnsi" w:eastAsiaTheme="minorEastAsia" w:hAnsiTheme="minorHAnsi" w:cstheme="minorBidi"/>
          <w:b w:val="0"/>
          <w:sz w:val="22"/>
          <w:szCs w:val="22"/>
          <w:lang w:eastAsia="en-AU"/>
        </w:rPr>
      </w:pPr>
      <w:hyperlink w:anchor="_Toc48054063" w:history="1">
        <w:r w:rsidR="006538C0" w:rsidRPr="00250167">
          <w:rPr>
            <w:rStyle w:val="Hyperlink"/>
          </w:rPr>
          <w:t>Appendix 6: TransfusEd workshop for GPs</w:t>
        </w:r>
        <w:r w:rsidR="006538C0">
          <w:rPr>
            <w:webHidden/>
          </w:rPr>
          <w:tab/>
        </w:r>
        <w:r w:rsidR="006538C0">
          <w:rPr>
            <w:webHidden/>
          </w:rPr>
          <w:fldChar w:fldCharType="begin"/>
        </w:r>
        <w:r w:rsidR="006538C0">
          <w:rPr>
            <w:webHidden/>
          </w:rPr>
          <w:instrText xml:space="preserve"> PAGEREF _Toc48054063 \h </w:instrText>
        </w:r>
        <w:r w:rsidR="006538C0">
          <w:rPr>
            <w:webHidden/>
          </w:rPr>
        </w:r>
        <w:r w:rsidR="006538C0">
          <w:rPr>
            <w:webHidden/>
          </w:rPr>
          <w:fldChar w:fldCharType="separate"/>
        </w:r>
        <w:r w:rsidR="006538C0">
          <w:rPr>
            <w:webHidden/>
          </w:rPr>
          <w:t>22</w:t>
        </w:r>
        <w:r w:rsidR="006538C0">
          <w:rPr>
            <w:webHidden/>
          </w:rPr>
          <w:fldChar w:fldCharType="end"/>
        </w:r>
      </w:hyperlink>
    </w:p>
    <w:p w14:paraId="5A83EE82" w14:textId="14F0DDDA" w:rsidR="003E2E12" w:rsidRPr="003072C6" w:rsidRDefault="00E15DA9" w:rsidP="00213772">
      <w:pPr>
        <w:pStyle w:val="TOC2"/>
        <w:rPr>
          <w:noProof w:val="0"/>
        </w:rPr>
      </w:pPr>
      <w:r w:rsidRPr="003072C6">
        <w:rPr>
          <w:noProof w:val="0"/>
        </w:rPr>
        <w:fldChar w:fldCharType="end"/>
      </w:r>
    </w:p>
    <w:p w14:paraId="103E04D9" w14:textId="77777777" w:rsidR="00A218B7" w:rsidRDefault="00A218B7">
      <w:pPr>
        <w:rPr>
          <w:rFonts w:ascii="Arial" w:eastAsia="MS Gothic" w:hAnsi="Arial"/>
          <w:b/>
          <w:bCs/>
          <w:sz w:val="24"/>
          <w:szCs w:val="26"/>
        </w:rPr>
      </w:pPr>
      <w:r>
        <w:br w:type="page"/>
      </w:r>
    </w:p>
    <w:p w14:paraId="21F4DB19" w14:textId="0E611040" w:rsidR="00015FF8" w:rsidRDefault="00015FF8" w:rsidP="0041670A">
      <w:pPr>
        <w:pStyle w:val="Heading1"/>
      </w:pPr>
      <w:bookmarkStart w:id="0" w:name="_Toc48054048"/>
      <w:r w:rsidRPr="00A218B7">
        <w:lastRenderedPageBreak/>
        <w:t>Acknowledgements</w:t>
      </w:r>
      <w:bookmarkEnd w:id="0"/>
    </w:p>
    <w:p w14:paraId="14BF08DF" w14:textId="2132F031" w:rsidR="00CD645C" w:rsidRDefault="00015FF8" w:rsidP="00256E7C">
      <w:pPr>
        <w:pStyle w:val="DHHSbody"/>
      </w:pPr>
      <w:r>
        <w:t xml:space="preserve">Blood Matters </w:t>
      </w:r>
      <w:r w:rsidR="00A218B7">
        <w:t>thanks</w:t>
      </w:r>
      <w:r>
        <w:t xml:space="preserve"> Drs </w:t>
      </w:r>
      <w:r w:rsidRPr="00015FF8">
        <w:t>Kunadhasan</w:t>
      </w:r>
      <w:r>
        <w:t xml:space="preserve">, </w:t>
      </w:r>
      <w:r w:rsidRPr="00015FF8">
        <w:t>Von Wielligh</w:t>
      </w:r>
      <w:r w:rsidR="00CD645C">
        <w:t>, Esler</w:t>
      </w:r>
      <w:r w:rsidRPr="00015FF8">
        <w:t xml:space="preserve"> </w:t>
      </w:r>
      <w:r>
        <w:t xml:space="preserve">and Minck for their </w:t>
      </w:r>
      <w:r w:rsidR="00CD645C">
        <w:t xml:space="preserve">support and </w:t>
      </w:r>
      <w:r>
        <w:t>contribution to the audit development and feedback</w:t>
      </w:r>
      <w:r w:rsidR="00CD645C">
        <w:t>.</w:t>
      </w:r>
    </w:p>
    <w:p w14:paraId="714D5F1E" w14:textId="67C67927" w:rsidR="00AC0C3B" w:rsidRDefault="00CD645C" w:rsidP="00E91933">
      <w:pPr>
        <w:pStyle w:val="DHHSbody"/>
      </w:pPr>
      <w:r>
        <w:t xml:space="preserve">We </w:t>
      </w:r>
      <w:r w:rsidR="00A218B7">
        <w:t>also</w:t>
      </w:r>
      <w:r>
        <w:t xml:space="preserve"> thank the Victorian</w:t>
      </w:r>
      <w:r w:rsidRPr="00CD645C">
        <w:t xml:space="preserve"> Primary Health Network</w:t>
      </w:r>
      <w:r>
        <w:t>s (PHNs) for their assistance with audit communication by including information in the local PHN newsletters and for running reminder notes</w:t>
      </w:r>
      <w:r w:rsidR="00A218B7">
        <w:t>, as well as the general practitioners who participated in the audit</w:t>
      </w:r>
      <w:r>
        <w:t>.</w:t>
      </w:r>
      <w:r w:rsidR="00015FF8">
        <w:t xml:space="preserve"> </w:t>
      </w:r>
    </w:p>
    <w:p w14:paraId="4BB10A78" w14:textId="7B6F7CE6" w:rsidR="00CD645C" w:rsidRPr="003072C6" w:rsidRDefault="00A218B7" w:rsidP="00E91933">
      <w:pPr>
        <w:pStyle w:val="DHHSbody"/>
        <w:sectPr w:rsidR="00CD645C" w:rsidRPr="003072C6" w:rsidSect="00C51B1C">
          <w:pgSz w:w="11906" w:h="16838"/>
          <w:pgMar w:top="1701" w:right="1304" w:bottom="1134" w:left="1304" w:header="454" w:footer="567" w:gutter="0"/>
          <w:cols w:space="720"/>
          <w:docGrid w:linePitch="360"/>
        </w:sectPr>
      </w:pPr>
      <w:r>
        <w:t>The</w:t>
      </w:r>
      <w:r w:rsidR="00CD645C">
        <w:t xml:space="preserve"> Australian Red Cross Lifeblood Transfusion Policy and Education Unit </w:t>
      </w:r>
      <w:r>
        <w:t>made a</w:t>
      </w:r>
      <w:r w:rsidR="00CD645C">
        <w:t xml:space="preserve"> substantial </w:t>
      </w:r>
      <w:r>
        <w:t xml:space="preserve">contribution in their effort </w:t>
      </w:r>
      <w:r w:rsidR="00CD645C" w:rsidRPr="00CD645C">
        <w:t xml:space="preserve">to develop </w:t>
      </w:r>
      <w:r w:rsidR="00CD645C">
        <w:t xml:space="preserve">the TransfusEd </w:t>
      </w:r>
      <w:r w:rsidR="00CD645C" w:rsidRPr="00CD645C">
        <w:t xml:space="preserve">workshop for GPs: </w:t>
      </w:r>
      <w:r>
        <w:t>‘</w:t>
      </w:r>
      <w:r w:rsidR="00CD645C" w:rsidRPr="00CD645C">
        <w:t>Anaemia in primary care</w:t>
      </w:r>
      <w:r>
        <w:t>’</w:t>
      </w:r>
      <w:r w:rsidR="00CD645C" w:rsidRPr="00CD645C">
        <w:t>.</w:t>
      </w:r>
    </w:p>
    <w:p w14:paraId="4046F211" w14:textId="77777777" w:rsidR="0047393E" w:rsidRDefault="0047393E" w:rsidP="000A1282">
      <w:pPr>
        <w:pStyle w:val="DHHSbody"/>
        <w:rPr>
          <w:rFonts w:eastAsia="Times New Roman"/>
          <w:bCs/>
          <w:color w:val="D50032"/>
          <w:sz w:val="44"/>
          <w:szCs w:val="44"/>
        </w:rPr>
      </w:pPr>
      <w:r w:rsidRPr="0047393E">
        <w:rPr>
          <w:rFonts w:eastAsia="Times New Roman"/>
          <w:bCs/>
          <w:color w:val="D50032"/>
          <w:sz w:val="44"/>
          <w:szCs w:val="44"/>
        </w:rPr>
        <w:lastRenderedPageBreak/>
        <w:t>Introduction</w:t>
      </w:r>
    </w:p>
    <w:p w14:paraId="7CC14CDD" w14:textId="1A44297C" w:rsidR="0047393E" w:rsidRDefault="0047393E" w:rsidP="0047393E">
      <w:pPr>
        <w:pStyle w:val="DHHSbody"/>
      </w:pPr>
      <w:r>
        <w:t>Anaemia is the most common blood disorder in the world, affecting almost a third of the population (Kassebaum 2016). The prevalence in Australia is between 10–20 per cent, increasing with age (Kassebaum 2014). Even mild anaemia is associated with increased risk of morbidity, hospitalisation and all-cause mortality (Riva et al</w:t>
      </w:r>
      <w:r w:rsidR="00A218B7">
        <w:t>.</w:t>
      </w:r>
      <w:r>
        <w:t xml:space="preserve"> 2009). However, it is often overlooked and untreated. A US study found that only 15 per cent of those with anaemia received any treatment, the most common being a blood transfusion (Nissenson 2005), which is also associated with increased morbidity and mortality (Marik </w:t>
      </w:r>
      <w:r w:rsidR="00A218B7">
        <w:t xml:space="preserve">and </w:t>
      </w:r>
      <w:r>
        <w:t xml:space="preserve">Corwin 2008). Appropriate treatment of anaemia is associated with decreased </w:t>
      </w:r>
      <w:r w:rsidR="00F45846">
        <w:t xml:space="preserve">hospital </w:t>
      </w:r>
      <w:r>
        <w:t>length of stay and costs (Nissenson 2005, Froessler et al</w:t>
      </w:r>
      <w:r w:rsidR="00A218B7">
        <w:t>.</w:t>
      </w:r>
      <w:r>
        <w:t xml:space="preserve"> 2018).</w:t>
      </w:r>
    </w:p>
    <w:p w14:paraId="1EAEC08F" w14:textId="24E9FEE7" w:rsidR="0047393E" w:rsidRDefault="0047393E" w:rsidP="0047393E">
      <w:pPr>
        <w:pStyle w:val="DHHSbody"/>
      </w:pPr>
      <w:r>
        <w:t xml:space="preserve">International data consistently shows that approximately 30 per cent of patients scheduled for major elective surgery have preoperative anaemia. Australian data from </w:t>
      </w:r>
      <w:r w:rsidR="00A218B7">
        <w:t xml:space="preserve">more than </w:t>
      </w:r>
      <w:r>
        <w:t xml:space="preserve">12,000 patients undergoing elective gastrointestinal, orthopaedic and gynaecology procedures found that 88 per cent were assessed for anaemia, with 4.4 per cent occurring in general practice. Management of this anaemia occurred in </w:t>
      </w:r>
      <w:r w:rsidR="00A218B7">
        <w:t>22 </w:t>
      </w:r>
      <w:r>
        <w:t>per</w:t>
      </w:r>
      <w:r w:rsidR="00783D1A">
        <w:t xml:space="preserve"> </w:t>
      </w:r>
      <w:r>
        <w:t>cent, and of these, 13.6 per cent in general practice. Iron studies were performed in 46 per cent of patients (none recorded in general practice), and of those identified with iron deficiency, 49 per cent were managed, 15.5 per cent of these in primary care (ACSQHC 2017).</w:t>
      </w:r>
    </w:p>
    <w:p w14:paraId="311DF49C" w14:textId="194B5FFA" w:rsidR="0047393E" w:rsidRDefault="0047393E" w:rsidP="0047393E">
      <w:pPr>
        <w:pStyle w:val="DHHSbody"/>
      </w:pPr>
      <w:r>
        <w:t xml:space="preserve">Patient </w:t>
      </w:r>
      <w:r w:rsidR="00A218B7">
        <w:t xml:space="preserve">blood management </w:t>
      </w:r>
      <w:r>
        <w:t xml:space="preserve">(PBM) improves patient outcomes by ensuring the focus of the patient’s medical and surgical management is optimising and conserving the patient’s own blood, thus minimising unnecessary blood transfusion. The National Blood Authority (NBA) </w:t>
      </w:r>
      <w:r w:rsidRPr="00D72EC2">
        <w:rPr>
          <w:i/>
          <w:iCs/>
        </w:rPr>
        <w:t xml:space="preserve">PBM </w:t>
      </w:r>
      <w:r w:rsidR="00A218B7">
        <w:rPr>
          <w:i/>
          <w:iCs/>
        </w:rPr>
        <w:t>guidelines m</w:t>
      </w:r>
      <w:r w:rsidR="00A218B7" w:rsidRPr="00D72EC2">
        <w:rPr>
          <w:i/>
          <w:iCs/>
        </w:rPr>
        <w:t xml:space="preserve">odule </w:t>
      </w:r>
      <w:r w:rsidRPr="00D72EC2">
        <w:rPr>
          <w:i/>
          <w:iCs/>
        </w:rPr>
        <w:t>2</w:t>
      </w:r>
      <w:r w:rsidR="00A218B7">
        <w:rPr>
          <w:i/>
          <w:iCs/>
        </w:rPr>
        <w:t>:</w:t>
      </w:r>
      <w:r w:rsidRPr="00D72EC2">
        <w:rPr>
          <w:i/>
          <w:iCs/>
        </w:rPr>
        <w:t xml:space="preserve"> </w:t>
      </w:r>
      <w:r w:rsidR="00A218B7">
        <w:rPr>
          <w:i/>
          <w:iCs/>
        </w:rPr>
        <w:t>p</w:t>
      </w:r>
      <w:r w:rsidR="00A218B7" w:rsidRPr="00D72EC2">
        <w:rPr>
          <w:i/>
          <w:iCs/>
        </w:rPr>
        <w:t>erioperative</w:t>
      </w:r>
      <w:r w:rsidR="00A218B7">
        <w:t xml:space="preserve"> </w:t>
      </w:r>
      <w:r>
        <w:t>(2012) reinforce</w:t>
      </w:r>
      <w:r w:rsidR="001A21E5">
        <w:t>s</w:t>
      </w:r>
      <w:r>
        <w:t xml:space="preserve"> the importance of appropriate preoperative anaemia assessment and management. PBM is now incorporated in the Australian Commission on Safety and Quality in Health Care (ACSQHC) National Safety and Quality Healthcare Standards.</w:t>
      </w:r>
    </w:p>
    <w:p w14:paraId="653DC329" w14:textId="26093309" w:rsidR="0047393E" w:rsidRDefault="0047393E" w:rsidP="0047393E">
      <w:pPr>
        <w:pStyle w:val="DHHSbody"/>
      </w:pPr>
      <w:r>
        <w:t xml:space="preserve">General </w:t>
      </w:r>
      <w:r w:rsidR="00A218B7">
        <w:t xml:space="preserve">practitioners </w:t>
      </w:r>
      <w:r>
        <w:t xml:space="preserve">(GPs) have an integral role to play in recognising, investigating and treating anaemia and iron deficiency in the community, including </w:t>
      </w:r>
      <w:r w:rsidR="00A218B7">
        <w:t xml:space="preserve">for </w:t>
      </w:r>
      <w:r>
        <w:t xml:space="preserve">patients considered for major surgery </w:t>
      </w:r>
      <w:r w:rsidR="00A218B7">
        <w:t>where there is risk of</w:t>
      </w:r>
      <w:r>
        <w:t xml:space="preserve"> substantial blood loss (Minck et al</w:t>
      </w:r>
      <w:r w:rsidR="00A218B7">
        <w:t>.</w:t>
      </w:r>
      <w:r>
        <w:t xml:space="preserve"> 2013). </w:t>
      </w:r>
      <w:r w:rsidR="00960A2B">
        <w:t>Such patients need to be investigated for i</w:t>
      </w:r>
      <w:r>
        <w:t>ron deficiency and</w:t>
      </w:r>
      <w:r w:rsidR="00960A2B">
        <w:t xml:space="preserve"> to have</w:t>
      </w:r>
      <w:r>
        <w:t xml:space="preserve"> iron stores replenished to replace haemoglobin lost during surgery. Approximately 30 per cent of </w:t>
      </w:r>
      <w:r w:rsidR="009D7457">
        <w:t>patients</w:t>
      </w:r>
      <w:r>
        <w:t xml:space="preserve"> referred for major elective surgery will have preoperative anaemia. </w:t>
      </w:r>
    </w:p>
    <w:p w14:paraId="12EA9AF7" w14:textId="6CBE9C15" w:rsidR="0047393E" w:rsidRDefault="0047393E" w:rsidP="0047393E">
      <w:pPr>
        <w:pStyle w:val="DHHSbody"/>
      </w:pPr>
      <w:r>
        <w:t>Minck et al</w:t>
      </w:r>
      <w:r w:rsidR="00960A2B">
        <w:t>.</w:t>
      </w:r>
      <w:r>
        <w:t xml:space="preserve"> (2013) </w:t>
      </w:r>
      <w:r w:rsidR="00960A2B">
        <w:t xml:space="preserve">developed a guide </w:t>
      </w:r>
      <w:r>
        <w:t>outlining the ways in which GP</w:t>
      </w:r>
      <w:r w:rsidR="00960A2B">
        <w:t>s</w:t>
      </w:r>
      <w:r>
        <w:t xml:space="preserve"> can contribute to patient blood management. This included promoting awareness, identification, investigation and management of patients with or at risk of anaemia</w:t>
      </w:r>
      <w:r w:rsidR="00960A2B">
        <w:t xml:space="preserve">, and </w:t>
      </w:r>
      <w:r>
        <w:t>assess</w:t>
      </w:r>
      <w:r w:rsidR="00960A2B">
        <w:t xml:space="preserve">ing </w:t>
      </w:r>
      <w:r>
        <w:t>the adequacy of iron stores in patients undergoing planned procedures in which substantial blood loss is anticipated. The article included a template</w:t>
      </w:r>
      <w:r w:rsidR="00783D1A">
        <w:t xml:space="preserve"> based on the NBA </w:t>
      </w:r>
      <w:r w:rsidR="00783D1A" w:rsidRPr="00D72EC2">
        <w:rPr>
          <w:i/>
          <w:iCs/>
        </w:rPr>
        <w:t xml:space="preserve">PBM </w:t>
      </w:r>
      <w:r w:rsidR="00960A2B" w:rsidRPr="00D72EC2">
        <w:rPr>
          <w:i/>
          <w:iCs/>
        </w:rPr>
        <w:t xml:space="preserve">guidelines module </w:t>
      </w:r>
      <w:r w:rsidR="00783D1A" w:rsidRPr="00D72EC2">
        <w:rPr>
          <w:i/>
          <w:iCs/>
        </w:rPr>
        <w:t>2</w:t>
      </w:r>
      <w:r w:rsidR="00783D1A">
        <w:t>,</w:t>
      </w:r>
      <w:r>
        <w:t xml:space="preserve"> clearly </w:t>
      </w:r>
      <w:r w:rsidR="00960A2B">
        <w:t>detailing the</w:t>
      </w:r>
      <w:r>
        <w:t xml:space="preserve"> preoperative tests required to assist with the assessment and management of preoperative anaemia and suboptimal iron stores.</w:t>
      </w:r>
    </w:p>
    <w:p w14:paraId="4D47C395" w14:textId="77777777" w:rsidR="00E01793" w:rsidRDefault="00E01793">
      <w:pPr>
        <w:rPr>
          <w:rFonts w:ascii="Arial" w:hAnsi="Arial"/>
          <w:bCs/>
          <w:color w:val="D50032"/>
          <w:sz w:val="44"/>
          <w:szCs w:val="44"/>
        </w:rPr>
      </w:pPr>
      <w:r>
        <w:br w:type="page"/>
      </w:r>
    </w:p>
    <w:p w14:paraId="5526FA67" w14:textId="77777777" w:rsidR="0047393E" w:rsidRDefault="0047393E" w:rsidP="0047393E">
      <w:pPr>
        <w:pStyle w:val="Heading1"/>
      </w:pPr>
      <w:bookmarkStart w:id="1" w:name="_Toc48054049"/>
      <w:r w:rsidRPr="0047393E">
        <w:lastRenderedPageBreak/>
        <w:t>Background</w:t>
      </w:r>
      <w:bookmarkEnd w:id="1"/>
    </w:p>
    <w:p w14:paraId="53612200" w14:textId="3629392C" w:rsidR="0047393E" w:rsidRDefault="0047393E" w:rsidP="0047393E">
      <w:pPr>
        <w:pStyle w:val="DHHSbody"/>
      </w:pPr>
      <w:r>
        <w:t>Through the Blood Matters Advisory Committee</w:t>
      </w:r>
      <w:r w:rsidR="00960A2B">
        <w:t>,</w:t>
      </w:r>
      <w:r>
        <w:t xml:space="preserve"> concern was expressed over the </w:t>
      </w:r>
      <w:r w:rsidR="00D106A4">
        <w:t xml:space="preserve">perceived </w:t>
      </w:r>
      <w:r>
        <w:t>lack of patient preparation in the community prior to surgery. The article published by Le Calvé et al</w:t>
      </w:r>
      <w:r w:rsidR="00960A2B">
        <w:t>.</w:t>
      </w:r>
      <w:r>
        <w:t xml:space="preserve"> (2017) looks at GP attitudes to anaemia and transfusion. </w:t>
      </w:r>
      <w:r w:rsidR="00C0173C">
        <w:t xml:space="preserve">In the past, the </w:t>
      </w:r>
      <w:r>
        <w:t>Blood Matters program ha</w:t>
      </w:r>
      <w:r w:rsidR="00C0173C">
        <w:t>s</w:t>
      </w:r>
      <w:r>
        <w:t xml:space="preserve"> found GPs a challenging group to engage directly</w:t>
      </w:r>
      <w:r w:rsidR="00960A2B">
        <w:t>. However</w:t>
      </w:r>
      <w:r w:rsidR="00C0173C">
        <w:t xml:space="preserve">, </w:t>
      </w:r>
      <w:r w:rsidR="00D106A4">
        <w:t xml:space="preserve">as we had support from clinicians with both GP and education experience, </w:t>
      </w:r>
      <w:r>
        <w:t xml:space="preserve">it was decided the program </w:t>
      </w:r>
      <w:r w:rsidR="000B4C83">
        <w:t xml:space="preserve">would </w:t>
      </w:r>
      <w:r>
        <w:t>undertake an audit</w:t>
      </w:r>
      <w:r w:rsidR="00C0173C">
        <w:t xml:space="preserve"> due to the importance of the topic and </w:t>
      </w:r>
      <w:r w:rsidR="00D106A4">
        <w:t>this specific</w:t>
      </w:r>
      <w:r w:rsidR="00C0173C">
        <w:t xml:space="preserve"> support</w:t>
      </w:r>
      <w:r>
        <w:t>.</w:t>
      </w:r>
    </w:p>
    <w:p w14:paraId="50623902" w14:textId="1E400F6D" w:rsidR="0047393E" w:rsidRDefault="0047393E" w:rsidP="0047393E">
      <w:pPr>
        <w:pStyle w:val="DHHSbody"/>
      </w:pPr>
      <w:r>
        <w:t xml:space="preserve">A working group </w:t>
      </w:r>
      <w:r w:rsidR="00960A2B">
        <w:t xml:space="preserve">was formed, </w:t>
      </w:r>
      <w:r>
        <w:t xml:space="preserve">consisting of members from Blood Matters, a haematologist with a background as a </w:t>
      </w:r>
      <w:r w:rsidR="00960A2B">
        <w:t xml:space="preserve">practicing </w:t>
      </w:r>
      <w:r>
        <w:t>GP, an anaesthetist</w:t>
      </w:r>
      <w:r w:rsidR="000B4C83">
        <w:t xml:space="preserve"> with a specific interest in PBM,</w:t>
      </w:r>
      <w:r>
        <w:t xml:space="preserve"> and two GPs with experience in education. An audit was developed to </w:t>
      </w:r>
      <w:r w:rsidR="00960A2B">
        <w:t xml:space="preserve">determine </w:t>
      </w:r>
      <w:r>
        <w:t>current practice in assessing and optimising a patient’s haemoglobin and iron stores</w:t>
      </w:r>
      <w:r w:rsidR="00F45846" w:rsidRPr="00F45846">
        <w:t xml:space="preserve"> prior to major surgery with </w:t>
      </w:r>
      <w:r w:rsidR="004D7CB7" w:rsidRPr="00F45846">
        <w:t>significant anticipated</w:t>
      </w:r>
      <w:r w:rsidR="00F45846" w:rsidRPr="00F45846">
        <w:t xml:space="preserve"> blood loss</w:t>
      </w:r>
      <w:r w:rsidR="00960A2B">
        <w:t>.</w:t>
      </w:r>
    </w:p>
    <w:p w14:paraId="6331E7DA" w14:textId="0116CBF0" w:rsidR="0047393E" w:rsidRDefault="0047393E" w:rsidP="0047393E">
      <w:pPr>
        <w:pStyle w:val="DHHSbody"/>
      </w:pPr>
      <w:r>
        <w:t xml:space="preserve">To encourage </w:t>
      </w:r>
      <w:r w:rsidR="00533059">
        <w:t xml:space="preserve">participation in the audit, </w:t>
      </w:r>
      <w:r w:rsidR="00960A2B">
        <w:t xml:space="preserve">we applied for and received </w:t>
      </w:r>
      <w:r w:rsidR="00533059">
        <w:t>40 C</w:t>
      </w:r>
      <w:r>
        <w:t>ategory 1 quality improvement (QI) points in the Royal Australian College of General Practitioners (RACGP) Quality Improvement and Continuing Professional Development (QI</w:t>
      </w:r>
      <w:r w:rsidR="00405E15">
        <w:t xml:space="preserve"> and </w:t>
      </w:r>
      <w:r>
        <w:t>CPD) 2017</w:t>
      </w:r>
      <w:r w:rsidR="00960A2B">
        <w:t>–</w:t>
      </w:r>
      <w:r>
        <w:t>2019 triennium. The audit consisted of two parts: demographics</w:t>
      </w:r>
      <w:r w:rsidR="007C6FBF">
        <w:t>,</w:t>
      </w:r>
      <w:r>
        <w:t xml:space="preserve"> and retrospective review of medical notes of patients referred </w:t>
      </w:r>
      <w:r w:rsidR="004D7CB7">
        <w:t>f</w:t>
      </w:r>
      <w:r>
        <w:t>o</w:t>
      </w:r>
      <w:r w:rsidR="004D7CB7">
        <w:t>r</w:t>
      </w:r>
      <w:r>
        <w:t xml:space="preserve"> elective surgery.</w:t>
      </w:r>
    </w:p>
    <w:p w14:paraId="0C988624" w14:textId="67E486E5" w:rsidR="0047393E" w:rsidRDefault="0047393E" w:rsidP="0047393E">
      <w:pPr>
        <w:pStyle w:val="DHHSbody"/>
      </w:pPr>
      <w:r>
        <w:t>In addition,</w:t>
      </w:r>
      <w:r w:rsidR="00960A2B">
        <w:t xml:space="preserve"> the</w:t>
      </w:r>
      <w:r>
        <w:t xml:space="preserve"> Blood Matters team worked with the Australian Red Cross Lifeblood (Lifeblood previously Blood Service) Transfusion Policy and Education (TPE) team to develop a workshop for GPs: </w:t>
      </w:r>
      <w:r w:rsidR="00960A2B">
        <w:t>‘</w:t>
      </w:r>
      <w:r>
        <w:t>Anaemia in primary care</w:t>
      </w:r>
      <w:r w:rsidR="00960A2B">
        <w:t>’</w:t>
      </w:r>
      <w:r>
        <w:t>.</w:t>
      </w:r>
    </w:p>
    <w:p w14:paraId="525ED4CA" w14:textId="77777777" w:rsidR="0047393E" w:rsidRPr="0047393E" w:rsidRDefault="0047393E" w:rsidP="0047393E">
      <w:pPr>
        <w:pStyle w:val="Heading1"/>
      </w:pPr>
      <w:bookmarkStart w:id="2" w:name="_Toc48054050"/>
      <w:r w:rsidRPr="0047393E">
        <w:t>Audit</w:t>
      </w:r>
      <w:bookmarkEnd w:id="2"/>
    </w:p>
    <w:p w14:paraId="1B162EB0" w14:textId="77777777" w:rsidR="0047393E" w:rsidRDefault="0047393E" w:rsidP="00E30414">
      <w:pPr>
        <w:pStyle w:val="DHHSbody"/>
        <w:rPr>
          <w:rFonts w:eastAsia="Times New Roman"/>
          <w:b/>
          <w:color w:val="D50032"/>
          <w:sz w:val="28"/>
          <w:szCs w:val="28"/>
        </w:rPr>
      </w:pPr>
      <w:r w:rsidRPr="0047393E">
        <w:rPr>
          <w:rFonts w:eastAsia="Times New Roman"/>
          <w:b/>
          <w:color w:val="D50032"/>
          <w:sz w:val="28"/>
          <w:szCs w:val="28"/>
        </w:rPr>
        <w:t xml:space="preserve">Objective </w:t>
      </w:r>
    </w:p>
    <w:p w14:paraId="3D09DF98" w14:textId="7C1A95AE" w:rsidR="0047393E" w:rsidRDefault="0047393E" w:rsidP="00E30414">
      <w:pPr>
        <w:pStyle w:val="Heading3"/>
        <w:rPr>
          <w:rFonts w:eastAsia="Times"/>
          <w:b w:val="0"/>
          <w:bCs w:val="0"/>
          <w:sz w:val="20"/>
          <w:szCs w:val="20"/>
        </w:rPr>
      </w:pPr>
      <w:bookmarkStart w:id="3" w:name="_Toc256778633"/>
      <w:r w:rsidRPr="0047393E">
        <w:rPr>
          <w:rFonts w:eastAsia="Times"/>
          <w:b w:val="0"/>
          <w:bCs w:val="0"/>
          <w:sz w:val="20"/>
          <w:szCs w:val="20"/>
        </w:rPr>
        <w:t>To assess primary healthcare uptake of iron deficiency screening and treatment for patients with planned elective major surgery.</w:t>
      </w:r>
    </w:p>
    <w:p w14:paraId="3ED392E6" w14:textId="77777777" w:rsidR="0047393E" w:rsidRDefault="0047393E" w:rsidP="0047393E">
      <w:pPr>
        <w:pStyle w:val="Heading2"/>
        <w:rPr>
          <w:rFonts w:eastAsia="Times"/>
        </w:rPr>
      </w:pPr>
      <w:bookmarkStart w:id="4" w:name="_Toc48054051"/>
      <w:r w:rsidRPr="0047393E">
        <w:rPr>
          <w:rFonts w:eastAsia="Times"/>
        </w:rPr>
        <w:t>Learning outcomes of audit activity and feedback</w:t>
      </w:r>
      <w:bookmarkEnd w:id="4"/>
    </w:p>
    <w:p w14:paraId="55B762BC" w14:textId="77777777" w:rsidR="0047393E" w:rsidRDefault="0047393E" w:rsidP="0047393E">
      <w:pPr>
        <w:pStyle w:val="DHHSbody"/>
      </w:pPr>
      <w:r>
        <w:t>By the end of the audit activity, participants will be able to:</w:t>
      </w:r>
    </w:p>
    <w:p w14:paraId="7753B6B0" w14:textId="42AE40CA" w:rsidR="0047393E" w:rsidRPr="005B1E95" w:rsidRDefault="005B1E95" w:rsidP="00D72EC2">
      <w:pPr>
        <w:pStyle w:val="DHHSbullet1"/>
      </w:pPr>
      <w:r w:rsidRPr="005B1E95">
        <w:t xml:space="preserve">screen </w:t>
      </w:r>
      <w:r w:rsidR="0047393E" w:rsidRPr="005B1E95">
        <w:t>for iron deficie</w:t>
      </w:r>
      <w:r w:rsidR="007B45DA">
        <w:t>ncy with/without anaemia in pre</w:t>
      </w:r>
      <w:r w:rsidR="0047393E" w:rsidRPr="005B1E95">
        <w:t>operative patients due to undergo major elective surgery</w:t>
      </w:r>
    </w:p>
    <w:p w14:paraId="61946975" w14:textId="2E8B768B" w:rsidR="0047393E" w:rsidRPr="005B1E95" w:rsidRDefault="005B1E95" w:rsidP="00D72EC2">
      <w:pPr>
        <w:pStyle w:val="DHHSbullet1"/>
      </w:pPr>
      <w:r w:rsidRPr="005B1E95">
        <w:t xml:space="preserve">evaluate </w:t>
      </w:r>
      <w:r w:rsidR="0047393E" w:rsidRPr="005B1E95">
        <w:t xml:space="preserve">and interpret </w:t>
      </w:r>
      <w:r w:rsidR="001A21E5" w:rsidRPr="005B1E95">
        <w:t>full blood count (</w:t>
      </w:r>
      <w:r w:rsidR="0047393E" w:rsidRPr="005B1E95">
        <w:t>FBC</w:t>
      </w:r>
      <w:r w:rsidR="001A21E5" w:rsidRPr="005B1E95">
        <w:t>)</w:t>
      </w:r>
      <w:r w:rsidR="0047393E" w:rsidRPr="005B1E95">
        <w:t xml:space="preserve">, iron studies and </w:t>
      </w:r>
      <w:r w:rsidR="001A21E5" w:rsidRPr="005B1E95">
        <w:t>C-reactive protein (</w:t>
      </w:r>
      <w:r w:rsidR="0047393E" w:rsidRPr="005B1E95">
        <w:t>CRP</w:t>
      </w:r>
      <w:r w:rsidR="001A21E5" w:rsidRPr="005B1E95">
        <w:t>)</w:t>
      </w:r>
      <w:r w:rsidR="0047393E" w:rsidRPr="005B1E95">
        <w:t xml:space="preserve"> to assess</w:t>
      </w:r>
      <w:r w:rsidR="007B45DA">
        <w:t xml:space="preserve"> adequacy of iron stores in pre</w:t>
      </w:r>
      <w:r w:rsidR="0047393E" w:rsidRPr="005B1E95">
        <w:t>operative patients due to undergo major elective surgery</w:t>
      </w:r>
    </w:p>
    <w:p w14:paraId="159EA086" w14:textId="242512B2" w:rsidR="0047393E" w:rsidRPr="005B1E95" w:rsidRDefault="005B1E95" w:rsidP="00D72EC2">
      <w:pPr>
        <w:pStyle w:val="DHHSbullet1"/>
      </w:pPr>
      <w:r w:rsidRPr="005B1E95">
        <w:t xml:space="preserve">manage </w:t>
      </w:r>
      <w:r w:rsidR="007B45DA">
        <w:t>pre</w:t>
      </w:r>
      <w:bookmarkStart w:id="5" w:name="_GoBack"/>
      <w:bookmarkEnd w:id="5"/>
      <w:r w:rsidR="0047393E" w:rsidRPr="005B1E95">
        <w:t xml:space="preserve">operative iron deficiency and anaemia in alignment with the Preoperative haemoglobin assessment and optimisation template (as per </w:t>
      </w:r>
      <w:r w:rsidR="0047393E" w:rsidRPr="00D72EC2">
        <w:rPr>
          <w:i/>
          <w:iCs/>
        </w:rPr>
        <w:t xml:space="preserve">PBM </w:t>
      </w:r>
      <w:r w:rsidRPr="00D72EC2">
        <w:rPr>
          <w:i/>
          <w:iCs/>
        </w:rPr>
        <w:t xml:space="preserve">guidelines module </w:t>
      </w:r>
      <w:r w:rsidR="0047393E" w:rsidRPr="00D72EC2">
        <w:rPr>
          <w:i/>
          <w:iCs/>
        </w:rPr>
        <w:t>2</w:t>
      </w:r>
      <w:r w:rsidRPr="00D72EC2">
        <w:rPr>
          <w:i/>
          <w:iCs/>
        </w:rPr>
        <w:t>:</w:t>
      </w:r>
      <w:r w:rsidR="001A21E5" w:rsidRPr="00D72EC2">
        <w:rPr>
          <w:i/>
          <w:iCs/>
        </w:rPr>
        <w:t xml:space="preserve"> </w:t>
      </w:r>
      <w:r w:rsidRPr="00D72EC2">
        <w:rPr>
          <w:i/>
          <w:iCs/>
        </w:rPr>
        <w:t>perioperative</w:t>
      </w:r>
      <w:r w:rsidR="0047393E" w:rsidRPr="005B1E95">
        <w:t>)</w:t>
      </w:r>
      <w:r w:rsidRPr="005B1E95">
        <w:t>.</w:t>
      </w:r>
    </w:p>
    <w:p w14:paraId="0180E131" w14:textId="6574E4B5" w:rsidR="0047393E" w:rsidRDefault="0047393E" w:rsidP="0047393E">
      <w:pPr>
        <w:pStyle w:val="Heading2"/>
        <w:rPr>
          <w:rFonts w:eastAsia="Times"/>
        </w:rPr>
      </w:pPr>
      <w:bookmarkStart w:id="6" w:name="_Toc48054052"/>
      <w:r w:rsidRPr="0047393E">
        <w:rPr>
          <w:rFonts w:eastAsia="Times"/>
        </w:rPr>
        <w:t>Method</w:t>
      </w:r>
      <w:bookmarkEnd w:id="6"/>
    </w:p>
    <w:p w14:paraId="23E85ACA" w14:textId="77777777" w:rsidR="00A62D2F" w:rsidRDefault="00A62D2F" w:rsidP="0047393E">
      <w:pPr>
        <w:pStyle w:val="DHHSbody"/>
      </w:pPr>
      <w:r>
        <w:t>The audit was in two parts:</w:t>
      </w:r>
    </w:p>
    <w:p w14:paraId="484BC43B" w14:textId="689842D9" w:rsidR="0047393E" w:rsidRDefault="0047393E" w:rsidP="00D72EC2">
      <w:pPr>
        <w:pStyle w:val="DHHSbullet1"/>
      </w:pPr>
      <w:r>
        <w:t>Part 1</w:t>
      </w:r>
      <w:r w:rsidR="005B1E95">
        <w:t>:</w:t>
      </w:r>
      <w:r>
        <w:t xml:space="preserve"> Demographics and awareness of preoperative anaemia guidelines and patient information (Appendix 1)</w:t>
      </w:r>
    </w:p>
    <w:p w14:paraId="1DB3E474" w14:textId="3B4B9D1A" w:rsidR="0047393E" w:rsidRDefault="0047393E" w:rsidP="00D72EC2">
      <w:pPr>
        <w:pStyle w:val="DHHSbullet1"/>
      </w:pPr>
      <w:r>
        <w:t>Part 2</w:t>
      </w:r>
      <w:r w:rsidR="005B1E95">
        <w:t>:</w:t>
      </w:r>
      <w:r>
        <w:t xml:space="preserve"> Clinical audit of 10 patients in your practise who you have referred for elective major surgery for which substantial blood loss is anticipated (Appendix 2). A data collection tool was also provided (Appendix 3).</w:t>
      </w:r>
    </w:p>
    <w:p w14:paraId="194FECFE" w14:textId="79080D92" w:rsidR="0047393E" w:rsidRDefault="0047393E" w:rsidP="0047393E">
      <w:pPr>
        <w:pStyle w:val="DHHSbody"/>
      </w:pPr>
      <w:r>
        <w:t xml:space="preserve">The audit was open from </w:t>
      </w:r>
      <w:r w:rsidR="004A2113">
        <w:t xml:space="preserve">1 </w:t>
      </w:r>
      <w:r>
        <w:t>April to 31 May 2019.</w:t>
      </w:r>
    </w:p>
    <w:p w14:paraId="2A437E41" w14:textId="7215B79D" w:rsidR="000B4C83" w:rsidRPr="0047393E" w:rsidRDefault="000B4C83" w:rsidP="0047393E">
      <w:pPr>
        <w:pStyle w:val="DHHSbody"/>
      </w:pPr>
      <w:r>
        <w:lastRenderedPageBreak/>
        <w:t>To obtain the</w:t>
      </w:r>
      <w:r w:rsidR="00834B28" w:rsidRPr="00834B28">
        <w:t xml:space="preserve"> RACGP</w:t>
      </w:r>
      <w:r>
        <w:t xml:space="preserve"> 40 QI points</w:t>
      </w:r>
      <w:r w:rsidR="00B80A27">
        <w:t>,</w:t>
      </w:r>
      <w:r>
        <w:t xml:space="preserve"> full audit participation and completion of the evaluation and QI form was required (Appendix 4).</w:t>
      </w:r>
    </w:p>
    <w:bookmarkEnd w:id="3"/>
    <w:p w14:paraId="7A4F3D01" w14:textId="3347DF4D" w:rsidR="0047393E" w:rsidRDefault="0047393E" w:rsidP="00D72EC2">
      <w:pPr>
        <w:pStyle w:val="Heading3"/>
      </w:pPr>
      <w:r w:rsidRPr="0047393E">
        <w:t>Inclusions</w:t>
      </w:r>
    </w:p>
    <w:p w14:paraId="4CE454CF" w14:textId="19FD4782" w:rsidR="0047393E" w:rsidRPr="0047393E" w:rsidRDefault="0047393E" w:rsidP="0047393E">
      <w:pPr>
        <w:pStyle w:val="DHHSbody"/>
      </w:pPr>
      <w:r w:rsidRPr="0047393E">
        <w:t xml:space="preserve">Adult patients </w:t>
      </w:r>
      <w:r w:rsidR="00B80A27">
        <w:t>older</w:t>
      </w:r>
      <w:r w:rsidR="00B80A27" w:rsidRPr="0047393E">
        <w:t xml:space="preserve"> </w:t>
      </w:r>
      <w:r w:rsidRPr="0047393E">
        <w:t>than 18 and less than 110 years of age, referred for elective surgery where substantial blood loss is anticipated.</w:t>
      </w:r>
    </w:p>
    <w:p w14:paraId="6E96765E" w14:textId="25D5BAAC" w:rsidR="0047393E" w:rsidRDefault="0047393E" w:rsidP="000B4C83">
      <w:pPr>
        <w:pStyle w:val="Heading2"/>
      </w:pPr>
      <w:bookmarkStart w:id="7" w:name="_Toc48054053"/>
      <w:r w:rsidRPr="0047393E">
        <w:t>Audit promotion and circulation</w:t>
      </w:r>
      <w:bookmarkEnd w:id="7"/>
    </w:p>
    <w:p w14:paraId="1D47E6F1" w14:textId="23DE5F41" w:rsidR="0047393E" w:rsidRDefault="0047393E" w:rsidP="0047393E">
      <w:pPr>
        <w:pStyle w:val="DHHSbody"/>
      </w:pPr>
      <w:r>
        <w:t>Promotion of the audit and the allocat</w:t>
      </w:r>
      <w:r w:rsidR="00CA1DAE">
        <w:t>ion</w:t>
      </w:r>
      <w:r>
        <w:t xml:space="preserve"> of QI points was made through the GP Primary Health Network (PHN) across Victoria (n = 6). Each PHN was contacted to request publication of a short article in their respective newsletters</w:t>
      </w:r>
      <w:r w:rsidR="00334475">
        <w:t>. Figure 1 shows</w:t>
      </w:r>
      <w:r>
        <w:t xml:space="preserve"> examples of the published article</w:t>
      </w:r>
      <w:r w:rsidR="00334475">
        <w:t>s</w:t>
      </w:r>
      <w:r>
        <w:t>. Five PH</w:t>
      </w:r>
      <w:r w:rsidR="00841702">
        <w:t>N</w:t>
      </w:r>
      <w:r>
        <w:t xml:space="preserve">s placed at least one article in their newsletter, with one not approving the content </w:t>
      </w:r>
      <w:r w:rsidR="00334475">
        <w:t>‘</w:t>
      </w:r>
      <w:r>
        <w:t xml:space="preserve">because the training does not relate to </w:t>
      </w:r>
      <w:r w:rsidR="00334475">
        <w:t>PHN-</w:t>
      </w:r>
      <w:r>
        <w:t>related activities</w:t>
      </w:r>
      <w:r w:rsidR="00334475">
        <w:t>’</w:t>
      </w:r>
      <w:r>
        <w:t>.</w:t>
      </w:r>
    </w:p>
    <w:p w14:paraId="6A736984" w14:textId="0303DA40" w:rsidR="0047393E" w:rsidRDefault="0047393E" w:rsidP="00962441">
      <w:pPr>
        <w:pStyle w:val="DHHStablecaption"/>
      </w:pPr>
      <w:r>
        <w:t xml:space="preserve">Figure 1: Audit promotion in Gippsland </w:t>
      </w:r>
      <w:r w:rsidR="005B1E95">
        <w:t xml:space="preserve">and </w:t>
      </w:r>
      <w:r>
        <w:t>Murray PHN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786"/>
      </w:tblGrid>
      <w:tr w:rsidR="00334475" w14:paraId="744845EA" w14:textId="77777777" w:rsidTr="00D72EC2">
        <w:tc>
          <w:tcPr>
            <w:tcW w:w="4644" w:type="dxa"/>
          </w:tcPr>
          <w:p w14:paraId="2465CCE7" w14:textId="12BB411D" w:rsidR="00334475" w:rsidRDefault="00334475" w:rsidP="00334475">
            <w:pPr>
              <w:pStyle w:val="DHHSbody"/>
            </w:pPr>
            <w:r>
              <w:rPr>
                <w:noProof/>
                <w:lang w:eastAsia="en-AU"/>
              </w:rPr>
              <w:drawing>
                <wp:inline distT="0" distB="0" distL="0" distR="0" wp14:anchorId="34BDC077" wp14:editId="264BA487">
                  <wp:extent cx="2219325" cy="2615565"/>
                  <wp:effectExtent l="0" t="0" r="9525" b="0"/>
                  <wp:docPr id="17" name="Picture 17" descr="Screen shot of a newsletter page containing the audit promo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creen shot of a newsletter page containing the audit promot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9325" cy="2615565"/>
                          </a:xfrm>
                          <a:prstGeom prst="rect">
                            <a:avLst/>
                          </a:prstGeom>
                          <a:noFill/>
                        </pic:spPr>
                      </pic:pic>
                    </a:graphicData>
                  </a:graphic>
                </wp:inline>
              </w:drawing>
            </w:r>
          </w:p>
        </w:tc>
        <w:tc>
          <w:tcPr>
            <w:tcW w:w="4644" w:type="dxa"/>
          </w:tcPr>
          <w:p w14:paraId="7072843F" w14:textId="461198BF" w:rsidR="00334475" w:rsidRDefault="00334475" w:rsidP="00334475">
            <w:pPr>
              <w:pStyle w:val="DHHSbody"/>
            </w:pPr>
            <w:r>
              <w:rPr>
                <w:noProof/>
                <w:lang w:eastAsia="en-AU"/>
              </w:rPr>
              <w:drawing>
                <wp:inline distT="0" distB="0" distL="0" distR="0" wp14:anchorId="2C1DB8A5" wp14:editId="2252926B">
                  <wp:extent cx="2901950" cy="2585085"/>
                  <wp:effectExtent l="0" t="0" r="0" b="5715"/>
                  <wp:docPr id="18" name="Picture 18" descr="Screen shot of a newsletter page containing the audit promo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creen shot of a newsletter page containing the audit promo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1950" cy="2585085"/>
                          </a:xfrm>
                          <a:prstGeom prst="rect">
                            <a:avLst/>
                          </a:prstGeom>
                          <a:noFill/>
                        </pic:spPr>
                      </pic:pic>
                    </a:graphicData>
                  </a:graphic>
                </wp:inline>
              </w:drawing>
            </w:r>
          </w:p>
        </w:tc>
      </w:tr>
    </w:tbl>
    <w:p w14:paraId="012C6B21" w14:textId="31F77F97" w:rsidR="00E01793" w:rsidRDefault="0047393E" w:rsidP="00D72EC2">
      <w:pPr>
        <w:pStyle w:val="DHHSbodyaftertablefigure"/>
      </w:pPr>
      <w:r>
        <w:t>Potentially 4</w:t>
      </w:r>
      <w:r w:rsidR="00334475">
        <w:t>,</w:t>
      </w:r>
      <w:r>
        <w:t>168 Victorian GPs were reachable via the involved PHNs through the local newsletters.</w:t>
      </w:r>
    </w:p>
    <w:p w14:paraId="19A2A964" w14:textId="17038484" w:rsidR="00E01793" w:rsidRPr="0047393E" w:rsidRDefault="00E01793" w:rsidP="00D72EC2">
      <w:pPr>
        <w:pStyle w:val="Heading2"/>
        <w:spacing w:before="320"/>
      </w:pPr>
      <w:bookmarkStart w:id="8" w:name="_Toc48054054"/>
      <w:r>
        <w:t>Results</w:t>
      </w:r>
      <w:bookmarkEnd w:id="8"/>
    </w:p>
    <w:p w14:paraId="1049210F" w14:textId="7F6AA36F" w:rsidR="0047393E" w:rsidRPr="00E01793" w:rsidRDefault="0047393E" w:rsidP="00E01793">
      <w:pPr>
        <w:pStyle w:val="DHHSbody"/>
      </w:pPr>
      <w:r w:rsidRPr="00E01793">
        <w:t>Two GPs completed the audit and the follow</w:t>
      </w:r>
      <w:r w:rsidR="000D5903">
        <w:t>-</w:t>
      </w:r>
      <w:r w:rsidRPr="00E01793">
        <w:t xml:space="preserve">up evaluation. A total of 20 patients were reported and the results are shown in the following tables. </w:t>
      </w:r>
    </w:p>
    <w:p w14:paraId="6085EF5D" w14:textId="17EAA9AB" w:rsidR="0047393E" w:rsidRPr="00E01793" w:rsidRDefault="008321CA" w:rsidP="00E01793">
      <w:pPr>
        <w:pStyle w:val="DHHSbody"/>
      </w:pPr>
      <w:r>
        <w:t xml:space="preserve">While all reported patients had a full blood count taken, other tests as described in the </w:t>
      </w:r>
      <w:r w:rsidR="00783D1A">
        <w:t xml:space="preserve">NBA </w:t>
      </w:r>
      <w:r>
        <w:t>PBM guidelines</w:t>
      </w:r>
      <w:r w:rsidR="00783D1A">
        <w:t xml:space="preserve"> and by Min</w:t>
      </w:r>
      <w:r w:rsidR="007C6FBF">
        <w:t>c</w:t>
      </w:r>
      <w:r w:rsidR="00783D1A">
        <w:t>k et al</w:t>
      </w:r>
      <w:r w:rsidR="00334475">
        <w:t>.</w:t>
      </w:r>
      <w:r w:rsidR="00783D1A">
        <w:t xml:space="preserve"> (2013)</w:t>
      </w:r>
      <w:r>
        <w:t xml:space="preserve"> were</w:t>
      </w:r>
      <w:r w:rsidR="00783D1A">
        <w:t xml:space="preserve"> less thoroughly completed.</w:t>
      </w:r>
      <w:r>
        <w:t xml:space="preserve"> </w:t>
      </w:r>
      <w:r w:rsidR="00783D1A">
        <w:t>Only o</w:t>
      </w:r>
      <w:r w:rsidR="0047393E" w:rsidRPr="00E01793">
        <w:t>ne patient (5 per</w:t>
      </w:r>
      <w:r w:rsidR="000B4C83">
        <w:t xml:space="preserve"> </w:t>
      </w:r>
      <w:r w:rsidR="0047393E" w:rsidRPr="00E01793">
        <w:t xml:space="preserve">cent) received complete preoperative testing according to the </w:t>
      </w:r>
      <w:r w:rsidR="00783D1A">
        <w:t>NBA PBM</w:t>
      </w:r>
      <w:r w:rsidR="0047393E" w:rsidRPr="00E01793">
        <w:t xml:space="preserve"> preoperative haemoglobin assessment and optimisation template (Table 1).</w:t>
      </w:r>
    </w:p>
    <w:p w14:paraId="0D3C99BE" w14:textId="77777777" w:rsidR="0047393E" w:rsidRPr="00E01793" w:rsidRDefault="0047393E" w:rsidP="00D72EC2">
      <w:pPr>
        <w:pStyle w:val="DHHStablecaption"/>
        <w:spacing w:line="240" w:lineRule="auto"/>
      </w:pPr>
      <w:r w:rsidRPr="00E01793">
        <w:lastRenderedPageBreak/>
        <w:t>Table 1: Preoperative tests reported</w:t>
      </w:r>
    </w:p>
    <w:tbl>
      <w:tblPr>
        <w:tblStyle w:val="TableGrid1"/>
        <w:tblW w:w="0" w:type="auto"/>
        <w:tblLook w:val="04A0" w:firstRow="1" w:lastRow="0" w:firstColumn="1" w:lastColumn="0" w:noHBand="0" w:noVBand="1"/>
      </w:tblPr>
      <w:tblGrid>
        <w:gridCol w:w="3539"/>
        <w:gridCol w:w="2595"/>
      </w:tblGrid>
      <w:tr w:rsidR="0047393E" w:rsidRPr="0047393E" w14:paraId="02C26FDE" w14:textId="77777777" w:rsidTr="00340B99">
        <w:trPr>
          <w:trHeight w:val="246"/>
        </w:trPr>
        <w:tc>
          <w:tcPr>
            <w:tcW w:w="3539" w:type="dxa"/>
          </w:tcPr>
          <w:p w14:paraId="68E2CCD0" w14:textId="77777777" w:rsidR="0047393E" w:rsidRPr="0047393E" w:rsidRDefault="0047393E" w:rsidP="00D72EC2">
            <w:pPr>
              <w:keepNext/>
              <w:keepLines/>
              <w:spacing w:after="160"/>
              <w:rPr>
                <w:rFonts w:ascii="Arial" w:hAnsi="Arial" w:cs="Arial"/>
                <w:b/>
                <w:sz w:val="20"/>
                <w:szCs w:val="20"/>
              </w:rPr>
            </w:pPr>
            <w:r w:rsidRPr="0047393E">
              <w:rPr>
                <w:rFonts w:ascii="Arial" w:hAnsi="Arial" w:cs="Arial"/>
                <w:b/>
                <w:sz w:val="20"/>
                <w:szCs w:val="20"/>
              </w:rPr>
              <w:t>Test type</w:t>
            </w:r>
            <w:r w:rsidRPr="000267F9">
              <w:rPr>
                <w:rFonts w:ascii="Arial" w:hAnsi="Arial" w:cs="Arial"/>
                <w:b/>
                <w:sz w:val="20"/>
                <w:szCs w:val="20"/>
                <w:vertAlign w:val="superscript"/>
              </w:rPr>
              <w:footnoteReference w:id="1"/>
            </w:r>
          </w:p>
        </w:tc>
        <w:tc>
          <w:tcPr>
            <w:tcW w:w="2595" w:type="dxa"/>
          </w:tcPr>
          <w:p w14:paraId="5FD829A4" w14:textId="0931EAC5" w:rsidR="0047393E" w:rsidRPr="0047393E" w:rsidRDefault="0047393E" w:rsidP="00D72EC2">
            <w:pPr>
              <w:keepNext/>
              <w:keepLines/>
              <w:spacing w:after="160"/>
              <w:rPr>
                <w:rFonts w:ascii="Arial" w:hAnsi="Arial" w:cs="Arial"/>
                <w:b/>
                <w:sz w:val="20"/>
                <w:szCs w:val="20"/>
              </w:rPr>
            </w:pPr>
            <w:r w:rsidRPr="0047393E">
              <w:rPr>
                <w:rFonts w:ascii="Arial" w:hAnsi="Arial" w:cs="Arial"/>
                <w:b/>
                <w:sz w:val="20"/>
                <w:szCs w:val="20"/>
              </w:rPr>
              <w:t>Number n</w:t>
            </w:r>
            <w:r w:rsidR="00334475">
              <w:rPr>
                <w:rFonts w:ascii="Arial" w:hAnsi="Arial" w:cs="Arial"/>
                <w:b/>
                <w:sz w:val="20"/>
                <w:szCs w:val="20"/>
              </w:rPr>
              <w:t> </w:t>
            </w:r>
            <w:r w:rsidRPr="0047393E">
              <w:rPr>
                <w:rFonts w:ascii="Arial" w:hAnsi="Arial" w:cs="Arial"/>
                <w:b/>
                <w:sz w:val="20"/>
                <w:szCs w:val="20"/>
              </w:rPr>
              <w:t>=</w:t>
            </w:r>
            <w:r w:rsidR="00334475">
              <w:rPr>
                <w:rFonts w:ascii="Arial" w:hAnsi="Arial" w:cs="Arial"/>
                <w:b/>
                <w:sz w:val="20"/>
                <w:szCs w:val="20"/>
              </w:rPr>
              <w:t> </w:t>
            </w:r>
            <w:r w:rsidRPr="0047393E">
              <w:rPr>
                <w:rFonts w:ascii="Arial" w:hAnsi="Arial" w:cs="Arial"/>
                <w:b/>
                <w:sz w:val="20"/>
                <w:szCs w:val="20"/>
              </w:rPr>
              <w:t>20 (%)</w:t>
            </w:r>
          </w:p>
        </w:tc>
      </w:tr>
      <w:tr w:rsidR="0047393E" w:rsidRPr="0047393E" w14:paraId="36B4A675" w14:textId="77777777" w:rsidTr="00340B99">
        <w:trPr>
          <w:trHeight w:val="256"/>
        </w:trPr>
        <w:tc>
          <w:tcPr>
            <w:tcW w:w="3539" w:type="dxa"/>
          </w:tcPr>
          <w:p w14:paraId="784A51B7" w14:textId="77777777" w:rsidR="0047393E" w:rsidRPr="0047393E" w:rsidRDefault="0047393E" w:rsidP="00D72EC2">
            <w:pPr>
              <w:keepNext/>
              <w:keepLines/>
              <w:spacing w:after="160"/>
              <w:rPr>
                <w:rFonts w:ascii="Arial" w:hAnsi="Arial" w:cs="Arial"/>
                <w:sz w:val="20"/>
                <w:szCs w:val="20"/>
              </w:rPr>
            </w:pPr>
            <w:r w:rsidRPr="0047393E">
              <w:rPr>
                <w:rFonts w:ascii="Arial" w:hAnsi="Arial" w:cs="Arial"/>
                <w:sz w:val="20"/>
                <w:szCs w:val="20"/>
              </w:rPr>
              <w:t>Full blood count</w:t>
            </w:r>
          </w:p>
        </w:tc>
        <w:tc>
          <w:tcPr>
            <w:tcW w:w="2595" w:type="dxa"/>
          </w:tcPr>
          <w:p w14:paraId="562DD0EB" w14:textId="77777777" w:rsidR="0047393E" w:rsidRPr="0047393E" w:rsidRDefault="0047393E" w:rsidP="00D72EC2">
            <w:pPr>
              <w:keepNext/>
              <w:keepLines/>
              <w:spacing w:after="160"/>
              <w:rPr>
                <w:rFonts w:ascii="Arial" w:hAnsi="Arial" w:cs="Arial"/>
                <w:sz w:val="20"/>
                <w:szCs w:val="20"/>
              </w:rPr>
            </w:pPr>
            <w:r w:rsidRPr="0047393E">
              <w:rPr>
                <w:rFonts w:ascii="Arial" w:hAnsi="Arial" w:cs="Arial"/>
                <w:sz w:val="20"/>
                <w:szCs w:val="20"/>
              </w:rPr>
              <w:t>20 (100%)</w:t>
            </w:r>
          </w:p>
        </w:tc>
      </w:tr>
      <w:tr w:rsidR="0047393E" w:rsidRPr="0047393E" w14:paraId="54067FD9" w14:textId="77777777" w:rsidTr="00340B99">
        <w:trPr>
          <w:trHeight w:val="246"/>
        </w:trPr>
        <w:tc>
          <w:tcPr>
            <w:tcW w:w="3539" w:type="dxa"/>
          </w:tcPr>
          <w:p w14:paraId="4B629D3C" w14:textId="77777777" w:rsidR="0047393E" w:rsidRPr="0047393E" w:rsidRDefault="0047393E" w:rsidP="00D72EC2">
            <w:pPr>
              <w:keepNext/>
              <w:keepLines/>
              <w:spacing w:after="160"/>
              <w:rPr>
                <w:rFonts w:ascii="Arial" w:hAnsi="Arial" w:cs="Arial"/>
                <w:sz w:val="20"/>
                <w:szCs w:val="20"/>
              </w:rPr>
            </w:pPr>
            <w:r w:rsidRPr="0047393E">
              <w:rPr>
                <w:rFonts w:ascii="Arial" w:hAnsi="Arial" w:cs="Arial"/>
                <w:sz w:val="20"/>
                <w:szCs w:val="20"/>
              </w:rPr>
              <w:t>Iron studies</w:t>
            </w:r>
          </w:p>
        </w:tc>
        <w:tc>
          <w:tcPr>
            <w:tcW w:w="2595" w:type="dxa"/>
          </w:tcPr>
          <w:p w14:paraId="2136F29F" w14:textId="77777777" w:rsidR="0047393E" w:rsidRPr="0047393E" w:rsidRDefault="0047393E" w:rsidP="00D72EC2">
            <w:pPr>
              <w:keepNext/>
              <w:keepLines/>
              <w:spacing w:after="160"/>
              <w:rPr>
                <w:rFonts w:ascii="Arial" w:hAnsi="Arial" w:cs="Arial"/>
                <w:sz w:val="20"/>
                <w:szCs w:val="20"/>
              </w:rPr>
            </w:pPr>
            <w:r w:rsidRPr="0047393E">
              <w:rPr>
                <w:rFonts w:ascii="Arial" w:hAnsi="Arial" w:cs="Arial"/>
                <w:sz w:val="20"/>
                <w:szCs w:val="20"/>
              </w:rPr>
              <w:t>7 (35%)</w:t>
            </w:r>
          </w:p>
        </w:tc>
      </w:tr>
      <w:tr w:rsidR="0047393E" w:rsidRPr="0047393E" w14:paraId="372D3155" w14:textId="77777777" w:rsidTr="00340B99">
        <w:trPr>
          <w:trHeight w:val="246"/>
        </w:trPr>
        <w:tc>
          <w:tcPr>
            <w:tcW w:w="3539" w:type="dxa"/>
          </w:tcPr>
          <w:p w14:paraId="1863899E" w14:textId="77777777" w:rsidR="0047393E" w:rsidRPr="0047393E" w:rsidRDefault="0047393E" w:rsidP="00D72EC2">
            <w:pPr>
              <w:keepNext/>
              <w:keepLines/>
              <w:spacing w:after="160"/>
              <w:rPr>
                <w:rFonts w:ascii="Arial" w:hAnsi="Arial" w:cs="Arial"/>
                <w:sz w:val="20"/>
                <w:szCs w:val="20"/>
              </w:rPr>
            </w:pPr>
            <w:r w:rsidRPr="0047393E">
              <w:rPr>
                <w:rFonts w:ascii="Arial" w:hAnsi="Arial" w:cs="Arial"/>
                <w:sz w:val="20"/>
                <w:szCs w:val="20"/>
              </w:rPr>
              <w:t>Renal function</w:t>
            </w:r>
          </w:p>
        </w:tc>
        <w:tc>
          <w:tcPr>
            <w:tcW w:w="2595" w:type="dxa"/>
          </w:tcPr>
          <w:p w14:paraId="3DA32773" w14:textId="77777777" w:rsidR="0047393E" w:rsidRPr="0047393E" w:rsidRDefault="0047393E" w:rsidP="00D72EC2">
            <w:pPr>
              <w:keepNext/>
              <w:keepLines/>
              <w:spacing w:after="160"/>
              <w:rPr>
                <w:rFonts w:ascii="Arial" w:hAnsi="Arial" w:cs="Arial"/>
                <w:sz w:val="20"/>
                <w:szCs w:val="20"/>
              </w:rPr>
            </w:pPr>
            <w:r w:rsidRPr="0047393E">
              <w:rPr>
                <w:rFonts w:ascii="Arial" w:hAnsi="Arial" w:cs="Arial"/>
                <w:sz w:val="20"/>
                <w:szCs w:val="20"/>
              </w:rPr>
              <w:t>18 (90%)</w:t>
            </w:r>
          </w:p>
        </w:tc>
      </w:tr>
      <w:tr w:rsidR="0047393E" w:rsidRPr="0047393E" w14:paraId="4DF50552" w14:textId="77777777" w:rsidTr="00340B99">
        <w:trPr>
          <w:trHeight w:val="246"/>
        </w:trPr>
        <w:tc>
          <w:tcPr>
            <w:tcW w:w="3539" w:type="dxa"/>
          </w:tcPr>
          <w:p w14:paraId="5BCA5974" w14:textId="77777777" w:rsidR="0047393E" w:rsidRPr="0047393E" w:rsidRDefault="0047393E" w:rsidP="00D72EC2">
            <w:pPr>
              <w:keepNext/>
              <w:keepLines/>
              <w:spacing w:after="160"/>
              <w:rPr>
                <w:rFonts w:ascii="Arial" w:hAnsi="Arial" w:cs="Arial"/>
                <w:sz w:val="20"/>
                <w:szCs w:val="20"/>
              </w:rPr>
            </w:pPr>
            <w:r w:rsidRPr="0047393E">
              <w:rPr>
                <w:rFonts w:ascii="Arial" w:hAnsi="Arial" w:cs="Arial"/>
                <w:sz w:val="20"/>
                <w:szCs w:val="20"/>
              </w:rPr>
              <w:t xml:space="preserve">C-reactive protein </w:t>
            </w:r>
          </w:p>
        </w:tc>
        <w:tc>
          <w:tcPr>
            <w:tcW w:w="2595" w:type="dxa"/>
          </w:tcPr>
          <w:p w14:paraId="7CD68D3B" w14:textId="77777777" w:rsidR="0047393E" w:rsidRPr="0047393E" w:rsidRDefault="0047393E" w:rsidP="00D72EC2">
            <w:pPr>
              <w:keepNext/>
              <w:keepLines/>
              <w:spacing w:after="160"/>
              <w:rPr>
                <w:rFonts w:ascii="Arial" w:hAnsi="Arial" w:cs="Arial"/>
                <w:sz w:val="20"/>
                <w:szCs w:val="20"/>
              </w:rPr>
            </w:pPr>
            <w:r w:rsidRPr="0047393E">
              <w:rPr>
                <w:rFonts w:ascii="Arial" w:hAnsi="Arial" w:cs="Arial"/>
                <w:sz w:val="20"/>
                <w:szCs w:val="20"/>
              </w:rPr>
              <w:t>2 (10%)</w:t>
            </w:r>
          </w:p>
        </w:tc>
      </w:tr>
      <w:tr w:rsidR="0047393E" w:rsidRPr="0047393E" w14:paraId="394B982B" w14:textId="77777777" w:rsidTr="00340B99">
        <w:trPr>
          <w:trHeight w:val="256"/>
        </w:trPr>
        <w:tc>
          <w:tcPr>
            <w:tcW w:w="3539" w:type="dxa"/>
          </w:tcPr>
          <w:p w14:paraId="4BDA026A" w14:textId="77777777" w:rsidR="0047393E" w:rsidRPr="0047393E" w:rsidRDefault="0047393E" w:rsidP="00D72EC2">
            <w:pPr>
              <w:keepNext/>
              <w:keepLines/>
              <w:spacing w:after="160"/>
              <w:rPr>
                <w:rFonts w:ascii="Arial" w:hAnsi="Arial" w:cs="Arial"/>
                <w:b/>
                <w:sz w:val="20"/>
                <w:szCs w:val="20"/>
              </w:rPr>
            </w:pPr>
            <w:r w:rsidRPr="0047393E">
              <w:rPr>
                <w:rFonts w:ascii="Arial" w:hAnsi="Arial" w:cs="Arial"/>
                <w:b/>
                <w:sz w:val="20"/>
                <w:szCs w:val="20"/>
              </w:rPr>
              <w:t>Complete preoperative testing</w:t>
            </w:r>
          </w:p>
        </w:tc>
        <w:tc>
          <w:tcPr>
            <w:tcW w:w="2595" w:type="dxa"/>
          </w:tcPr>
          <w:p w14:paraId="059B7E5E" w14:textId="77777777" w:rsidR="0047393E" w:rsidRPr="0047393E" w:rsidRDefault="0047393E" w:rsidP="00D72EC2">
            <w:pPr>
              <w:keepNext/>
              <w:keepLines/>
              <w:spacing w:after="160"/>
              <w:rPr>
                <w:rFonts w:ascii="Arial" w:hAnsi="Arial" w:cs="Arial"/>
                <w:b/>
                <w:sz w:val="20"/>
                <w:szCs w:val="20"/>
              </w:rPr>
            </w:pPr>
            <w:r w:rsidRPr="0047393E">
              <w:rPr>
                <w:rFonts w:ascii="Arial" w:hAnsi="Arial" w:cs="Arial"/>
                <w:b/>
                <w:sz w:val="20"/>
                <w:szCs w:val="20"/>
              </w:rPr>
              <w:t>1 (5%)</w:t>
            </w:r>
          </w:p>
        </w:tc>
      </w:tr>
    </w:tbl>
    <w:p w14:paraId="7EEC9908" w14:textId="500FA05F" w:rsidR="0047393E" w:rsidRPr="0047393E" w:rsidRDefault="0047393E" w:rsidP="00D72EC2">
      <w:pPr>
        <w:pStyle w:val="DHHSbodyaftertablefigure"/>
      </w:pPr>
      <w:r w:rsidRPr="0047393E">
        <w:t xml:space="preserve">Four </w:t>
      </w:r>
      <w:r w:rsidRPr="00334475">
        <w:t>patients</w:t>
      </w:r>
      <w:r w:rsidR="00334475">
        <w:t>’</w:t>
      </w:r>
      <w:r w:rsidRPr="0047393E">
        <w:t xml:space="preserve"> test results (20 per cent) indicated anaemia, with two of these being diagnosed (50</w:t>
      </w:r>
      <w:r w:rsidR="00334475">
        <w:t xml:space="preserve"> per cent</w:t>
      </w:r>
      <w:r w:rsidR="00334475" w:rsidRPr="0047393E">
        <w:t xml:space="preserve">) </w:t>
      </w:r>
      <w:r w:rsidRPr="0047393E">
        <w:t>(Table 2)</w:t>
      </w:r>
      <w:r w:rsidR="00783D1A">
        <w:t xml:space="preserve"> and two not diagnosed</w:t>
      </w:r>
      <w:r w:rsidRPr="0047393E">
        <w:t>.</w:t>
      </w:r>
    </w:p>
    <w:p w14:paraId="55B7C0D7" w14:textId="77777777" w:rsidR="00E01793" w:rsidRPr="00E01793" w:rsidRDefault="00E01793" w:rsidP="00E01793">
      <w:pPr>
        <w:pStyle w:val="DHHStablecaption"/>
        <w:rPr>
          <w:rFonts w:eastAsia="Times"/>
        </w:rPr>
      </w:pPr>
      <w:r w:rsidRPr="00E01793">
        <w:rPr>
          <w:rFonts w:eastAsia="Times"/>
        </w:rPr>
        <w:t>Table 2: Anaemia status</w:t>
      </w:r>
    </w:p>
    <w:tbl>
      <w:tblPr>
        <w:tblStyle w:val="TableGrid"/>
        <w:tblW w:w="0" w:type="auto"/>
        <w:tblLook w:val="04A0" w:firstRow="1" w:lastRow="0" w:firstColumn="1" w:lastColumn="0" w:noHBand="0" w:noVBand="1"/>
      </w:tblPr>
      <w:tblGrid>
        <w:gridCol w:w="5949"/>
        <w:gridCol w:w="3067"/>
      </w:tblGrid>
      <w:tr w:rsidR="00E01793" w:rsidRPr="00E01793" w14:paraId="72D07442" w14:textId="77777777" w:rsidTr="00962441">
        <w:tc>
          <w:tcPr>
            <w:tcW w:w="5949" w:type="dxa"/>
          </w:tcPr>
          <w:p w14:paraId="056DD88B" w14:textId="77777777" w:rsidR="00E01793" w:rsidRPr="00E01793" w:rsidRDefault="00E01793" w:rsidP="00E01793">
            <w:pPr>
              <w:pStyle w:val="DHHSbody"/>
              <w:rPr>
                <w:b/>
              </w:rPr>
            </w:pPr>
            <w:r w:rsidRPr="00E01793">
              <w:rPr>
                <w:b/>
              </w:rPr>
              <w:t>Anaemia status</w:t>
            </w:r>
            <w:r w:rsidRPr="00E01793">
              <w:rPr>
                <w:b/>
                <w:vertAlign w:val="superscript"/>
              </w:rPr>
              <w:footnoteReference w:id="2"/>
            </w:r>
          </w:p>
        </w:tc>
        <w:tc>
          <w:tcPr>
            <w:tcW w:w="3067" w:type="dxa"/>
          </w:tcPr>
          <w:p w14:paraId="6218F734" w14:textId="44020268" w:rsidR="00E01793" w:rsidRPr="00E01793" w:rsidRDefault="00E01793" w:rsidP="00E01793">
            <w:pPr>
              <w:pStyle w:val="DHHSbody"/>
              <w:rPr>
                <w:b/>
              </w:rPr>
            </w:pPr>
            <w:r w:rsidRPr="00E01793">
              <w:rPr>
                <w:b/>
              </w:rPr>
              <w:t>Number n</w:t>
            </w:r>
            <w:r w:rsidR="00334475">
              <w:rPr>
                <w:b/>
              </w:rPr>
              <w:t> </w:t>
            </w:r>
            <w:r w:rsidRPr="00E01793">
              <w:rPr>
                <w:b/>
              </w:rPr>
              <w:t>=</w:t>
            </w:r>
            <w:r w:rsidR="00334475">
              <w:rPr>
                <w:b/>
              </w:rPr>
              <w:t> </w:t>
            </w:r>
            <w:r w:rsidRPr="00E01793">
              <w:rPr>
                <w:b/>
              </w:rPr>
              <w:t>20 (%)</w:t>
            </w:r>
          </w:p>
        </w:tc>
      </w:tr>
      <w:tr w:rsidR="00E01793" w:rsidRPr="00E01793" w14:paraId="11D809D0" w14:textId="77777777" w:rsidTr="00962441">
        <w:tc>
          <w:tcPr>
            <w:tcW w:w="5949" w:type="dxa"/>
          </w:tcPr>
          <w:p w14:paraId="4208F72C" w14:textId="77777777" w:rsidR="00E01793" w:rsidRPr="00E01793" w:rsidRDefault="00E01793" w:rsidP="00E01793">
            <w:pPr>
              <w:pStyle w:val="DHHSbody"/>
            </w:pPr>
            <w:r w:rsidRPr="00E01793">
              <w:t>Patient not anaemic</w:t>
            </w:r>
          </w:p>
        </w:tc>
        <w:tc>
          <w:tcPr>
            <w:tcW w:w="3067" w:type="dxa"/>
          </w:tcPr>
          <w:p w14:paraId="6CFF1BBD" w14:textId="77777777" w:rsidR="00E01793" w:rsidRPr="00E01793" w:rsidRDefault="00E01793" w:rsidP="00E01793">
            <w:pPr>
              <w:pStyle w:val="DHHSbody"/>
            </w:pPr>
            <w:r w:rsidRPr="00E01793">
              <w:t>16 (80%)</w:t>
            </w:r>
          </w:p>
        </w:tc>
      </w:tr>
      <w:tr w:rsidR="00E01793" w:rsidRPr="00E01793" w14:paraId="08DDCF9D" w14:textId="77777777" w:rsidTr="00962441">
        <w:tc>
          <w:tcPr>
            <w:tcW w:w="5949" w:type="dxa"/>
          </w:tcPr>
          <w:p w14:paraId="27FD369F" w14:textId="77777777" w:rsidR="00E01793" w:rsidRPr="00E01793" w:rsidRDefault="00E01793" w:rsidP="00E01793">
            <w:pPr>
              <w:pStyle w:val="DHHSbody"/>
            </w:pPr>
            <w:r w:rsidRPr="00E01793">
              <w:t>Patient anaemic and diagnosed</w:t>
            </w:r>
          </w:p>
        </w:tc>
        <w:tc>
          <w:tcPr>
            <w:tcW w:w="3067" w:type="dxa"/>
          </w:tcPr>
          <w:p w14:paraId="3825453C" w14:textId="77777777" w:rsidR="00E01793" w:rsidRPr="00E01793" w:rsidRDefault="00E01793" w:rsidP="00E01793">
            <w:pPr>
              <w:pStyle w:val="DHHSbody"/>
            </w:pPr>
            <w:r w:rsidRPr="00E01793">
              <w:t>2 (10%)</w:t>
            </w:r>
          </w:p>
        </w:tc>
      </w:tr>
      <w:tr w:rsidR="00E01793" w:rsidRPr="00E01793" w14:paraId="750A7B0F" w14:textId="77777777" w:rsidTr="00962441">
        <w:tc>
          <w:tcPr>
            <w:tcW w:w="5949" w:type="dxa"/>
          </w:tcPr>
          <w:p w14:paraId="40727215" w14:textId="77777777" w:rsidR="00E01793" w:rsidRPr="00E01793" w:rsidRDefault="00E01793" w:rsidP="00E01793">
            <w:pPr>
              <w:pStyle w:val="DHHSbody"/>
            </w:pPr>
            <w:r w:rsidRPr="00E01793">
              <w:t>Patient anaemic, but not diagnosed</w:t>
            </w:r>
          </w:p>
        </w:tc>
        <w:tc>
          <w:tcPr>
            <w:tcW w:w="3067" w:type="dxa"/>
          </w:tcPr>
          <w:p w14:paraId="018F6460" w14:textId="77777777" w:rsidR="00E01793" w:rsidRPr="00E01793" w:rsidRDefault="00E01793" w:rsidP="00E01793">
            <w:pPr>
              <w:pStyle w:val="DHHSbody"/>
            </w:pPr>
            <w:r w:rsidRPr="00E01793">
              <w:t>2 (10%)</w:t>
            </w:r>
          </w:p>
        </w:tc>
      </w:tr>
      <w:tr w:rsidR="00E01793" w:rsidRPr="00E01793" w14:paraId="03DD0889" w14:textId="77777777" w:rsidTr="00962441">
        <w:tc>
          <w:tcPr>
            <w:tcW w:w="5949" w:type="dxa"/>
          </w:tcPr>
          <w:p w14:paraId="2E1FD388" w14:textId="77777777" w:rsidR="00E01793" w:rsidRPr="00E01793" w:rsidRDefault="00E01793" w:rsidP="00E01793">
            <w:pPr>
              <w:pStyle w:val="DHHSbody"/>
              <w:rPr>
                <w:b/>
              </w:rPr>
            </w:pPr>
            <w:r w:rsidRPr="00E01793">
              <w:rPr>
                <w:b/>
              </w:rPr>
              <w:t xml:space="preserve">Percentage of anaemic patients and reported as diagnosed </w:t>
            </w:r>
          </w:p>
        </w:tc>
        <w:tc>
          <w:tcPr>
            <w:tcW w:w="3067" w:type="dxa"/>
          </w:tcPr>
          <w:p w14:paraId="1602C8C6" w14:textId="77777777" w:rsidR="00E01793" w:rsidRPr="00E01793" w:rsidRDefault="00E01793" w:rsidP="00E01793">
            <w:pPr>
              <w:pStyle w:val="DHHSbody"/>
              <w:rPr>
                <w:b/>
              </w:rPr>
            </w:pPr>
            <w:r w:rsidRPr="00E01793">
              <w:rPr>
                <w:b/>
              </w:rPr>
              <w:t>2 of 4 (50%)</w:t>
            </w:r>
          </w:p>
        </w:tc>
      </w:tr>
    </w:tbl>
    <w:p w14:paraId="437853AC" w14:textId="4C4122A3" w:rsidR="00E01793" w:rsidRDefault="00E01793" w:rsidP="00D72EC2">
      <w:pPr>
        <w:pStyle w:val="DHHSbodyaftertablefigure"/>
        <w:rPr>
          <w:b/>
        </w:rPr>
      </w:pPr>
      <w:r w:rsidRPr="00E01793">
        <w:t>Table 3 highlights the iron status of those patients tested. Thirteen patients (65 per cent) had no ferritin reported.</w:t>
      </w:r>
    </w:p>
    <w:p w14:paraId="7A2ED123" w14:textId="77777777" w:rsidR="00E01793" w:rsidRPr="00E01793" w:rsidRDefault="00E01793" w:rsidP="00E01793">
      <w:pPr>
        <w:pStyle w:val="DHHStablecaption"/>
        <w:rPr>
          <w:rFonts w:eastAsia="Times"/>
        </w:rPr>
      </w:pPr>
      <w:r w:rsidRPr="00E01793">
        <w:rPr>
          <w:rFonts w:eastAsia="Times"/>
        </w:rPr>
        <w:t>Table 3: Iron status</w:t>
      </w:r>
    </w:p>
    <w:tbl>
      <w:tblPr>
        <w:tblStyle w:val="TableGrid"/>
        <w:tblW w:w="0" w:type="auto"/>
        <w:tblLook w:val="04A0" w:firstRow="1" w:lastRow="0" w:firstColumn="1" w:lastColumn="0" w:noHBand="0" w:noVBand="1"/>
      </w:tblPr>
      <w:tblGrid>
        <w:gridCol w:w="6374"/>
        <w:gridCol w:w="2642"/>
      </w:tblGrid>
      <w:tr w:rsidR="00E01793" w:rsidRPr="00E01793" w14:paraId="2248E2BB" w14:textId="77777777" w:rsidTr="00962441">
        <w:tc>
          <w:tcPr>
            <w:tcW w:w="6374" w:type="dxa"/>
          </w:tcPr>
          <w:p w14:paraId="711A1BE1" w14:textId="77777777" w:rsidR="00E01793" w:rsidRPr="00E01793" w:rsidRDefault="00E01793" w:rsidP="00E01793">
            <w:pPr>
              <w:pStyle w:val="DHHSbody"/>
              <w:rPr>
                <w:b/>
              </w:rPr>
            </w:pPr>
            <w:r w:rsidRPr="00E01793">
              <w:rPr>
                <w:b/>
              </w:rPr>
              <w:t>Iron status</w:t>
            </w:r>
            <w:r w:rsidRPr="00E01793">
              <w:rPr>
                <w:b/>
                <w:vertAlign w:val="superscript"/>
              </w:rPr>
              <w:footnoteReference w:id="3"/>
            </w:r>
          </w:p>
        </w:tc>
        <w:tc>
          <w:tcPr>
            <w:tcW w:w="2642" w:type="dxa"/>
          </w:tcPr>
          <w:p w14:paraId="11AC83CC" w14:textId="3973345A" w:rsidR="00E01793" w:rsidRPr="00E01793" w:rsidRDefault="00E01793" w:rsidP="00E01793">
            <w:pPr>
              <w:pStyle w:val="DHHSbody"/>
              <w:rPr>
                <w:b/>
              </w:rPr>
            </w:pPr>
            <w:r w:rsidRPr="00E01793">
              <w:rPr>
                <w:b/>
              </w:rPr>
              <w:t>Number n</w:t>
            </w:r>
            <w:r w:rsidR="000E66A5">
              <w:rPr>
                <w:b/>
              </w:rPr>
              <w:t> </w:t>
            </w:r>
            <w:r w:rsidRPr="00E01793">
              <w:rPr>
                <w:b/>
              </w:rPr>
              <w:t>=</w:t>
            </w:r>
            <w:r w:rsidR="000E66A5">
              <w:rPr>
                <w:b/>
              </w:rPr>
              <w:t> </w:t>
            </w:r>
            <w:r w:rsidRPr="00E01793">
              <w:rPr>
                <w:b/>
              </w:rPr>
              <w:t>20 (%)</w:t>
            </w:r>
          </w:p>
        </w:tc>
      </w:tr>
      <w:tr w:rsidR="00E01793" w:rsidRPr="00E01793" w14:paraId="54026B28" w14:textId="77777777" w:rsidTr="00962441">
        <w:tc>
          <w:tcPr>
            <w:tcW w:w="6374" w:type="dxa"/>
          </w:tcPr>
          <w:p w14:paraId="612EED8F" w14:textId="1F8D4448" w:rsidR="00E01793" w:rsidRPr="00E01793" w:rsidRDefault="00E01793" w:rsidP="00E01793">
            <w:pPr>
              <w:pStyle w:val="DHHSbody"/>
            </w:pPr>
            <w:r w:rsidRPr="00E01793">
              <w:t>Patient not i</w:t>
            </w:r>
            <w:r w:rsidR="007C6FBF">
              <w:t>r</w:t>
            </w:r>
            <w:r w:rsidRPr="00E01793">
              <w:t>on deficient</w:t>
            </w:r>
          </w:p>
        </w:tc>
        <w:tc>
          <w:tcPr>
            <w:tcW w:w="2642" w:type="dxa"/>
          </w:tcPr>
          <w:p w14:paraId="605C67AE" w14:textId="77777777" w:rsidR="00E01793" w:rsidRPr="00E01793" w:rsidRDefault="00E01793" w:rsidP="00E01793">
            <w:pPr>
              <w:pStyle w:val="DHHSbody"/>
            </w:pPr>
            <w:r w:rsidRPr="00E01793">
              <w:t>4 (20%)</w:t>
            </w:r>
          </w:p>
        </w:tc>
      </w:tr>
      <w:tr w:rsidR="00E01793" w:rsidRPr="00E01793" w14:paraId="46BDFF8F" w14:textId="77777777" w:rsidTr="00962441">
        <w:tc>
          <w:tcPr>
            <w:tcW w:w="6374" w:type="dxa"/>
          </w:tcPr>
          <w:p w14:paraId="7BD5BB6A" w14:textId="77777777" w:rsidR="00E01793" w:rsidRPr="00E01793" w:rsidRDefault="00E01793" w:rsidP="00E01793">
            <w:pPr>
              <w:pStyle w:val="DHHSbody"/>
            </w:pPr>
            <w:r w:rsidRPr="00E01793">
              <w:t>Patient iron deficient and diagnosed</w:t>
            </w:r>
          </w:p>
        </w:tc>
        <w:tc>
          <w:tcPr>
            <w:tcW w:w="2642" w:type="dxa"/>
          </w:tcPr>
          <w:p w14:paraId="5183C233" w14:textId="77777777" w:rsidR="00E01793" w:rsidRPr="00E01793" w:rsidRDefault="00E01793" w:rsidP="00E01793">
            <w:pPr>
              <w:pStyle w:val="DHHSbody"/>
            </w:pPr>
            <w:r w:rsidRPr="00E01793">
              <w:t>2 (10%)</w:t>
            </w:r>
          </w:p>
        </w:tc>
      </w:tr>
      <w:tr w:rsidR="00E01793" w:rsidRPr="00E01793" w14:paraId="7C0498E7" w14:textId="77777777" w:rsidTr="00962441">
        <w:tc>
          <w:tcPr>
            <w:tcW w:w="6374" w:type="dxa"/>
          </w:tcPr>
          <w:p w14:paraId="0201F369" w14:textId="77777777" w:rsidR="00E01793" w:rsidRPr="00E01793" w:rsidRDefault="00E01793" w:rsidP="00E01793">
            <w:pPr>
              <w:pStyle w:val="DHHSbody"/>
            </w:pPr>
            <w:r w:rsidRPr="00E01793">
              <w:t>Patient iron deficient, but not diagnosed</w:t>
            </w:r>
          </w:p>
        </w:tc>
        <w:tc>
          <w:tcPr>
            <w:tcW w:w="2642" w:type="dxa"/>
          </w:tcPr>
          <w:p w14:paraId="1FE3AA2F" w14:textId="77777777" w:rsidR="00E01793" w:rsidRPr="00E01793" w:rsidRDefault="00E01793" w:rsidP="00E01793">
            <w:pPr>
              <w:pStyle w:val="DHHSbody"/>
            </w:pPr>
            <w:r w:rsidRPr="00E01793">
              <w:t>1 (5%)</w:t>
            </w:r>
          </w:p>
        </w:tc>
      </w:tr>
      <w:tr w:rsidR="00E01793" w:rsidRPr="00E01793" w14:paraId="4541746E" w14:textId="77777777" w:rsidTr="00962441">
        <w:tc>
          <w:tcPr>
            <w:tcW w:w="6374" w:type="dxa"/>
          </w:tcPr>
          <w:p w14:paraId="576ABFDE" w14:textId="77777777" w:rsidR="00E01793" w:rsidRPr="00E01793" w:rsidRDefault="00E01793" w:rsidP="00E01793">
            <w:pPr>
              <w:pStyle w:val="DHHSbody"/>
            </w:pPr>
            <w:r w:rsidRPr="00E01793">
              <w:t>Unknown due to no ferritin reported</w:t>
            </w:r>
          </w:p>
        </w:tc>
        <w:tc>
          <w:tcPr>
            <w:tcW w:w="2642" w:type="dxa"/>
          </w:tcPr>
          <w:p w14:paraId="354F7B7F" w14:textId="77777777" w:rsidR="00E01793" w:rsidRPr="00E01793" w:rsidRDefault="00E01793" w:rsidP="00E01793">
            <w:pPr>
              <w:pStyle w:val="DHHSbody"/>
            </w:pPr>
            <w:r w:rsidRPr="00E01793">
              <w:t>13 (65%)</w:t>
            </w:r>
          </w:p>
        </w:tc>
      </w:tr>
      <w:tr w:rsidR="00E01793" w:rsidRPr="00E01793" w14:paraId="3733033B" w14:textId="77777777" w:rsidTr="00962441">
        <w:tc>
          <w:tcPr>
            <w:tcW w:w="6374" w:type="dxa"/>
          </w:tcPr>
          <w:p w14:paraId="7B1C69C3" w14:textId="1BB6C7BC" w:rsidR="00E01793" w:rsidRPr="00E01793" w:rsidRDefault="00E01793" w:rsidP="00E01793">
            <w:pPr>
              <w:pStyle w:val="DHHSbody"/>
              <w:rPr>
                <w:b/>
              </w:rPr>
            </w:pPr>
            <w:r w:rsidRPr="00E01793">
              <w:rPr>
                <w:b/>
              </w:rPr>
              <w:t xml:space="preserve">Percentage of iron deficient patients and reported as diagnosed </w:t>
            </w:r>
          </w:p>
        </w:tc>
        <w:tc>
          <w:tcPr>
            <w:tcW w:w="2642" w:type="dxa"/>
          </w:tcPr>
          <w:p w14:paraId="0C125AD3" w14:textId="77777777" w:rsidR="00E01793" w:rsidRPr="00E01793" w:rsidRDefault="00E01793" w:rsidP="00E01793">
            <w:pPr>
              <w:pStyle w:val="DHHSbody"/>
              <w:rPr>
                <w:b/>
              </w:rPr>
            </w:pPr>
            <w:r w:rsidRPr="00E01793">
              <w:rPr>
                <w:b/>
              </w:rPr>
              <w:t>2 of 3 (67%)</w:t>
            </w:r>
          </w:p>
        </w:tc>
      </w:tr>
    </w:tbl>
    <w:p w14:paraId="65413118" w14:textId="68AE89E6" w:rsidR="00E01793" w:rsidRPr="00E01793" w:rsidRDefault="00E01793" w:rsidP="00D72EC2">
      <w:pPr>
        <w:pStyle w:val="DHHSbodyaftertablefigure"/>
      </w:pPr>
      <w:r w:rsidRPr="00E01793">
        <w:t>Two patients were diagnosed as iron deficient</w:t>
      </w:r>
      <w:r w:rsidR="000E66A5">
        <w:t>,</w:t>
      </w:r>
      <w:r w:rsidRPr="00E01793">
        <w:t xml:space="preserve"> and both were reported to be managed according to guidelines, although they did not receive patient information (Table 4).</w:t>
      </w:r>
    </w:p>
    <w:p w14:paraId="110555D1" w14:textId="77777777" w:rsidR="00E01793" w:rsidRPr="00E01793" w:rsidRDefault="00E01793" w:rsidP="00D72EC2">
      <w:pPr>
        <w:pStyle w:val="DHHStablecaption"/>
        <w:spacing w:line="240" w:lineRule="auto"/>
        <w:rPr>
          <w:rFonts w:eastAsia="Times"/>
        </w:rPr>
      </w:pPr>
      <w:r w:rsidRPr="00E01793">
        <w:rPr>
          <w:rFonts w:eastAsia="Times"/>
        </w:rPr>
        <w:lastRenderedPageBreak/>
        <w:t>Table 4: Management of iron deficiency and patient information</w:t>
      </w:r>
    </w:p>
    <w:tbl>
      <w:tblPr>
        <w:tblStyle w:val="TableGrid"/>
        <w:tblW w:w="0" w:type="auto"/>
        <w:tblLook w:val="04A0" w:firstRow="1" w:lastRow="0" w:firstColumn="1" w:lastColumn="0" w:noHBand="0" w:noVBand="1"/>
      </w:tblPr>
      <w:tblGrid>
        <w:gridCol w:w="6374"/>
        <w:gridCol w:w="2642"/>
      </w:tblGrid>
      <w:tr w:rsidR="00E01793" w:rsidRPr="00E01793" w14:paraId="2F553D9E" w14:textId="77777777" w:rsidTr="00962441">
        <w:tc>
          <w:tcPr>
            <w:tcW w:w="6374" w:type="dxa"/>
          </w:tcPr>
          <w:p w14:paraId="14B9DC37" w14:textId="77777777" w:rsidR="00E01793" w:rsidRPr="00E01793" w:rsidRDefault="00E01793" w:rsidP="00D72EC2">
            <w:pPr>
              <w:pStyle w:val="DHHSbody"/>
              <w:keepNext/>
              <w:keepLines/>
              <w:spacing w:line="240" w:lineRule="auto"/>
              <w:rPr>
                <w:b/>
              </w:rPr>
            </w:pPr>
            <w:r w:rsidRPr="00E01793">
              <w:rPr>
                <w:b/>
              </w:rPr>
              <w:t>Management</w:t>
            </w:r>
          </w:p>
        </w:tc>
        <w:tc>
          <w:tcPr>
            <w:tcW w:w="2642" w:type="dxa"/>
          </w:tcPr>
          <w:p w14:paraId="3941E0AE" w14:textId="77777777" w:rsidR="00E01793" w:rsidRPr="00E01793" w:rsidRDefault="00E01793" w:rsidP="00D72EC2">
            <w:pPr>
              <w:pStyle w:val="DHHSbody"/>
              <w:keepNext/>
              <w:keepLines/>
              <w:spacing w:line="240" w:lineRule="auto"/>
              <w:rPr>
                <w:b/>
              </w:rPr>
            </w:pPr>
            <w:r w:rsidRPr="00E01793">
              <w:rPr>
                <w:b/>
              </w:rPr>
              <w:t xml:space="preserve">Number </w:t>
            </w:r>
          </w:p>
        </w:tc>
      </w:tr>
      <w:tr w:rsidR="00E01793" w:rsidRPr="00E01793" w14:paraId="5D585B28" w14:textId="77777777" w:rsidTr="00962441">
        <w:tc>
          <w:tcPr>
            <w:tcW w:w="6374" w:type="dxa"/>
          </w:tcPr>
          <w:p w14:paraId="74299808" w14:textId="2AD797E1" w:rsidR="00E01793" w:rsidRPr="00E01793" w:rsidRDefault="00E01793" w:rsidP="00D72EC2">
            <w:pPr>
              <w:pStyle w:val="DHHSbody"/>
              <w:keepNext/>
              <w:keepLines/>
              <w:spacing w:line="240" w:lineRule="auto"/>
            </w:pPr>
            <w:r w:rsidRPr="00E01793">
              <w:t xml:space="preserve">Number of patients diagnosed </w:t>
            </w:r>
            <w:r w:rsidR="004D7CB7">
              <w:t>with</w:t>
            </w:r>
            <w:r w:rsidRPr="00E01793">
              <w:t xml:space="preserve"> i</w:t>
            </w:r>
            <w:r w:rsidR="004D7CB7">
              <w:t>ron deficiency</w:t>
            </w:r>
            <w:r w:rsidRPr="00E01793">
              <w:t xml:space="preserve"> anaemia</w:t>
            </w:r>
          </w:p>
        </w:tc>
        <w:tc>
          <w:tcPr>
            <w:tcW w:w="2642" w:type="dxa"/>
          </w:tcPr>
          <w:p w14:paraId="7ABA6F9A" w14:textId="77777777" w:rsidR="00E01793" w:rsidRPr="00E01793" w:rsidRDefault="00E01793" w:rsidP="00D72EC2">
            <w:pPr>
              <w:pStyle w:val="DHHSbody"/>
              <w:keepNext/>
              <w:keepLines/>
              <w:spacing w:line="240" w:lineRule="auto"/>
            </w:pPr>
            <w:r w:rsidRPr="00E01793">
              <w:t>2 (10%)</w:t>
            </w:r>
          </w:p>
        </w:tc>
      </w:tr>
      <w:tr w:rsidR="00E01793" w:rsidRPr="00E01793" w14:paraId="646338CA" w14:textId="77777777" w:rsidTr="00962441">
        <w:tc>
          <w:tcPr>
            <w:tcW w:w="6374" w:type="dxa"/>
          </w:tcPr>
          <w:p w14:paraId="21AE033F" w14:textId="1A45296D" w:rsidR="00E01793" w:rsidRPr="00E01793" w:rsidRDefault="00E01793" w:rsidP="00D72EC2">
            <w:pPr>
              <w:pStyle w:val="DHHSbody"/>
              <w:keepNext/>
              <w:keepLines/>
              <w:spacing w:line="240" w:lineRule="auto"/>
            </w:pPr>
            <w:r w:rsidRPr="00E01793">
              <w:t xml:space="preserve">Percentage of </w:t>
            </w:r>
            <w:r w:rsidR="004D7CB7">
              <w:t>iron deficiency</w:t>
            </w:r>
            <w:r w:rsidRPr="00E01793">
              <w:t xml:space="preserve"> anaemia only patients reported as managed according to guidelines</w:t>
            </w:r>
          </w:p>
        </w:tc>
        <w:tc>
          <w:tcPr>
            <w:tcW w:w="2642" w:type="dxa"/>
          </w:tcPr>
          <w:p w14:paraId="2BBF4913" w14:textId="77777777" w:rsidR="00E01793" w:rsidRPr="00E01793" w:rsidRDefault="00E01793" w:rsidP="00D72EC2">
            <w:pPr>
              <w:pStyle w:val="DHHSbody"/>
              <w:keepNext/>
              <w:keepLines/>
              <w:spacing w:line="240" w:lineRule="auto"/>
            </w:pPr>
            <w:r w:rsidRPr="00E01793">
              <w:t>2 (100%)</w:t>
            </w:r>
          </w:p>
        </w:tc>
      </w:tr>
      <w:tr w:rsidR="00E01793" w:rsidRPr="00E01793" w14:paraId="57702526" w14:textId="77777777" w:rsidTr="00962441">
        <w:tc>
          <w:tcPr>
            <w:tcW w:w="6374" w:type="dxa"/>
          </w:tcPr>
          <w:p w14:paraId="4D8683E2" w14:textId="3A346D14" w:rsidR="00E01793" w:rsidRPr="00E01793" w:rsidRDefault="00E01793" w:rsidP="00D72EC2">
            <w:pPr>
              <w:pStyle w:val="DHHSbody"/>
              <w:keepNext/>
              <w:keepLines/>
              <w:spacing w:line="240" w:lineRule="auto"/>
            </w:pPr>
            <w:r w:rsidRPr="00E01793">
              <w:t>Percentage of i</w:t>
            </w:r>
            <w:r w:rsidR="004D7CB7">
              <w:t>ron deficiency</w:t>
            </w:r>
            <w:r w:rsidRPr="00E01793">
              <w:t xml:space="preserve"> anaemia only patients reported as receiving written information </w:t>
            </w:r>
          </w:p>
        </w:tc>
        <w:tc>
          <w:tcPr>
            <w:tcW w:w="2642" w:type="dxa"/>
          </w:tcPr>
          <w:p w14:paraId="3C7E6186" w14:textId="77777777" w:rsidR="00E01793" w:rsidRPr="00E01793" w:rsidRDefault="00E01793" w:rsidP="00D72EC2">
            <w:pPr>
              <w:pStyle w:val="DHHSbody"/>
              <w:keepNext/>
              <w:keepLines/>
              <w:spacing w:line="240" w:lineRule="auto"/>
            </w:pPr>
            <w:r w:rsidRPr="00E01793">
              <w:t>0 (0%)</w:t>
            </w:r>
          </w:p>
        </w:tc>
      </w:tr>
    </w:tbl>
    <w:p w14:paraId="40E1C098" w14:textId="30CA9BF2" w:rsidR="0047393E" w:rsidRDefault="00E01793" w:rsidP="00D72EC2">
      <w:pPr>
        <w:pStyle w:val="DHHSbodyaftertablefigure"/>
      </w:pPr>
      <w:r w:rsidRPr="00E01793">
        <w:t xml:space="preserve">On completion of the audit, a feedback report summarising overall results and alignment </w:t>
      </w:r>
      <w:r w:rsidR="000E66A5">
        <w:t>with</w:t>
      </w:r>
      <w:r w:rsidR="000E66A5" w:rsidRPr="00E01793">
        <w:t xml:space="preserve"> </w:t>
      </w:r>
      <w:r w:rsidRPr="00E01793">
        <w:t>the PBM Module 2 template</w:t>
      </w:r>
      <w:r w:rsidR="000E66A5">
        <w:t>,</w:t>
      </w:r>
      <w:r w:rsidRPr="00E01793">
        <w:t xml:space="preserve"> as well as links to Minck et al</w:t>
      </w:r>
      <w:r w:rsidR="000E66A5">
        <w:t>.</w:t>
      </w:r>
      <w:r w:rsidRPr="00E01793">
        <w:t xml:space="preserve"> (2013) </w:t>
      </w:r>
      <w:r w:rsidR="00783D1A">
        <w:t>article</w:t>
      </w:r>
      <w:r w:rsidR="000E66A5">
        <w:t>,</w:t>
      </w:r>
      <w:r w:rsidR="00783D1A">
        <w:t xml:space="preserve"> were</w:t>
      </w:r>
      <w:r w:rsidRPr="00E01793">
        <w:t xml:space="preserve"> provided to each submitting GP. An example</w:t>
      </w:r>
      <w:r w:rsidR="00783D1A">
        <w:t xml:space="preserve"> of the report</w:t>
      </w:r>
      <w:r w:rsidRPr="00E01793">
        <w:t xml:space="preserve"> is available in Appendix </w:t>
      </w:r>
      <w:r w:rsidR="000B4C83">
        <w:t>5</w:t>
      </w:r>
      <w:r w:rsidRPr="00E01793">
        <w:t>.</w:t>
      </w:r>
    </w:p>
    <w:p w14:paraId="127CD97E" w14:textId="72D52C7C" w:rsidR="00DA554C" w:rsidRDefault="00DA554C" w:rsidP="00E01793">
      <w:pPr>
        <w:pStyle w:val="DHHSbody"/>
      </w:pPr>
      <w:r>
        <w:t>GPs participating in the audit were also required to provide an evaluation of the activity</w:t>
      </w:r>
      <w:r w:rsidR="00C00E64">
        <w:t xml:space="preserve"> (</w:t>
      </w:r>
      <w:r w:rsidR="00A61604">
        <w:t>Table 5</w:t>
      </w:r>
      <w:r w:rsidR="00C00E64">
        <w:t>).</w:t>
      </w:r>
    </w:p>
    <w:p w14:paraId="1A6051F8" w14:textId="3816E0B0" w:rsidR="00A61604" w:rsidRPr="00C00E64" w:rsidRDefault="00A61604" w:rsidP="00E01793">
      <w:pPr>
        <w:pStyle w:val="DHHSbody"/>
        <w:rPr>
          <w:b/>
        </w:rPr>
      </w:pPr>
      <w:r w:rsidRPr="00C00E64">
        <w:rPr>
          <w:b/>
        </w:rPr>
        <w:t xml:space="preserve">Table 5: Evaluation – </w:t>
      </w:r>
      <w:r w:rsidR="00C00E64">
        <w:rPr>
          <w:b/>
        </w:rPr>
        <w:t>feedback</w:t>
      </w: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5934"/>
        <w:gridCol w:w="1106"/>
        <w:gridCol w:w="992"/>
        <w:gridCol w:w="1256"/>
      </w:tblGrid>
      <w:tr w:rsidR="00DA554C" w:rsidRPr="00172898" w14:paraId="529B5F50" w14:textId="77777777" w:rsidTr="00340B99">
        <w:tc>
          <w:tcPr>
            <w:tcW w:w="6091" w:type="dxa"/>
          </w:tcPr>
          <w:p w14:paraId="6F098F64" w14:textId="18CE730E" w:rsidR="00DA554C" w:rsidRPr="00172898" w:rsidRDefault="00DA554C" w:rsidP="00340B99">
            <w:pPr>
              <w:spacing w:before="60" w:after="60"/>
              <w:rPr>
                <w:rFonts w:ascii="Arial" w:hAnsi="Arial" w:cs="Arial"/>
              </w:rPr>
            </w:pPr>
          </w:p>
        </w:tc>
        <w:tc>
          <w:tcPr>
            <w:tcW w:w="1134" w:type="dxa"/>
          </w:tcPr>
          <w:p w14:paraId="5CCEF406" w14:textId="77777777" w:rsidR="00DA554C" w:rsidRPr="00172898" w:rsidRDefault="00DA554C" w:rsidP="00340B99">
            <w:pPr>
              <w:spacing w:before="60" w:after="60"/>
              <w:rPr>
                <w:rFonts w:ascii="Arial" w:hAnsi="Arial" w:cs="Arial"/>
              </w:rPr>
            </w:pPr>
            <w:r w:rsidRPr="00172898">
              <w:rPr>
                <w:rFonts w:ascii="Arial" w:hAnsi="Arial" w:cs="Arial"/>
              </w:rPr>
              <w:t>Not met</w:t>
            </w:r>
          </w:p>
        </w:tc>
        <w:tc>
          <w:tcPr>
            <w:tcW w:w="999" w:type="dxa"/>
          </w:tcPr>
          <w:p w14:paraId="0A747E66" w14:textId="77777777" w:rsidR="00DA554C" w:rsidRPr="00172898" w:rsidRDefault="00DA554C" w:rsidP="00340B99">
            <w:pPr>
              <w:spacing w:before="60" w:after="60"/>
              <w:rPr>
                <w:rFonts w:ascii="Arial" w:hAnsi="Arial" w:cs="Arial"/>
              </w:rPr>
            </w:pPr>
            <w:r w:rsidRPr="00172898">
              <w:rPr>
                <w:rFonts w:ascii="Arial" w:hAnsi="Arial" w:cs="Arial"/>
              </w:rPr>
              <w:t>Partially met</w:t>
            </w:r>
          </w:p>
        </w:tc>
        <w:tc>
          <w:tcPr>
            <w:tcW w:w="1276" w:type="dxa"/>
          </w:tcPr>
          <w:p w14:paraId="3221B7F7" w14:textId="77777777" w:rsidR="00DA554C" w:rsidRPr="00172898" w:rsidRDefault="00DA554C" w:rsidP="00340B99">
            <w:pPr>
              <w:spacing w:before="60" w:after="60"/>
              <w:rPr>
                <w:rFonts w:ascii="Arial" w:hAnsi="Arial" w:cs="Arial"/>
              </w:rPr>
            </w:pPr>
            <w:r w:rsidRPr="00172898">
              <w:rPr>
                <w:rFonts w:ascii="Arial" w:hAnsi="Arial" w:cs="Arial"/>
              </w:rPr>
              <w:t>Entirely met</w:t>
            </w:r>
          </w:p>
        </w:tc>
      </w:tr>
      <w:tr w:rsidR="00C00E64" w:rsidRPr="00172898" w14:paraId="78D7B152" w14:textId="77777777" w:rsidTr="00340B99">
        <w:tc>
          <w:tcPr>
            <w:tcW w:w="6091" w:type="dxa"/>
          </w:tcPr>
          <w:p w14:paraId="21B4EE62" w14:textId="5EC37530" w:rsidR="00C00E64" w:rsidRPr="00172898" w:rsidRDefault="00C00E64" w:rsidP="00340B99">
            <w:pPr>
              <w:spacing w:before="60" w:after="60"/>
              <w:rPr>
                <w:rFonts w:ascii="Arial" w:hAnsi="Arial" w:cs="Arial"/>
                <w:b/>
              </w:rPr>
            </w:pPr>
            <w:r w:rsidRPr="00172898">
              <w:rPr>
                <w:rFonts w:ascii="Arial" w:hAnsi="Arial" w:cs="Arial"/>
                <w:b/>
              </w:rPr>
              <w:t>Please rate the degree to which the audit’s learning outcomes were met</w:t>
            </w:r>
          </w:p>
        </w:tc>
        <w:tc>
          <w:tcPr>
            <w:tcW w:w="1134" w:type="dxa"/>
          </w:tcPr>
          <w:p w14:paraId="3529E212" w14:textId="77777777" w:rsidR="00C00E64" w:rsidRPr="00172898" w:rsidRDefault="00C00E64" w:rsidP="00340B99">
            <w:pPr>
              <w:spacing w:before="60" w:after="60"/>
              <w:rPr>
                <w:rFonts w:ascii="Arial" w:hAnsi="Arial" w:cs="Arial"/>
              </w:rPr>
            </w:pPr>
          </w:p>
        </w:tc>
        <w:tc>
          <w:tcPr>
            <w:tcW w:w="999" w:type="dxa"/>
          </w:tcPr>
          <w:p w14:paraId="22D2966C" w14:textId="77777777" w:rsidR="00C00E64" w:rsidRPr="00172898" w:rsidRDefault="00C00E64" w:rsidP="00340B99">
            <w:pPr>
              <w:spacing w:before="60" w:after="60"/>
              <w:rPr>
                <w:rFonts w:ascii="Arial" w:hAnsi="Arial" w:cs="Arial"/>
              </w:rPr>
            </w:pPr>
          </w:p>
        </w:tc>
        <w:tc>
          <w:tcPr>
            <w:tcW w:w="1276" w:type="dxa"/>
          </w:tcPr>
          <w:p w14:paraId="03E16476" w14:textId="77777777" w:rsidR="00C00E64" w:rsidRPr="00172898" w:rsidRDefault="00C00E64" w:rsidP="00340B99">
            <w:pPr>
              <w:spacing w:before="60" w:after="60"/>
              <w:rPr>
                <w:rFonts w:ascii="Arial" w:hAnsi="Arial" w:cs="Arial"/>
              </w:rPr>
            </w:pPr>
          </w:p>
        </w:tc>
      </w:tr>
      <w:tr w:rsidR="00DA554C" w:rsidRPr="00172898" w14:paraId="2567B1C0" w14:textId="77777777" w:rsidTr="00340B99">
        <w:tc>
          <w:tcPr>
            <w:tcW w:w="6091" w:type="dxa"/>
          </w:tcPr>
          <w:p w14:paraId="2DA45F13" w14:textId="4E06525F" w:rsidR="00DA554C" w:rsidRPr="00C00E64" w:rsidRDefault="00DA554C" w:rsidP="00C00E64">
            <w:pPr>
              <w:pStyle w:val="ListParagraph"/>
              <w:numPr>
                <w:ilvl w:val="0"/>
                <w:numId w:val="40"/>
              </w:numPr>
              <w:spacing w:after="0" w:line="240" w:lineRule="auto"/>
              <w:ind w:left="714" w:hanging="357"/>
              <w:rPr>
                <w:rFonts w:ascii="Arial" w:eastAsia="Calibri" w:hAnsi="Arial" w:cs="Arial"/>
              </w:rPr>
            </w:pPr>
            <w:r w:rsidRPr="00C00E64">
              <w:rPr>
                <w:rFonts w:ascii="Arial" w:eastAsia="Calibri" w:hAnsi="Arial" w:cs="Arial"/>
              </w:rPr>
              <w:t>Screen for iron deficiency with/without anaemia and in preoperative patients due to undergo major elective surgery</w:t>
            </w:r>
          </w:p>
        </w:tc>
        <w:tc>
          <w:tcPr>
            <w:tcW w:w="1134" w:type="dxa"/>
          </w:tcPr>
          <w:p w14:paraId="15E01BAB" w14:textId="310F7BEE" w:rsidR="00DA554C" w:rsidRPr="00172898" w:rsidRDefault="00DA554C" w:rsidP="00340B99">
            <w:pPr>
              <w:spacing w:before="60" w:after="60"/>
              <w:jc w:val="center"/>
              <w:rPr>
                <w:rFonts w:ascii="Arial" w:hAnsi="Arial" w:cs="Arial"/>
              </w:rPr>
            </w:pPr>
            <w:r>
              <w:rPr>
                <w:rFonts w:ascii="Arial" w:hAnsi="Arial" w:cs="Arial"/>
              </w:rPr>
              <w:t>1</w:t>
            </w:r>
          </w:p>
        </w:tc>
        <w:tc>
          <w:tcPr>
            <w:tcW w:w="999" w:type="dxa"/>
          </w:tcPr>
          <w:p w14:paraId="519238B3" w14:textId="7981CA53" w:rsidR="00DA554C" w:rsidRPr="00172898" w:rsidRDefault="00DA554C" w:rsidP="00340B99">
            <w:pPr>
              <w:spacing w:before="60" w:after="60"/>
              <w:jc w:val="center"/>
              <w:rPr>
                <w:rFonts w:ascii="Arial" w:hAnsi="Arial" w:cs="Arial"/>
              </w:rPr>
            </w:pPr>
            <w:r>
              <w:rPr>
                <w:rFonts w:ascii="Arial" w:hAnsi="Arial" w:cs="Arial"/>
              </w:rPr>
              <w:t>1</w:t>
            </w:r>
          </w:p>
        </w:tc>
        <w:tc>
          <w:tcPr>
            <w:tcW w:w="1276" w:type="dxa"/>
          </w:tcPr>
          <w:p w14:paraId="7196131A" w14:textId="180CF612" w:rsidR="00DA554C" w:rsidRPr="00172898" w:rsidRDefault="00DA554C" w:rsidP="00340B99">
            <w:pPr>
              <w:spacing w:before="60" w:after="60"/>
              <w:jc w:val="center"/>
              <w:rPr>
                <w:rFonts w:ascii="Arial" w:hAnsi="Arial" w:cs="Arial"/>
              </w:rPr>
            </w:pPr>
          </w:p>
        </w:tc>
      </w:tr>
      <w:tr w:rsidR="00DA554C" w:rsidRPr="00172898" w14:paraId="702A7F45" w14:textId="77777777" w:rsidTr="00340B99">
        <w:tc>
          <w:tcPr>
            <w:tcW w:w="6091" w:type="dxa"/>
          </w:tcPr>
          <w:p w14:paraId="161ADC68" w14:textId="7B41AFA0" w:rsidR="00DA554C" w:rsidRPr="00C00E64" w:rsidRDefault="00DA554C" w:rsidP="00C00E64">
            <w:pPr>
              <w:pStyle w:val="ListParagraph"/>
              <w:numPr>
                <w:ilvl w:val="0"/>
                <w:numId w:val="40"/>
              </w:numPr>
              <w:spacing w:after="0" w:line="240" w:lineRule="auto"/>
              <w:ind w:left="714" w:hanging="357"/>
              <w:rPr>
                <w:rFonts w:ascii="Arial" w:eastAsia="Calibri" w:hAnsi="Arial" w:cs="Arial"/>
              </w:rPr>
            </w:pPr>
            <w:r w:rsidRPr="00C00E64">
              <w:rPr>
                <w:rFonts w:ascii="Arial" w:eastAsia="Calibri" w:hAnsi="Arial" w:cs="Arial"/>
              </w:rPr>
              <w:t>Evaluate and interpret FBC, iron studies and CRP to assess adequacy of iron stores in preoperative patients due to undergo major elective surgery</w:t>
            </w:r>
          </w:p>
        </w:tc>
        <w:tc>
          <w:tcPr>
            <w:tcW w:w="1134" w:type="dxa"/>
          </w:tcPr>
          <w:p w14:paraId="1F864A77" w14:textId="6DE3552A" w:rsidR="00DA554C" w:rsidRPr="00172898" w:rsidRDefault="00DA554C" w:rsidP="00340B99">
            <w:pPr>
              <w:spacing w:before="60" w:after="60"/>
              <w:jc w:val="center"/>
              <w:rPr>
                <w:rFonts w:ascii="Arial" w:hAnsi="Arial" w:cs="Arial"/>
              </w:rPr>
            </w:pPr>
          </w:p>
        </w:tc>
        <w:tc>
          <w:tcPr>
            <w:tcW w:w="999" w:type="dxa"/>
          </w:tcPr>
          <w:p w14:paraId="7DE3720C" w14:textId="04489815" w:rsidR="00DA554C" w:rsidRPr="00172898" w:rsidRDefault="00DA554C" w:rsidP="00340B99">
            <w:pPr>
              <w:spacing w:before="60" w:after="60"/>
              <w:jc w:val="center"/>
              <w:rPr>
                <w:rFonts w:ascii="Arial" w:hAnsi="Arial" w:cs="Arial"/>
              </w:rPr>
            </w:pPr>
            <w:r>
              <w:rPr>
                <w:rFonts w:ascii="Arial" w:hAnsi="Arial" w:cs="Arial"/>
              </w:rPr>
              <w:t>1</w:t>
            </w:r>
          </w:p>
        </w:tc>
        <w:tc>
          <w:tcPr>
            <w:tcW w:w="1276" w:type="dxa"/>
          </w:tcPr>
          <w:p w14:paraId="199B26C1" w14:textId="2A9803E6" w:rsidR="00DA554C" w:rsidRPr="00172898" w:rsidRDefault="00DA554C" w:rsidP="00340B99">
            <w:pPr>
              <w:spacing w:before="60" w:after="60"/>
              <w:jc w:val="center"/>
              <w:rPr>
                <w:rFonts w:ascii="Arial" w:hAnsi="Arial" w:cs="Arial"/>
              </w:rPr>
            </w:pPr>
            <w:r>
              <w:rPr>
                <w:rFonts w:ascii="Arial" w:hAnsi="Arial" w:cs="Arial"/>
              </w:rPr>
              <w:t>1</w:t>
            </w:r>
          </w:p>
        </w:tc>
      </w:tr>
      <w:tr w:rsidR="00DA554C" w:rsidRPr="00172898" w14:paraId="759E9C1F" w14:textId="77777777" w:rsidTr="00340B99">
        <w:tc>
          <w:tcPr>
            <w:tcW w:w="6091" w:type="dxa"/>
          </w:tcPr>
          <w:p w14:paraId="29616D02" w14:textId="168C550A" w:rsidR="00DA554C" w:rsidRPr="00C00E64" w:rsidRDefault="00DA554C" w:rsidP="00C00E64">
            <w:pPr>
              <w:pStyle w:val="ListParagraph"/>
              <w:numPr>
                <w:ilvl w:val="0"/>
                <w:numId w:val="40"/>
              </w:numPr>
              <w:spacing w:after="0" w:line="240" w:lineRule="auto"/>
              <w:ind w:left="714" w:hanging="357"/>
              <w:rPr>
                <w:rFonts w:ascii="Arial" w:eastAsia="Calibri" w:hAnsi="Arial" w:cs="Arial"/>
              </w:rPr>
            </w:pPr>
            <w:r w:rsidRPr="00C00E64">
              <w:rPr>
                <w:rFonts w:ascii="Arial" w:eastAsia="Calibri" w:hAnsi="Arial" w:cs="Arial"/>
              </w:rPr>
              <w:t xml:space="preserve">Manage preoperative iron deficiency and anaemia in alignment with the </w:t>
            </w:r>
            <w:r w:rsidR="00872924">
              <w:rPr>
                <w:rFonts w:ascii="Arial" w:eastAsia="Calibri" w:hAnsi="Arial" w:cs="Arial"/>
              </w:rPr>
              <w:t>‘</w:t>
            </w:r>
            <w:r w:rsidRPr="00C00E64">
              <w:rPr>
                <w:rFonts w:ascii="Arial" w:eastAsia="Calibri" w:hAnsi="Arial" w:cs="Arial"/>
              </w:rPr>
              <w:t>Preoperative haemoglobin assessment and optimisation template</w:t>
            </w:r>
            <w:r w:rsidR="00872924">
              <w:rPr>
                <w:rFonts w:ascii="Arial" w:eastAsia="Calibri" w:hAnsi="Arial" w:cs="Arial"/>
              </w:rPr>
              <w:t>’</w:t>
            </w:r>
            <w:r w:rsidRPr="00C00E64">
              <w:rPr>
                <w:rFonts w:ascii="Arial" w:eastAsia="Calibri" w:hAnsi="Arial" w:cs="Arial"/>
              </w:rPr>
              <w:t xml:space="preserve"> (as per </w:t>
            </w:r>
            <w:r w:rsidR="00340B99" w:rsidRPr="00D72EC2">
              <w:rPr>
                <w:rFonts w:ascii="Arial" w:eastAsia="Calibri" w:hAnsi="Arial" w:cs="Arial"/>
                <w:i/>
                <w:iCs/>
              </w:rPr>
              <w:t>PBM</w:t>
            </w:r>
            <w:r w:rsidRPr="00D72EC2">
              <w:rPr>
                <w:rFonts w:ascii="Arial" w:eastAsia="Calibri" w:hAnsi="Arial" w:cs="Arial"/>
                <w:i/>
                <w:iCs/>
              </w:rPr>
              <w:t xml:space="preserve"> </w:t>
            </w:r>
            <w:r w:rsidR="00340B99" w:rsidRPr="00D72EC2">
              <w:rPr>
                <w:rFonts w:ascii="Arial" w:eastAsia="Calibri" w:hAnsi="Arial" w:cs="Arial"/>
                <w:i/>
                <w:iCs/>
              </w:rPr>
              <w:t>guidelines</w:t>
            </w:r>
            <w:r w:rsidR="00340B99">
              <w:rPr>
                <w:rFonts w:ascii="Arial" w:eastAsia="Calibri" w:hAnsi="Arial" w:cs="Arial"/>
                <w:i/>
                <w:iCs/>
              </w:rPr>
              <w:t xml:space="preserve"> m</w:t>
            </w:r>
            <w:r w:rsidR="00340B99" w:rsidRPr="00D72EC2">
              <w:rPr>
                <w:rFonts w:ascii="Arial" w:eastAsia="Calibri" w:hAnsi="Arial" w:cs="Arial"/>
                <w:i/>
                <w:iCs/>
              </w:rPr>
              <w:t xml:space="preserve">odule </w:t>
            </w:r>
            <w:r w:rsidRPr="00D72EC2">
              <w:rPr>
                <w:rFonts w:ascii="Arial" w:eastAsia="Calibri" w:hAnsi="Arial" w:cs="Arial"/>
                <w:i/>
                <w:iCs/>
              </w:rPr>
              <w:t>2</w:t>
            </w:r>
            <w:r w:rsidR="00340B99">
              <w:rPr>
                <w:rFonts w:ascii="Arial" w:eastAsia="Calibri" w:hAnsi="Arial" w:cs="Arial"/>
                <w:i/>
                <w:iCs/>
              </w:rPr>
              <w:t>:</w:t>
            </w:r>
            <w:r w:rsidRPr="00D72EC2">
              <w:rPr>
                <w:rFonts w:ascii="Arial" w:eastAsia="Calibri" w:hAnsi="Arial" w:cs="Arial"/>
                <w:i/>
                <w:iCs/>
              </w:rPr>
              <w:t xml:space="preserve"> </w:t>
            </w:r>
            <w:r w:rsidR="00340B99" w:rsidRPr="00D72EC2">
              <w:rPr>
                <w:rFonts w:ascii="Arial" w:eastAsia="Calibri" w:hAnsi="Arial" w:cs="Arial"/>
                <w:i/>
                <w:iCs/>
              </w:rPr>
              <w:t>p</w:t>
            </w:r>
            <w:r w:rsidR="00340B99">
              <w:rPr>
                <w:rFonts w:ascii="Arial" w:eastAsia="Calibri" w:hAnsi="Arial" w:cs="Arial"/>
                <w:i/>
                <w:iCs/>
              </w:rPr>
              <w:t>eri</w:t>
            </w:r>
            <w:r w:rsidR="00340B99" w:rsidRPr="00D72EC2">
              <w:rPr>
                <w:rFonts w:ascii="Arial" w:eastAsia="Calibri" w:hAnsi="Arial" w:cs="Arial"/>
                <w:i/>
                <w:iCs/>
              </w:rPr>
              <w:t>operative</w:t>
            </w:r>
            <w:r w:rsidRPr="00C00E64">
              <w:rPr>
                <w:rFonts w:ascii="Arial" w:eastAsia="Calibri" w:hAnsi="Arial" w:cs="Arial"/>
              </w:rPr>
              <w:t>)</w:t>
            </w:r>
            <w:r w:rsidR="00340B99">
              <w:rPr>
                <w:rFonts w:ascii="Arial" w:eastAsia="Calibri" w:hAnsi="Arial" w:cs="Arial"/>
              </w:rPr>
              <w:t xml:space="preserve"> </w:t>
            </w:r>
          </w:p>
        </w:tc>
        <w:tc>
          <w:tcPr>
            <w:tcW w:w="1134" w:type="dxa"/>
          </w:tcPr>
          <w:p w14:paraId="199FB1C8" w14:textId="640916D0" w:rsidR="00DA554C" w:rsidRPr="00172898" w:rsidRDefault="00DA554C" w:rsidP="00340B99">
            <w:pPr>
              <w:spacing w:before="60" w:after="60"/>
              <w:jc w:val="center"/>
              <w:rPr>
                <w:rFonts w:ascii="Arial" w:hAnsi="Arial" w:cs="Arial"/>
              </w:rPr>
            </w:pPr>
          </w:p>
        </w:tc>
        <w:tc>
          <w:tcPr>
            <w:tcW w:w="999" w:type="dxa"/>
          </w:tcPr>
          <w:p w14:paraId="1E740725" w14:textId="70A5D454" w:rsidR="00DA554C" w:rsidRPr="00172898" w:rsidRDefault="00DA554C" w:rsidP="00340B99">
            <w:pPr>
              <w:spacing w:before="60" w:after="60"/>
              <w:jc w:val="center"/>
              <w:rPr>
                <w:rFonts w:ascii="Arial" w:hAnsi="Arial" w:cs="Arial"/>
              </w:rPr>
            </w:pPr>
            <w:r>
              <w:rPr>
                <w:rFonts w:ascii="Arial" w:hAnsi="Arial" w:cs="Arial"/>
              </w:rPr>
              <w:t>1</w:t>
            </w:r>
          </w:p>
        </w:tc>
        <w:tc>
          <w:tcPr>
            <w:tcW w:w="1276" w:type="dxa"/>
          </w:tcPr>
          <w:p w14:paraId="6442E6D6" w14:textId="6B7BDEC8" w:rsidR="00DA554C" w:rsidRPr="00172898" w:rsidRDefault="00DA554C" w:rsidP="00340B99">
            <w:pPr>
              <w:spacing w:before="60" w:after="60"/>
              <w:jc w:val="center"/>
              <w:rPr>
                <w:rFonts w:ascii="Arial" w:hAnsi="Arial" w:cs="Arial"/>
              </w:rPr>
            </w:pPr>
            <w:r>
              <w:rPr>
                <w:rFonts w:ascii="Arial" w:hAnsi="Arial" w:cs="Arial"/>
              </w:rPr>
              <w:t>1</w:t>
            </w:r>
          </w:p>
        </w:tc>
      </w:tr>
      <w:tr w:rsidR="00C00E64" w:rsidRPr="00172898" w14:paraId="3451E54D" w14:textId="77777777" w:rsidTr="00340B99">
        <w:tc>
          <w:tcPr>
            <w:tcW w:w="6091" w:type="dxa"/>
          </w:tcPr>
          <w:p w14:paraId="5D402F6C" w14:textId="44981346" w:rsidR="00C00E64" w:rsidRPr="00B7294F" w:rsidRDefault="00C00E64" w:rsidP="00B7294F">
            <w:pPr>
              <w:rPr>
                <w:rFonts w:ascii="Arial" w:eastAsia="Calibri" w:hAnsi="Arial" w:cs="Arial"/>
              </w:rPr>
            </w:pPr>
            <w:r w:rsidRPr="00172898">
              <w:rPr>
                <w:rFonts w:ascii="Arial" w:hAnsi="Arial" w:cs="Arial"/>
                <w:b/>
              </w:rPr>
              <w:t>Please rate the degree to which your personal learning needs were met</w:t>
            </w:r>
          </w:p>
        </w:tc>
        <w:tc>
          <w:tcPr>
            <w:tcW w:w="1134" w:type="dxa"/>
          </w:tcPr>
          <w:p w14:paraId="02683315" w14:textId="77777777" w:rsidR="00C00E64" w:rsidRPr="00172898" w:rsidRDefault="00C00E64" w:rsidP="00340B99">
            <w:pPr>
              <w:spacing w:before="60" w:after="60"/>
              <w:jc w:val="center"/>
              <w:rPr>
                <w:rFonts w:ascii="Arial" w:hAnsi="Arial" w:cs="Arial"/>
              </w:rPr>
            </w:pPr>
          </w:p>
        </w:tc>
        <w:tc>
          <w:tcPr>
            <w:tcW w:w="999" w:type="dxa"/>
          </w:tcPr>
          <w:p w14:paraId="727C4EDE" w14:textId="104551C0" w:rsidR="00C00E64" w:rsidRDefault="00C00E64" w:rsidP="00340B99">
            <w:pPr>
              <w:spacing w:before="60" w:after="60"/>
              <w:jc w:val="center"/>
              <w:rPr>
                <w:rFonts w:ascii="Arial" w:hAnsi="Arial" w:cs="Arial"/>
              </w:rPr>
            </w:pPr>
            <w:r>
              <w:rPr>
                <w:rFonts w:ascii="Arial" w:hAnsi="Arial" w:cs="Arial"/>
              </w:rPr>
              <w:t>1</w:t>
            </w:r>
          </w:p>
        </w:tc>
        <w:tc>
          <w:tcPr>
            <w:tcW w:w="1276" w:type="dxa"/>
          </w:tcPr>
          <w:p w14:paraId="25EA9B3B" w14:textId="69A747B2" w:rsidR="00C00E64" w:rsidRDefault="00C00E64" w:rsidP="00340B99">
            <w:pPr>
              <w:spacing w:before="60" w:after="60"/>
              <w:jc w:val="center"/>
              <w:rPr>
                <w:rFonts w:ascii="Arial" w:hAnsi="Arial" w:cs="Arial"/>
              </w:rPr>
            </w:pPr>
            <w:r>
              <w:rPr>
                <w:rFonts w:ascii="Arial" w:hAnsi="Arial" w:cs="Arial"/>
              </w:rPr>
              <w:t>1</w:t>
            </w:r>
          </w:p>
        </w:tc>
      </w:tr>
      <w:tr w:rsidR="00C00E64" w:rsidRPr="00172898" w14:paraId="6765197C" w14:textId="77777777" w:rsidTr="00340B99">
        <w:tc>
          <w:tcPr>
            <w:tcW w:w="6091" w:type="dxa"/>
          </w:tcPr>
          <w:p w14:paraId="7DCFF30D" w14:textId="75DA537F" w:rsidR="00C00E64" w:rsidRPr="00B7294F" w:rsidRDefault="00C00E64" w:rsidP="00B7294F">
            <w:pPr>
              <w:rPr>
                <w:rFonts w:ascii="Arial" w:eastAsia="Calibri" w:hAnsi="Arial" w:cs="Arial"/>
              </w:rPr>
            </w:pPr>
            <w:r w:rsidRPr="00172898">
              <w:rPr>
                <w:rFonts w:ascii="Arial" w:hAnsi="Arial" w:cs="Arial"/>
                <w:b/>
              </w:rPr>
              <w:t>Please rate the degree to which this activity is relevant to your practice</w:t>
            </w:r>
          </w:p>
        </w:tc>
        <w:tc>
          <w:tcPr>
            <w:tcW w:w="1134" w:type="dxa"/>
          </w:tcPr>
          <w:p w14:paraId="2DAC3B80" w14:textId="77777777" w:rsidR="00C00E64" w:rsidRPr="00172898" w:rsidRDefault="00C00E64" w:rsidP="00340B99">
            <w:pPr>
              <w:spacing w:before="60" w:after="60"/>
              <w:jc w:val="center"/>
              <w:rPr>
                <w:rFonts w:ascii="Arial" w:hAnsi="Arial" w:cs="Arial"/>
              </w:rPr>
            </w:pPr>
          </w:p>
        </w:tc>
        <w:tc>
          <w:tcPr>
            <w:tcW w:w="999" w:type="dxa"/>
          </w:tcPr>
          <w:p w14:paraId="4373680E" w14:textId="554B686C" w:rsidR="00C00E64" w:rsidRDefault="00C00E64" w:rsidP="00340B99">
            <w:pPr>
              <w:spacing w:before="60" w:after="60"/>
              <w:jc w:val="center"/>
              <w:rPr>
                <w:rFonts w:ascii="Arial" w:hAnsi="Arial" w:cs="Arial"/>
              </w:rPr>
            </w:pPr>
            <w:r>
              <w:rPr>
                <w:rFonts w:ascii="Arial" w:hAnsi="Arial" w:cs="Arial"/>
              </w:rPr>
              <w:t>1</w:t>
            </w:r>
          </w:p>
        </w:tc>
        <w:tc>
          <w:tcPr>
            <w:tcW w:w="1276" w:type="dxa"/>
          </w:tcPr>
          <w:p w14:paraId="3D6BB0A9" w14:textId="2A4BF3D7" w:rsidR="00C00E64" w:rsidRDefault="00C00E64" w:rsidP="00340B99">
            <w:pPr>
              <w:spacing w:before="60" w:after="60"/>
              <w:jc w:val="center"/>
              <w:rPr>
                <w:rFonts w:ascii="Arial" w:hAnsi="Arial" w:cs="Arial"/>
              </w:rPr>
            </w:pPr>
            <w:r>
              <w:rPr>
                <w:rFonts w:ascii="Arial" w:hAnsi="Arial" w:cs="Arial"/>
              </w:rPr>
              <w:t>1</w:t>
            </w:r>
          </w:p>
        </w:tc>
      </w:tr>
    </w:tbl>
    <w:p w14:paraId="21E66C5F" w14:textId="7CEE8196" w:rsidR="00B7294F" w:rsidRDefault="00B7294F" w:rsidP="00D72EC2">
      <w:pPr>
        <w:pStyle w:val="DHHSbodyaftertablefigure"/>
      </w:pPr>
      <w:r>
        <w:t>One GP felt that they had become more aware of appropriate preoperative care for the patient and intends to communicate more with the surgeon involved</w:t>
      </w:r>
      <w:r w:rsidR="00FC62D3">
        <w:t>.</w:t>
      </w:r>
    </w:p>
    <w:p w14:paraId="2FA65BF7" w14:textId="3BF0C2EA" w:rsidR="00E01793" w:rsidRDefault="00E01793" w:rsidP="00E01793">
      <w:pPr>
        <w:pStyle w:val="Heading2"/>
      </w:pPr>
      <w:bookmarkStart w:id="9" w:name="_Toc48054055"/>
      <w:r>
        <w:t>Workshop</w:t>
      </w:r>
      <w:bookmarkEnd w:id="9"/>
    </w:p>
    <w:p w14:paraId="1C22D6EB" w14:textId="6B15FD1A" w:rsidR="00E01793" w:rsidRDefault="00E01793" w:rsidP="00E01793">
      <w:pPr>
        <w:pStyle w:val="DHHSbody"/>
      </w:pPr>
      <w:r>
        <w:t>To round out the audit</w:t>
      </w:r>
      <w:r w:rsidR="000E66A5">
        <w:t>,</w:t>
      </w:r>
      <w:r>
        <w:t xml:space="preserve"> </w:t>
      </w:r>
      <w:r w:rsidR="000E66A5">
        <w:t>we</w:t>
      </w:r>
      <w:r>
        <w:t xml:space="preserve"> planned to run a workshop specifically for GPs on anaemia management in primary care. This workshop was planned </w:t>
      </w:r>
      <w:r w:rsidR="000E66A5">
        <w:t>for</w:t>
      </w:r>
      <w:r>
        <w:t xml:space="preserve"> </w:t>
      </w:r>
      <w:r w:rsidR="000E66A5">
        <w:t xml:space="preserve">metropolitan </w:t>
      </w:r>
      <w:r>
        <w:t>Melbourne in October 2019</w:t>
      </w:r>
      <w:r w:rsidR="000E66A5">
        <w:t>,</w:t>
      </w:r>
      <w:r>
        <w:t xml:space="preserve"> </w:t>
      </w:r>
      <w:r w:rsidR="000E66A5">
        <w:t xml:space="preserve">to be run </w:t>
      </w:r>
      <w:r>
        <w:t>by Lifeblood TPE unit (Appendix 6).</w:t>
      </w:r>
    </w:p>
    <w:p w14:paraId="7F9BB415" w14:textId="30FB5BD0" w:rsidR="00E01793" w:rsidRDefault="00E01793" w:rsidP="00E01793">
      <w:pPr>
        <w:pStyle w:val="DHHSbody"/>
      </w:pPr>
      <w:r>
        <w:t xml:space="preserve">The </w:t>
      </w:r>
      <w:r w:rsidR="007C6FBF">
        <w:t>T</w:t>
      </w:r>
      <w:r>
        <w:t>ransfus</w:t>
      </w:r>
      <w:r w:rsidR="004A2113">
        <w:t>E</w:t>
      </w:r>
      <w:r>
        <w:t xml:space="preserve">d workshop for GPs </w:t>
      </w:r>
      <w:r w:rsidR="000E66A5">
        <w:t>‘</w:t>
      </w:r>
      <w:r>
        <w:t>Anaemia in primary care</w:t>
      </w:r>
      <w:r w:rsidR="000E66A5">
        <w:t>’</w:t>
      </w:r>
      <w:r>
        <w:t xml:space="preserve"> was promoted through Lifeblood communications and through Victorian PHN newsletters. The workshop had been accredited for 40 Category 1 points </w:t>
      </w:r>
      <w:r w:rsidR="00DA554C">
        <w:t xml:space="preserve">(activity 162212) </w:t>
      </w:r>
      <w:r w:rsidR="00F45846">
        <w:t>and 12</w:t>
      </w:r>
      <w:r>
        <w:t xml:space="preserve"> Category 2 points </w:t>
      </w:r>
      <w:r w:rsidR="00DA554C">
        <w:t xml:space="preserve">(activity 162220) </w:t>
      </w:r>
      <w:r>
        <w:t>in the RACGP QI</w:t>
      </w:r>
      <w:r w:rsidR="00872924">
        <w:t xml:space="preserve"> and </w:t>
      </w:r>
      <w:r>
        <w:t xml:space="preserve">CPD 2017–2019 </w:t>
      </w:r>
      <w:r w:rsidR="000E66A5">
        <w:t>triennium</w:t>
      </w:r>
      <w:r>
        <w:t>.</w:t>
      </w:r>
    </w:p>
    <w:p w14:paraId="46DD5FDA" w14:textId="47FB6E52" w:rsidR="000267F9" w:rsidRDefault="00E01793" w:rsidP="00D72EC2">
      <w:pPr>
        <w:pStyle w:val="DHHSbody"/>
        <w:rPr>
          <w:bCs/>
          <w:color w:val="D50032"/>
          <w:sz w:val="44"/>
          <w:szCs w:val="44"/>
        </w:rPr>
      </w:pPr>
      <w:r>
        <w:t xml:space="preserve">Unfortunately, the workshop was cancelled due to very low registrations. </w:t>
      </w:r>
    </w:p>
    <w:p w14:paraId="35B30E41" w14:textId="3D599FE4" w:rsidR="00E01793" w:rsidRDefault="00E01793" w:rsidP="00E01793">
      <w:pPr>
        <w:pStyle w:val="Heading1"/>
      </w:pPr>
      <w:bookmarkStart w:id="10" w:name="_Toc48054056"/>
      <w:r>
        <w:lastRenderedPageBreak/>
        <w:t>Discussion</w:t>
      </w:r>
      <w:bookmarkEnd w:id="10"/>
    </w:p>
    <w:p w14:paraId="5E0DE49C" w14:textId="40A46E03" w:rsidR="00D73E37" w:rsidRDefault="00D73E37" w:rsidP="00E01793">
      <w:pPr>
        <w:pStyle w:val="DHHSbody"/>
      </w:pPr>
      <w:r>
        <w:t>The very limited response from GPs indicate</w:t>
      </w:r>
      <w:r w:rsidR="000E66A5">
        <w:t>s</w:t>
      </w:r>
      <w:r>
        <w:t xml:space="preserve"> there is work to be done on improving the process in preparing patients for elective surgery by assessing and managing preoperative anaemia, where appropriate. </w:t>
      </w:r>
    </w:p>
    <w:p w14:paraId="3136A835" w14:textId="54913AF5" w:rsidR="00E01793" w:rsidRDefault="00E01793" w:rsidP="00E01793">
      <w:pPr>
        <w:pStyle w:val="DHHSbody"/>
      </w:pPr>
      <w:r>
        <w:t xml:space="preserve">This was the first time Blood Matters had sought to work directly with GPs. The expertise of those with prior experience working as a GP and those currently active in GP education were involved to provide guidance to best implement the audit. Unfortunately, despite using GP communication channels </w:t>
      </w:r>
      <w:r w:rsidR="00533059">
        <w:t xml:space="preserve">and offering QI </w:t>
      </w:r>
      <w:r w:rsidR="00872924">
        <w:t xml:space="preserve">and </w:t>
      </w:r>
      <w:r w:rsidR="00533059">
        <w:t xml:space="preserve">CPD points, </w:t>
      </w:r>
      <w:r>
        <w:t>we were unable to engage the interest of GPs</w:t>
      </w:r>
      <w:r w:rsidR="00533059">
        <w:t xml:space="preserve"> to participate in the audit or the workshop</w:t>
      </w:r>
      <w:r>
        <w:t>.</w:t>
      </w:r>
    </w:p>
    <w:p w14:paraId="18DFD5DE" w14:textId="2B1BE310" w:rsidR="00E01793" w:rsidRDefault="00E01793" w:rsidP="00E01793">
      <w:pPr>
        <w:pStyle w:val="DHHSbody"/>
      </w:pPr>
      <w:r>
        <w:t xml:space="preserve">It is difficult to know at what point disengagement occurred. </w:t>
      </w:r>
      <w:r w:rsidR="00533059">
        <w:t xml:space="preserve">We are unable to determine the number of GPs </w:t>
      </w:r>
      <w:r w:rsidR="00872924">
        <w:t xml:space="preserve">who </w:t>
      </w:r>
      <w:r>
        <w:t xml:space="preserve">accessed and read the PHN newsletters, </w:t>
      </w:r>
      <w:r w:rsidR="00533059">
        <w:t>and if they did</w:t>
      </w:r>
      <w:r w:rsidR="00872924">
        <w:t>,</w:t>
      </w:r>
      <w:r w:rsidR="00533059">
        <w:t xml:space="preserve"> </w:t>
      </w:r>
      <w:r w:rsidR="007C6FBF">
        <w:t xml:space="preserve">whether the audit topic was </w:t>
      </w:r>
      <w:r>
        <w:t xml:space="preserve">perceived </w:t>
      </w:r>
      <w:r w:rsidR="00533059">
        <w:t xml:space="preserve">as </w:t>
      </w:r>
      <w:r>
        <w:t>low relevance to their practice.</w:t>
      </w:r>
    </w:p>
    <w:p w14:paraId="5E1C6C9B" w14:textId="2DD5BC24" w:rsidR="00533059" w:rsidRDefault="00533059" w:rsidP="00E01793">
      <w:pPr>
        <w:pStyle w:val="DHHSbody"/>
      </w:pPr>
      <w:r>
        <w:t>The evaluation from the participating GPs was positive</w:t>
      </w:r>
      <w:r w:rsidR="00340B99">
        <w:t>,</w:t>
      </w:r>
      <w:r>
        <w:t xml:space="preserve"> and the audit increased their awareness of preoperative care</w:t>
      </w:r>
      <w:r w:rsidR="00561EF0">
        <w:t>,</w:t>
      </w:r>
      <w:r>
        <w:t xml:space="preserve"> the importance of test follow up and communication with surgeons.</w:t>
      </w:r>
    </w:p>
    <w:p w14:paraId="037F50AD" w14:textId="2A1EABE2" w:rsidR="00E01793" w:rsidRDefault="00533059" w:rsidP="00E01793">
      <w:pPr>
        <w:pStyle w:val="DHHSbody"/>
      </w:pPr>
      <w:r>
        <w:t>Between 2015 and 2017</w:t>
      </w:r>
      <w:r w:rsidR="00872924">
        <w:t>,</w:t>
      </w:r>
      <w:r>
        <w:t xml:space="preserve"> t</w:t>
      </w:r>
      <w:r w:rsidR="00E01793">
        <w:t xml:space="preserve">he National Patient Blood Management Collaborative took place, and supported the development and trialling of strategies in clinical practice and health services to enhance PBM and the effective use of the NBA’s </w:t>
      </w:r>
      <w:r w:rsidR="00F50668" w:rsidRPr="00D72EC2">
        <w:rPr>
          <w:i/>
          <w:iCs/>
        </w:rPr>
        <w:t>PBM g</w:t>
      </w:r>
      <w:r w:rsidR="00E01793" w:rsidRPr="00D72EC2">
        <w:rPr>
          <w:i/>
          <w:iCs/>
        </w:rPr>
        <w:t>uidelines</w:t>
      </w:r>
      <w:r w:rsidR="00E01793">
        <w:t>. It was expected that a collaboration between GPs and public and private hospitals would occur. Health services have reported on their achievements in engaging GPs (ACSQHC 2017)</w:t>
      </w:r>
      <w:r w:rsidR="00F50668">
        <w:t>, and it is somewhat unexpected that some of these GPs did not contribute to the audit to highlight their practice.</w:t>
      </w:r>
    </w:p>
    <w:p w14:paraId="4646B292" w14:textId="6327458F" w:rsidR="00E01793" w:rsidRPr="00E01793" w:rsidRDefault="00F50668" w:rsidP="00E01793">
      <w:pPr>
        <w:pStyle w:val="DHHSbody"/>
      </w:pPr>
      <w:r>
        <w:t>Due to the disappointing engagement</w:t>
      </w:r>
      <w:r w:rsidR="00340B99">
        <w:t>,</w:t>
      </w:r>
      <w:r>
        <w:t xml:space="preserve"> </w:t>
      </w:r>
      <w:r w:rsidR="00E01793">
        <w:t xml:space="preserve">Blood Matters will work with the </w:t>
      </w:r>
      <w:r>
        <w:t xml:space="preserve">Blood Matters </w:t>
      </w:r>
      <w:r w:rsidR="00E01793">
        <w:t>Advisory Committee</w:t>
      </w:r>
      <w:r>
        <w:t xml:space="preserve"> and Lifeblood TPE unit</w:t>
      </w:r>
      <w:r w:rsidR="00E01793">
        <w:t xml:space="preserve"> to consider options of how to engage further with </w:t>
      </w:r>
      <w:r w:rsidR="00340B99">
        <w:t>GPs</w:t>
      </w:r>
      <w:r w:rsidR="00E01793">
        <w:t>.</w:t>
      </w:r>
    </w:p>
    <w:p w14:paraId="213D6DF2" w14:textId="77777777" w:rsidR="000267F9" w:rsidRDefault="000267F9">
      <w:pPr>
        <w:rPr>
          <w:rFonts w:ascii="Arial" w:hAnsi="Arial"/>
          <w:bCs/>
          <w:color w:val="D50032"/>
          <w:sz w:val="44"/>
          <w:szCs w:val="44"/>
        </w:rPr>
      </w:pPr>
      <w:r>
        <w:br w:type="page"/>
      </w:r>
    </w:p>
    <w:p w14:paraId="4CAFADC3" w14:textId="77777777" w:rsidR="00E01793" w:rsidRDefault="00E01793" w:rsidP="00E01793">
      <w:pPr>
        <w:pStyle w:val="Heading1"/>
      </w:pPr>
      <w:bookmarkStart w:id="11" w:name="_Toc48054057"/>
      <w:r>
        <w:lastRenderedPageBreak/>
        <w:t>References:</w:t>
      </w:r>
      <w:bookmarkEnd w:id="11"/>
    </w:p>
    <w:p w14:paraId="0AA9EB4F" w14:textId="0038BC02" w:rsidR="00E01793" w:rsidRDefault="00E01793" w:rsidP="00E01793">
      <w:pPr>
        <w:pStyle w:val="DHHSbody"/>
      </w:pPr>
      <w:r>
        <w:t>Australian Commission of Safety and Quality in Health Care</w:t>
      </w:r>
      <w:r w:rsidR="00340B99">
        <w:t xml:space="preserve"> 2020,</w:t>
      </w:r>
      <w:r>
        <w:t xml:space="preserve"> </w:t>
      </w:r>
      <w:r w:rsidR="00340B99">
        <w:t>‘</w:t>
      </w:r>
      <w:r>
        <w:t>National Patient Blood Management Collaborative (the Collaborative</w:t>
      </w:r>
      <w:r w:rsidR="00340B99">
        <w:t>)’, &lt;</w:t>
      </w:r>
      <w:r w:rsidR="00340B99" w:rsidRPr="00D72EC2">
        <w:t>https://www.safetyandquality.gov.au/national-priorities/pbm-collaborative/</w:t>
      </w:r>
      <w:r w:rsidR="00340B99">
        <w:t>&gt;.</w:t>
      </w:r>
    </w:p>
    <w:p w14:paraId="33B4E488" w14:textId="6AC122DC" w:rsidR="00E01793" w:rsidRDefault="00E01793" w:rsidP="00E01793">
      <w:pPr>
        <w:pStyle w:val="DHHSbody"/>
      </w:pPr>
      <w:r>
        <w:t>Australian Commission on Safety and Quality in Health Care</w:t>
      </w:r>
      <w:r w:rsidR="00340B99">
        <w:t xml:space="preserve"> 2017,</w:t>
      </w:r>
      <w:r>
        <w:t xml:space="preserve"> </w:t>
      </w:r>
      <w:r w:rsidRPr="00D72EC2">
        <w:rPr>
          <w:i/>
          <w:iCs/>
        </w:rPr>
        <w:t xml:space="preserve">Resources for </w:t>
      </w:r>
      <w:r w:rsidR="00340B99">
        <w:rPr>
          <w:i/>
          <w:iCs/>
        </w:rPr>
        <w:t>i</w:t>
      </w:r>
      <w:r w:rsidR="00340B99" w:rsidRPr="00D72EC2">
        <w:rPr>
          <w:i/>
          <w:iCs/>
        </w:rPr>
        <w:t xml:space="preserve">mproved </w:t>
      </w:r>
      <w:r w:rsidR="00340B99">
        <w:rPr>
          <w:i/>
          <w:iCs/>
        </w:rPr>
        <w:t>p</w:t>
      </w:r>
      <w:r w:rsidR="00340B99" w:rsidRPr="00D72EC2">
        <w:rPr>
          <w:i/>
          <w:iCs/>
        </w:rPr>
        <w:t xml:space="preserve">atient </w:t>
      </w:r>
      <w:r w:rsidR="00340B99">
        <w:rPr>
          <w:i/>
          <w:iCs/>
        </w:rPr>
        <w:t>b</w:t>
      </w:r>
      <w:r w:rsidR="00340B99" w:rsidRPr="00D72EC2">
        <w:rPr>
          <w:i/>
          <w:iCs/>
        </w:rPr>
        <w:t xml:space="preserve">lood </w:t>
      </w:r>
      <w:r w:rsidR="00340B99">
        <w:rPr>
          <w:i/>
          <w:iCs/>
        </w:rPr>
        <w:t>m</w:t>
      </w:r>
      <w:r w:rsidR="00340B99" w:rsidRPr="00D72EC2">
        <w:rPr>
          <w:i/>
          <w:iCs/>
        </w:rPr>
        <w:t>anagement</w:t>
      </w:r>
      <w:r>
        <w:t>, ACSQHC</w:t>
      </w:r>
      <w:r w:rsidR="00340B99">
        <w:t>, Sydney,</w:t>
      </w:r>
      <w:r>
        <w:t xml:space="preserve"> &lt;https://www.safetyandquality.gov.au/sites/default/files/migrated/National-Patient-Blood-Management-Collaborative-NPBMC-Resource-Booklet-November-2017.pdf&gt;</w:t>
      </w:r>
      <w:r w:rsidR="00340B99">
        <w:t>.</w:t>
      </w:r>
    </w:p>
    <w:p w14:paraId="3DAFFD0A" w14:textId="04E7D547" w:rsidR="00E01793" w:rsidRDefault="00E01793" w:rsidP="00E01793">
      <w:pPr>
        <w:pStyle w:val="DHHSbody"/>
      </w:pPr>
      <w:r>
        <w:t>Froessler B, Rueger AM, Connolly MP</w:t>
      </w:r>
      <w:r w:rsidR="00340B99">
        <w:t xml:space="preserve"> 2018,</w:t>
      </w:r>
      <w:r>
        <w:t xml:space="preserve"> </w:t>
      </w:r>
      <w:r w:rsidR="00340B99">
        <w:t>‘</w:t>
      </w:r>
      <w:r>
        <w:t>Assessing the costs and benefits of perioperative iron deficiency anemia management with ferric carboxymaltose in Germany</w:t>
      </w:r>
      <w:r w:rsidR="00340B99">
        <w:t>’,</w:t>
      </w:r>
      <w:r>
        <w:t xml:space="preserve"> </w:t>
      </w:r>
      <w:r w:rsidRPr="00D72EC2">
        <w:rPr>
          <w:i/>
          <w:iCs/>
        </w:rPr>
        <w:t>Risk Manag Healthc Policy</w:t>
      </w:r>
      <w:r w:rsidR="00340B99">
        <w:t xml:space="preserve">, vol. </w:t>
      </w:r>
      <w:r>
        <w:t>11</w:t>
      </w:r>
      <w:r w:rsidR="00340B99">
        <w:t xml:space="preserve">, pp. </w:t>
      </w:r>
      <w:r>
        <w:t>77</w:t>
      </w:r>
      <w:r w:rsidR="00340B99">
        <w:t>–</w:t>
      </w:r>
      <w:r>
        <w:t>82.</w:t>
      </w:r>
    </w:p>
    <w:p w14:paraId="238B34FD" w14:textId="22E2F6D6" w:rsidR="00E01793" w:rsidRDefault="00E01793" w:rsidP="00E01793">
      <w:pPr>
        <w:pStyle w:val="DHHSbody"/>
      </w:pPr>
      <w:r>
        <w:t>Kassebaum NJMD</w:t>
      </w:r>
      <w:r w:rsidR="00340B99">
        <w:t xml:space="preserve"> 2016,</w:t>
      </w:r>
      <w:r>
        <w:t xml:space="preserve"> </w:t>
      </w:r>
      <w:r w:rsidR="00340B99">
        <w:t>‘</w:t>
      </w:r>
      <w:r>
        <w:t xml:space="preserve">The </w:t>
      </w:r>
      <w:r w:rsidR="00340B99">
        <w:t xml:space="preserve">global burden of anemia’, </w:t>
      </w:r>
      <w:r w:rsidRPr="00D72EC2">
        <w:rPr>
          <w:i/>
          <w:iCs/>
        </w:rPr>
        <w:t>Hematology/Oncology Clinics of North America</w:t>
      </w:r>
      <w:r w:rsidR="00340B99">
        <w:t xml:space="preserve">, vol. </w:t>
      </w:r>
      <w:r>
        <w:t>30</w:t>
      </w:r>
      <w:r w:rsidR="00340B99">
        <w:t xml:space="preserve">, no. </w:t>
      </w:r>
      <w:r>
        <w:t>2</w:t>
      </w:r>
      <w:r w:rsidR="00340B99">
        <w:t xml:space="preserve">, pp. </w:t>
      </w:r>
      <w:r>
        <w:t>247</w:t>
      </w:r>
      <w:r w:rsidR="00340B99">
        <w:t>–</w:t>
      </w:r>
      <w:r>
        <w:t>308.</w:t>
      </w:r>
    </w:p>
    <w:p w14:paraId="2E7C84E9" w14:textId="4A58D1EB" w:rsidR="00E01793" w:rsidRDefault="00E01793" w:rsidP="00E01793">
      <w:pPr>
        <w:pStyle w:val="DHHSbody"/>
      </w:pPr>
      <w:r>
        <w:t xml:space="preserve">Kassebaum NJ, Jasrasaria R, Naghavi M, Wulf SK, Johns N, Lozano R, et al. </w:t>
      </w:r>
      <w:r w:rsidR="00066127">
        <w:t>2014, ‘</w:t>
      </w:r>
      <w:r>
        <w:t>A systematic analysis of global anemia burden from 1990 to 2010</w:t>
      </w:r>
      <w:r w:rsidR="00066127">
        <w:t>’,</w:t>
      </w:r>
      <w:r>
        <w:t xml:space="preserve"> </w:t>
      </w:r>
      <w:r w:rsidRPr="00D72EC2">
        <w:rPr>
          <w:i/>
          <w:iCs/>
        </w:rPr>
        <w:t>Blood</w:t>
      </w:r>
      <w:r w:rsidR="00066127">
        <w:t xml:space="preserve">, vol. </w:t>
      </w:r>
      <w:r>
        <w:t>123</w:t>
      </w:r>
      <w:r w:rsidR="00066127">
        <w:t xml:space="preserve">, no. </w:t>
      </w:r>
      <w:r>
        <w:t>5</w:t>
      </w:r>
      <w:r w:rsidR="00066127">
        <w:t xml:space="preserve">, pp. </w:t>
      </w:r>
      <w:r>
        <w:t>615</w:t>
      </w:r>
      <w:r w:rsidR="00066127">
        <w:t>–</w:t>
      </w:r>
      <w:r>
        <w:t>24.</w:t>
      </w:r>
    </w:p>
    <w:p w14:paraId="7A039E8E" w14:textId="37BBCEED" w:rsidR="00E01793" w:rsidRDefault="00E01793" w:rsidP="00E01793">
      <w:pPr>
        <w:pStyle w:val="DHHSbody"/>
      </w:pPr>
      <w:r>
        <w:t>Le Calvé S</w:t>
      </w:r>
      <w:r w:rsidR="00066127">
        <w:t>,</w:t>
      </w:r>
      <w:r>
        <w:t xml:space="preserve"> Somme</w:t>
      </w:r>
      <w:r w:rsidR="00066127">
        <w:t xml:space="preserve"> D, </w:t>
      </w:r>
      <w:r>
        <w:t>Prud’homm</w:t>
      </w:r>
      <w:r w:rsidR="00066127">
        <w:t xml:space="preserve"> J</w:t>
      </w:r>
      <w:r>
        <w:t xml:space="preserve"> </w:t>
      </w:r>
      <w:r w:rsidR="00066127">
        <w:t xml:space="preserve">and </w:t>
      </w:r>
      <w:r>
        <w:t>Corvol</w:t>
      </w:r>
      <w:r w:rsidR="00066127">
        <w:t xml:space="preserve"> </w:t>
      </w:r>
      <w:r>
        <w:t>A 2017</w:t>
      </w:r>
      <w:r w:rsidR="00066127">
        <w:t>,</w:t>
      </w:r>
      <w:r>
        <w:t xml:space="preserve"> </w:t>
      </w:r>
      <w:r w:rsidR="00066127">
        <w:t>‘</w:t>
      </w:r>
      <w:r>
        <w:t xml:space="preserve">Blood transfusion in elderly patients with chronic anemia: </w:t>
      </w:r>
      <w:r w:rsidR="00066127">
        <w:t xml:space="preserve">a </w:t>
      </w:r>
      <w:r>
        <w:t>qualitative analysis of the general practitioners' attitudes</w:t>
      </w:r>
      <w:r w:rsidR="00066127">
        <w:t xml:space="preserve">’, </w:t>
      </w:r>
      <w:r w:rsidRPr="00D72EC2">
        <w:rPr>
          <w:i/>
          <w:iCs/>
        </w:rPr>
        <w:t>BMC Family Practice</w:t>
      </w:r>
      <w:r w:rsidR="00066127">
        <w:t xml:space="preserve">, vol. </w:t>
      </w:r>
      <w:r>
        <w:t>18</w:t>
      </w:r>
      <w:r w:rsidR="00066127">
        <w:t>, doi:</w:t>
      </w:r>
      <w:r>
        <w:t>10.1186/s12875-017-0647-8.</w:t>
      </w:r>
    </w:p>
    <w:p w14:paraId="77E6AB76" w14:textId="2DBA87A6" w:rsidR="00E01793" w:rsidRDefault="00E01793" w:rsidP="00E01793">
      <w:pPr>
        <w:pStyle w:val="DHHSbody"/>
      </w:pPr>
      <w:r>
        <w:t>Marik PE, Corwin HL</w:t>
      </w:r>
      <w:r w:rsidR="00066127">
        <w:t xml:space="preserve"> 2008,</w:t>
      </w:r>
      <w:r>
        <w:t xml:space="preserve"> </w:t>
      </w:r>
      <w:r w:rsidR="00066127">
        <w:t>‘</w:t>
      </w:r>
      <w:r>
        <w:t>Efficacy of red blood cell transfusion in the critically ill: a systematic review of the literature</w:t>
      </w:r>
      <w:r w:rsidR="00066127">
        <w:t xml:space="preserve">’, </w:t>
      </w:r>
      <w:r w:rsidRPr="00D72EC2">
        <w:rPr>
          <w:i/>
          <w:iCs/>
        </w:rPr>
        <w:t>Crit Care Med</w:t>
      </w:r>
      <w:r>
        <w:t>.</w:t>
      </w:r>
      <w:r w:rsidR="00066127">
        <w:t xml:space="preserve">, vol. </w:t>
      </w:r>
      <w:r>
        <w:t>36</w:t>
      </w:r>
      <w:r w:rsidR="00066127">
        <w:t xml:space="preserve">, no. </w:t>
      </w:r>
      <w:r>
        <w:t>9</w:t>
      </w:r>
      <w:r w:rsidR="00066127">
        <w:t xml:space="preserve">, pp. </w:t>
      </w:r>
      <w:r>
        <w:t>2667</w:t>
      </w:r>
      <w:r w:rsidR="00066127">
        <w:t>–</w:t>
      </w:r>
      <w:r>
        <w:t>74.</w:t>
      </w:r>
    </w:p>
    <w:p w14:paraId="674CD410" w14:textId="28CD376F" w:rsidR="00E01793" w:rsidRDefault="00E01793" w:rsidP="00E01793">
      <w:pPr>
        <w:pStyle w:val="DHHSbody"/>
      </w:pPr>
      <w:r>
        <w:t>Minck S, Robinson K, Saxon B, Spigiel T, Thomson A</w:t>
      </w:r>
      <w:r w:rsidR="00066127">
        <w:t xml:space="preserve"> 2013,</w:t>
      </w:r>
      <w:r>
        <w:t xml:space="preserve"> </w:t>
      </w:r>
      <w:r w:rsidR="00066127">
        <w:t>‘</w:t>
      </w:r>
      <w:r>
        <w:t>Patient blood management - the GP's guide</w:t>
      </w:r>
      <w:r w:rsidR="00066127">
        <w:t xml:space="preserve">’, </w:t>
      </w:r>
      <w:r w:rsidRPr="00D72EC2">
        <w:rPr>
          <w:i/>
          <w:iCs/>
        </w:rPr>
        <w:t>Aust Fam Physician</w:t>
      </w:r>
      <w:r w:rsidR="00066127">
        <w:t>,</w:t>
      </w:r>
      <w:r>
        <w:t xml:space="preserve"> </w:t>
      </w:r>
      <w:r w:rsidR="00066127">
        <w:t xml:space="preserve">vol. </w:t>
      </w:r>
      <w:r>
        <w:t>42</w:t>
      </w:r>
      <w:r w:rsidR="00066127">
        <w:t xml:space="preserve">, pp. </w:t>
      </w:r>
      <w:r>
        <w:t>291</w:t>
      </w:r>
      <w:r w:rsidR="00066127">
        <w:t>–</w:t>
      </w:r>
      <w:r>
        <w:t>7.</w:t>
      </w:r>
    </w:p>
    <w:p w14:paraId="09704FF2" w14:textId="46ABD77C" w:rsidR="00E01793" w:rsidRDefault="00E01793" w:rsidP="00E01793">
      <w:pPr>
        <w:pStyle w:val="DHHSbody"/>
      </w:pPr>
      <w:r>
        <w:t>Nissenson AR, Wade S, Goodnough T, Knight K, Dubois RW</w:t>
      </w:r>
      <w:r w:rsidR="00066127">
        <w:t xml:space="preserve"> 2005,</w:t>
      </w:r>
      <w:r>
        <w:t xml:space="preserve"> </w:t>
      </w:r>
      <w:r w:rsidR="00066127">
        <w:t>‘</w:t>
      </w:r>
      <w:r>
        <w:t>Economic burden of anemia in an insured population</w:t>
      </w:r>
      <w:r w:rsidR="00066127">
        <w:t xml:space="preserve">’, </w:t>
      </w:r>
      <w:r w:rsidRPr="00D72EC2">
        <w:rPr>
          <w:i/>
          <w:iCs/>
        </w:rPr>
        <w:t>J Manag Care Pharm</w:t>
      </w:r>
      <w:r>
        <w:t>.</w:t>
      </w:r>
      <w:r w:rsidR="00066127">
        <w:t xml:space="preserve">, vol. </w:t>
      </w:r>
      <w:r>
        <w:t>11</w:t>
      </w:r>
      <w:r w:rsidR="00066127">
        <w:t xml:space="preserve">, no. </w:t>
      </w:r>
      <w:r>
        <w:t>7</w:t>
      </w:r>
      <w:r w:rsidR="00066127">
        <w:t xml:space="preserve">, pp. </w:t>
      </w:r>
      <w:r>
        <w:t>565</w:t>
      </w:r>
      <w:r w:rsidR="00066127">
        <w:t>–</w:t>
      </w:r>
      <w:r>
        <w:t>74.</w:t>
      </w:r>
    </w:p>
    <w:p w14:paraId="34B79A22" w14:textId="3CE5BFE4" w:rsidR="006D360C" w:rsidRDefault="00E01793" w:rsidP="00E01793">
      <w:pPr>
        <w:pStyle w:val="DHHSbody"/>
      </w:pPr>
      <w:r>
        <w:t xml:space="preserve">Riva E, Tettamanti M, Mosconi P, Apolone G, Gandini F, Nobili A, et al. </w:t>
      </w:r>
      <w:r w:rsidR="00066127">
        <w:t>2009, ‘</w:t>
      </w:r>
      <w:r>
        <w:t>Association of mild anemia with hospitalization and mortality in the elderly: the Health and Anemia population-based study</w:t>
      </w:r>
      <w:r w:rsidR="00066127">
        <w:t xml:space="preserve">’, </w:t>
      </w:r>
      <w:r w:rsidRPr="00D72EC2">
        <w:rPr>
          <w:i/>
          <w:iCs/>
        </w:rPr>
        <w:t>Haematologica</w:t>
      </w:r>
      <w:r w:rsidR="00066127">
        <w:t xml:space="preserve">, vol. </w:t>
      </w:r>
      <w:r>
        <w:t>94</w:t>
      </w:r>
      <w:r w:rsidR="00066127">
        <w:t xml:space="preserve">, no. </w:t>
      </w:r>
      <w:r>
        <w:t>1</w:t>
      </w:r>
      <w:r w:rsidR="00066127">
        <w:t xml:space="preserve">, pp. </w:t>
      </w:r>
      <w:r>
        <w:t>22</w:t>
      </w:r>
      <w:r w:rsidR="00066127">
        <w:t>–</w:t>
      </w:r>
      <w:r>
        <w:t>8.</w:t>
      </w:r>
    </w:p>
    <w:p w14:paraId="02A0CC11" w14:textId="77777777" w:rsidR="00E01793" w:rsidRDefault="00E01793">
      <w:pPr>
        <w:rPr>
          <w:rFonts w:ascii="Arial" w:eastAsia="Times" w:hAnsi="Arial"/>
        </w:rPr>
      </w:pPr>
      <w:r>
        <w:br w:type="page"/>
      </w:r>
    </w:p>
    <w:p w14:paraId="6DC1671D" w14:textId="77D5EBFF" w:rsidR="00E01793" w:rsidRDefault="00E01793" w:rsidP="00E01793">
      <w:pPr>
        <w:pStyle w:val="Heading1"/>
      </w:pPr>
      <w:bookmarkStart w:id="12" w:name="_Toc48054058"/>
      <w:r w:rsidRPr="00E01793">
        <w:lastRenderedPageBreak/>
        <w:t>Appendix 1: Part 1: General practice audit of preoperative anaemia</w:t>
      </w:r>
      <w:bookmarkEnd w:id="12"/>
    </w:p>
    <w:p w14:paraId="64CB879A" w14:textId="3A718E71" w:rsidR="006B1C51" w:rsidRPr="006B1C51" w:rsidRDefault="006B1C51" w:rsidP="00D72EC2">
      <w:pPr>
        <w:pStyle w:val="DHHSbody"/>
      </w:pPr>
      <w:r>
        <w:t xml:space="preserve">Download the </w:t>
      </w:r>
      <w:hyperlink r:id="rId12" w:history="1">
        <w:r w:rsidRPr="006B1C51">
          <w:rPr>
            <w:rStyle w:val="Hyperlink"/>
          </w:rPr>
          <w:t>audit document</w:t>
        </w:r>
      </w:hyperlink>
      <w:r>
        <w:t xml:space="preserve"> &lt;</w:t>
      </w:r>
      <w:r w:rsidRPr="006B1C51">
        <w:t>https://www2.health.vic.gov.au/hospitals-and-health-services/patient-care/speciality-diagnostics-therapeutics/blood-matters/~/link.aspx?_id=E2BB7BBE5CD44961AB89F8F1D94E0D97&amp;_z=z</w:t>
      </w:r>
      <w:r>
        <w:t>&gt;.</w:t>
      </w:r>
    </w:p>
    <w:p w14:paraId="2F9DB38E" w14:textId="7545CBBD" w:rsidR="006538C0" w:rsidRDefault="006538C0">
      <w:pPr>
        <w:rPr>
          <w:rFonts w:ascii="Arial" w:eastAsia="Times" w:hAnsi="Arial"/>
        </w:rPr>
      </w:pPr>
      <w:r>
        <w:br w:type="page"/>
      </w:r>
    </w:p>
    <w:p w14:paraId="4FFE2E45" w14:textId="6C2DA1D9" w:rsidR="00E01793" w:rsidRDefault="00E01793" w:rsidP="00E01793">
      <w:pPr>
        <w:pStyle w:val="Heading1"/>
      </w:pPr>
      <w:bookmarkStart w:id="13" w:name="_Toc48054059"/>
      <w:r w:rsidRPr="00E01793">
        <w:lastRenderedPageBreak/>
        <w:t>Appendix 2: Part 2: General practice audit of preoperative anaemia</w:t>
      </w:r>
      <w:bookmarkEnd w:id="13"/>
    </w:p>
    <w:p w14:paraId="2EEBCE0F" w14:textId="77777777" w:rsidR="006B1C51" w:rsidRPr="006B1C51" w:rsidRDefault="006B1C51" w:rsidP="006B1C51">
      <w:pPr>
        <w:pStyle w:val="DHHSbody"/>
      </w:pPr>
      <w:r>
        <w:t xml:space="preserve">Download the </w:t>
      </w:r>
      <w:hyperlink r:id="rId13" w:history="1">
        <w:r w:rsidRPr="006B1C51">
          <w:rPr>
            <w:rStyle w:val="Hyperlink"/>
          </w:rPr>
          <w:t>audit document</w:t>
        </w:r>
      </w:hyperlink>
      <w:r>
        <w:t xml:space="preserve"> &lt;</w:t>
      </w:r>
      <w:r w:rsidRPr="006B1C51">
        <w:t>https://www2.health.vic.gov.au/hospitals-and-health-services/patient-care/speciality-diagnostics-therapeutics/blood-matters/~/link.aspx?_id=E2BB7BBE5CD44961AB89F8F1D94E0D97&amp;_z=z</w:t>
      </w:r>
      <w:r>
        <w:t>&gt;.</w:t>
      </w:r>
    </w:p>
    <w:p w14:paraId="6541E52E" w14:textId="36408DF9" w:rsidR="00E01793" w:rsidRDefault="00E01793" w:rsidP="00E01793">
      <w:pPr>
        <w:pStyle w:val="DHHSbody"/>
      </w:pPr>
    </w:p>
    <w:p w14:paraId="2C0206EE" w14:textId="414BB9F3" w:rsidR="00E01793" w:rsidRDefault="00E01793" w:rsidP="00E01793">
      <w:pPr>
        <w:pStyle w:val="DHHSbody"/>
      </w:pPr>
    </w:p>
    <w:p w14:paraId="64D09D8B" w14:textId="3E118FCC" w:rsidR="00E01793" w:rsidRDefault="00E01793" w:rsidP="00E01793">
      <w:pPr>
        <w:pStyle w:val="DHHSbody"/>
      </w:pPr>
    </w:p>
    <w:p w14:paraId="3238C978" w14:textId="64E7AFE6" w:rsidR="00E01793" w:rsidRDefault="00E01793" w:rsidP="00E01793">
      <w:pPr>
        <w:pStyle w:val="DHHSbody"/>
      </w:pPr>
    </w:p>
    <w:p w14:paraId="4795D09E" w14:textId="77777777" w:rsidR="00E01793" w:rsidRDefault="00E01793">
      <w:pPr>
        <w:rPr>
          <w:rFonts w:ascii="Arial" w:eastAsia="Times" w:hAnsi="Arial"/>
        </w:rPr>
      </w:pPr>
      <w:r>
        <w:br w:type="page"/>
      </w:r>
    </w:p>
    <w:p w14:paraId="19F6ECCF" w14:textId="77777777" w:rsidR="00A34429" w:rsidRDefault="00A34429" w:rsidP="00E01793">
      <w:pPr>
        <w:pStyle w:val="Heading1"/>
        <w:sectPr w:rsidR="00A34429" w:rsidSect="0054206A">
          <w:headerReference w:type="even" r:id="rId14"/>
          <w:headerReference w:type="default" r:id="rId15"/>
          <w:footerReference w:type="even" r:id="rId16"/>
          <w:footerReference w:type="default" r:id="rId17"/>
          <w:footerReference w:type="first" r:id="rId18"/>
          <w:pgSz w:w="11906" w:h="16838"/>
          <w:pgMar w:top="1418" w:right="1304" w:bottom="1134" w:left="1304" w:header="454" w:footer="510" w:gutter="0"/>
          <w:cols w:space="720"/>
          <w:docGrid w:linePitch="360"/>
        </w:sectPr>
      </w:pPr>
    </w:p>
    <w:p w14:paraId="6289D159" w14:textId="6B46E61E" w:rsidR="00E01793" w:rsidRDefault="00E01793" w:rsidP="00E01793">
      <w:pPr>
        <w:pStyle w:val="Heading1"/>
      </w:pPr>
      <w:bookmarkStart w:id="14" w:name="_Toc48054060"/>
      <w:r w:rsidRPr="00E01793">
        <w:lastRenderedPageBreak/>
        <w:t xml:space="preserve">Appendix 3: Data collection tool </w:t>
      </w:r>
      <w:r w:rsidR="006B1C51">
        <w:t>–</w:t>
      </w:r>
      <w:r w:rsidR="006B1C51" w:rsidRPr="00E01793">
        <w:t xml:space="preserve"> </w:t>
      </w:r>
      <w:r w:rsidRPr="00E01793">
        <w:t>General practice audit of preoperative anaemia</w:t>
      </w:r>
      <w:bookmarkEnd w:id="14"/>
    </w:p>
    <w:p w14:paraId="5C312D34" w14:textId="697F3870" w:rsidR="00E01793" w:rsidRDefault="006B1C51" w:rsidP="00E01793">
      <w:pPr>
        <w:pStyle w:val="DHHSbody"/>
      </w:pPr>
      <w:r>
        <w:t xml:space="preserve">Download the </w:t>
      </w:r>
      <w:hyperlink r:id="rId19" w:history="1">
        <w:r w:rsidRPr="006B1C51">
          <w:rPr>
            <w:rStyle w:val="Hyperlink"/>
          </w:rPr>
          <w:t>data collection tool</w:t>
        </w:r>
      </w:hyperlink>
      <w:r>
        <w:t xml:space="preserve"> &lt;</w:t>
      </w:r>
      <w:r w:rsidRPr="00D72EC2">
        <w:t>https://www2.health.vic.gov.au/hospitals-and-health-services/patient-care/speciality-diagnostics-therapeutics/blood-matters/transfusion-audits</w:t>
      </w:r>
      <w:r>
        <w:t>&gt;.</w:t>
      </w:r>
    </w:p>
    <w:p w14:paraId="771D7BA9" w14:textId="0F8A9A66" w:rsidR="00A34429" w:rsidRDefault="00A34429" w:rsidP="00A34429">
      <w:pPr>
        <w:pStyle w:val="DHHSbody"/>
      </w:pPr>
    </w:p>
    <w:p w14:paraId="4F21A0DA" w14:textId="77777777" w:rsidR="00A34429" w:rsidRDefault="00A34429" w:rsidP="00AB0FF3">
      <w:pPr>
        <w:pStyle w:val="Heading1"/>
        <w:sectPr w:rsidR="00A34429" w:rsidSect="006538C0">
          <w:pgSz w:w="11906" w:h="16838"/>
          <w:pgMar w:top="1701" w:right="1304" w:bottom="1134" w:left="1304" w:header="454" w:footer="510" w:gutter="0"/>
          <w:cols w:space="720"/>
          <w:docGrid w:linePitch="360"/>
        </w:sectPr>
      </w:pPr>
    </w:p>
    <w:p w14:paraId="499E7506" w14:textId="7E63A0ED" w:rsidR="00E01793" w:rsidRDefault="00E01793" w:rsidP="00AB0FF3">
      <w:pPr>
        <w:pStyle w:val="Heading1"/>
      </w:pPr>
      <w:bookmarkStart w:id="15" w:name="_Toc48054061"/>
      <w:r w:rsidRPr="00E01793">
        <w:lastRenderedPageBreak/>
        <w:t>Appendix 4: General practice audit of preoperative anaemia evaluation and QI</w:t>
      </w:r>
      <w:bookmarkEnd w:id="15"/>
    </w:p>
    <w:p w14:paraId="5EFC38DA" w14:textId="77777777" w:rsidR="00E01793" w:rsidRPr="00E01793" w:rsidRDefault="00E01793" w:rsidP="00E01793">
      <w:pPr>
        <w:spacing w:after="160" w:line="259" w:lineRule="auto"/>
        <w:jc w:val="center"/>
        <w:rPr>
          <w:rFonts w:ascii="Arial" w:eastAsia="Calibri" w:hAnsi="Arial" w:cs="Arial"/>
          <w:b/>
        </w:rPr>
      </w:pPr>
      <w:r w:rsidRPr="00E01793">
        <w:rPr>
          <w:rFonts w:ascii="Arial" w:eastAsia="Calibri" w:hAnsi="Arial" w:cs="Arial"/>
          <w:b/>
        </w:rPr>
        <w:t>GP audit of preoperative anaemia – evaluation and QI</w:t>
      </w:r>
    </w:p>
    <w:tbl>
      <w:tblPr>
        <w:tblStyle w:val="TableGrid2"/>
        <w:tblW w:w="0" w:type="auto"/>
        <w:tblCellMar>
          <w:top w:w="57" w:type="dxa"/>
          <w:left w:w="57" w:type="dxa"/>
          <w:bottom w:w="57" w:type="dxa"/>
          <w:right w:w="57" w:type="dxa"/>
        </w:tblCellMar>
        <w:tblLook w:val="04A0" w:firstRow="1" w:lastRow="0" w:firstColumn="1" w:lastColumn="0" w:noHBand="0" w:noVBand="1"/>
      </w:tblPr>
      <w:tblGrid>
        <w:gridCol w:w="5928"/>
        <w:gridCol w:w="1109"/>
        <w:gridCol w:w="993"/>
        <w:gridCol w:w="1258"/>
      </w:tblGrid>
      <w:tr w:rsidR="00E01793" w:rsidRPr="00E01793" w14:paraId="2F7F55D5" w14:textId="77777777" w:rsidTr="00340B99">
        <w:tc>
          <w:tcPr>
            <w:tcW w:w="6091" w:type="dxa"/>
          </w:tcPr>
          <w:p w14:paraId="0D1DDC97" w14:textId="77777777" w:rsidR="00E01793" w:rsidRPr="00E01793" w:rsidRDefault="00E01793" w:rsidP="00E01793">
            <w:pPr>
              <w:spacing w:before="60" w:after="60" w:line="259" w:lineRule="auto"/>
              <w:rPr>
                <w:rFonts w:ascii="Arial" w:hAnsi="Arial" w:cs="Arial"/>
                <w:sz w:val="20"/>
                <w:szCs w:val="20"/>
              </w:rPr>
            </w:pPr>
            <w:r w:rsidRPr="00E01793">
              <w:rPr>
                <w:rFonts w:ascii="Arial" w:hAnsi="Arial" w:cs="Arial"/>
                <w:b/>
                <w:sz w:val="20"/>
                <w:szCs w:val="20"/>
              </w:rPr>
              <w:t>Please rate the degree to which the audit’s learning outcomes were met</w:t>
            </w:r>
          </w:p>
        </w:tc>
        <w:tc>
          <w:tcPr>
            <w:tcW w:w="1134" w:type="dxa"/>
          </w:tcPr>
          <w:p w14:paraId="4DA434B8" w14:textId="77777777" w:rsidR="00E01793" w:rsidRPr="00E01793" w:rsidRDefault="00E01793" w:rsidP="00E01793">
            <w:pPr>
              <w:spacing w:before="60" w:after="60" w:line="259" w:lineRule="auto"/>
              <w:rPr>
                <w:rFonts w:ascii="Arial" w:hAnsi="Arial" w:cs="Arial"/>
                <w:sz w:val="20"/>
                <w:szCs w:val="20"/>
              </w:rPr>
            </w:pPr>
            <w:r w:rsidRPr="00E01793">
              <w:rPr>
                <w:rFonts w:ascii="Arial" w:hAnsi="Arial" w:cs="Arial"/>
                <w:sz w:val="20"/>
                <w:szCs w:val="20"/>
              </w:rPr>
              <w:t>Not met</w:t>
            </w:r>
          </w:p>
        </w:tc>
        <w:tc>
          <w:tcPr>
            <w:tcW w:w="999" w:type="dxa"/>
          </w:tcPr>
          <w:p w14:paraId="2F874299" w14:textId="77777777" w:rsidR="00E01793" w:rsidRPr="00E01793" w:rsidRDefault="00E01793" w:rsidP="00E01793">
            <w:pPr>
              <w:spacing w:before="60" w:after="60" w:line="259" w:lineRule="auto"/>
              <w:rPr>
                <w:rFonts w:ascii="Arial" w:hAnsi="Arial" w:cs="Arial"/>
                <w:sz w:val="20"/>
                <w:szCs w:val="20"/>
              </w:rPr>
            </w:pPr>
            <w:r w:rsidRPr="00E01793">
              <w:rPr>
                <w:rFonts w:ascii="Arial" w:hAnsi="Arial" w:cs="Arial"/>
                <w:sz w:val="20"/>
                <w:szCs w:val="20"/>
              </w:rPr>
              <w:t>Partially met</w:t>
            </w:r>
          </w:p>
        </w:tc>
        <w:tc>
          <w:tcPr>
            <w:tcW w:w="1276" w:type="dxa"/>
          </w:tcPr>
          <w:p w14:paraId="7312B38E" w14:textId="77777777" w:rsidR="00E01793" w:rsidRPr="00E01793" w:rsidRDefault="00E01793" w:rsidP="00E01793">
            <w:pPr>
              <w:spacing w:before="60" w:after="60" w:line="259" w:lineRule="auto"/>
              <w:rPr>
                <w:rFonts w:ascii="Arial" w:hAnsi="Arial" w:cs="Arial"/>
                <w:sz w:val="20"/>
                <w:szCs w:val="20"/>
              </w:rPr>
            </w:pPr>
            <w:r w:rsidRPr="00E01793">
              <w:rPr>
                <w:rFonts w:ascii="Arial" w:hAnsi="Arial" w:cs="Arial"/>
                <w:sz w:val="20"/>
                <w:szCs w:val="20"/>
              </w:rPr>
              <w:t>Entirely met</w:t>
            </w:r>
          </w:p>
        </w:tc>
      </w:tr>
      <w:tr w:rsidR="00E01793" w:rsidRPr="00E01793" w14:paraId="478DA696" w14:textId="77777777" w:rsidTr="00340B99">
        <w:tc>
          <w:tcPr>
            <w:tcW w:w="6091" w:type="dxa"/>
          </w:tcPr>
          <w:p w14:paraId="430CA0F9" w14:textId="6AAD8341" w:rsidR="00E01793" w:rsidRPr="00E01793" w:rsidRDefault="00E01793" w:rsidP="00E01793">
            <w:pPr>
              <w:numPr>
                <w:ilvl w:val="0"/>
                <w:numId w:val="39"/>
              </w:numPr>
              <w:spacing w:after="160" w:line="259" w:lineRule="auto"/>
              <w:contextualSpacing/>
              <w:rPr>
                <w:rFonts w:ascii="Arial" w:hAnsi="Arial" w:cs="Arial"/>
                <w:sz w:val="20"/>
                <w:szCs w:val="20"/>
              </w:rPr>
            </w:pPr>
            <w:r w:rsidRPr="00E01793">
              <w:rPr>
                <w:rFonts w:ascii="Arial" w:hAnsi="Arial" w:cs="Arial"/>
                <w:sz w:val="20"/>
                <w:szCs w:val="20"/>
              </w:rPr>
              <w:t>Screen for iron deficiency with/without anaemia and in preoperative patients due to undergo major elective surgery</w:t>
            </w:r>
          </w:p>
        </w:tc>
        <w:sdt>
          <w:sdtPr>
            <w:rPr>
              <w:rFonts w:ascii="Arial" w:hAnsi="Arial" w:cs="Arial"/>
            </w:rPr>
            <w:id w:val="-875700271"/>
            <w14:checkbox>
              <w14:checked w14:val="0"/>
              <w14:checkedState w14:val="2612" w14:font="MS Gothic"/>
              <w14:uncheckedState w14:val="2610" w14:font="MS Gothic"/>
            </w14:checkbox>
          </w:sdtPr>
          <w:sdtEndPr/>
          <w:sdtContent>
            <w:tc>
              <w:tcPr>
                <w:tcW w:w="1134" w:type="dxa"/>
              </w:tcPr>
              <w:p w14:paraId="56884D11" w14:textId="77777777" w:rsidR="00E01793" w:rsidRPr="00E01793" w:rsidRDefault="00E01793" w:rsidP="00E01793">
                <w:pPr>
                  <w:spacing w:before="60" w:after="60" w:line="259" w:lineRule="auto"/>
                  <w:jc w:val="center"/>
                  <w:rPr>
                    <w:rFonts w:ascii="Arial" w:hAnsi="Arial" w:cs="Arial"/>
                    <w:sz w:val="20"/>
                    <w:szCs w:val="20"/>
                  </w:rPr>
                </w:pPr>
                <w:r w:rsidRPr="00E01793">
                  <w:rPr>
                    <w:rFonts w:ascii="Segoe UI Symbol" w:hAnsi="Segoe UI Symbol" w:cs="Segoe UI Symbol"/>
                    <w:sz w:val="20"/>
                    <w:szCs w:val="20"/>
                  </w:rPr>
                  <w:t>☐</w:t>
                </w:r>
              </w:p>
            </w:tc>
          </w:sdtContent>
        </w:sdt>
        <w:sdt>
          <w:sdtPr>
            <w:rPr>
              <w:rFonts w:ascii="Arial" w:hAnsi="Arial" w:cs="Arial"/>
            </w:rPr>
            <w:id w:val="-254286053"/>
            <w14:checkbox>
              <w14:checked w14:val="0"/>
              <w14:checkedState w14:val="2612" w14:font="MS Gothic"/>
              <w14:uncheckedState w14:val="2610" w14:font="MS Gothic"/>
            </w14:checkbox>
          </w:sdtPr>
          <w:sdtEndPr/>
          <w:sdtContent>
            <w:tc>
              <w:tcPr>
                <w:tcW w:w="999" w:type="dxa"/>
              </w:tcPr>
              <w:p w14:paraId="4601727F" w14:textId="77777777" w:rsidR="00E01793" w:rsidRPr="00E01793" w:rsidRDefault="00E01793" w:rsidP="00E01793">
                <w:pPr>
                  <w:spacing w:before="60" w:after="60" w:line="259" w:lineRule="auto"/>
                  <w:jc w:val="center"/>
                  <w:rPr>
                    <w:rFonts w:ascii="Arial" w:hAnsi="Arial" w:cs="Arial"/>
                    <w:sz w:val="20"/>
                    <w:szCs w:val="20"/>
                  </w:rPr>
                </w:pPr>
                <w:r w:rsidRPr="00E01793">
                  <w:rPr>
                    <w:rFonts w:ascii="Segoe UI Symbol" w:hAnsi="Segoe UI Symbol" w:cs="Segoe UI Symbol"/>
                    <w:sz w:val="20"/>
                    <w:szCs w:val="20"/>
                  </w:rPr>
                  <w:t>☐</w:t>
                </w:r>
              </w:p>
            </w:tc>
          </w:sdtContent>
        </w:sdt>
        <w:sdt>
          <w:sdtPr>
            <w:rPr>
              <w:rFonts w:ascii="Arial" w:hAnsi="Arial" w:cs="Arial"/>
            </w:rPr>
            <w:id w:val="188426977"/>
            <w14:checkbox>
              <w14:checked w14:val="0"/>
              <w14:checkedState w14:val="2612" w14:font="MS Gothic"/>
              <w14:uncheckedState w14:val="2610" w14:font="MS Gothic"/>
            </w14:checkbox>
          </w:sdtPr>
          <w:sdtEndPr/>
          <w:sdtContent>
            <w:tc>
              <w:tcPr>
                <w:tcW w:w="1276" w:type="dxa"/>
              </w:tcPr>
              <w:p w14:paraId="40924C80" w14:textId="77777777" w:rsidR="00E01793" w:rsidRPr="00E01793" w:rsidRDefault="00E01793" w:rsidP="00E01793">
                <w:pPr>
                  <w:spacing w:before="60" w:after="60" w:line="259" w:lineRule="auto"/>
                  <w:jc w:val="center"/>
                  <w:rPr>
                    <w:rFonts w:ascii="Arial" w:hAnsi="Arial" w:cs="Arial"/>
                    <w:sz w:val="20"/>
                    <w:szCs w:val="20"/>
                  </w:rPr>
                </w:pPr>
                <w:r w:rsidRPr="00E01793">
                  <w:rPr>
                    <w:rFonts w:ascii="Segoe UI Symbol" w:hAnsi="Segoe UI Symbol" w:cs="Segoe UI Symbol"/>
                    <w:sz w:val="20"/>
                    <w:szCs w:val="20"/>
                  </w:rPr>
                  <w:t>☐</w:t>
                </w:r>
              </w:p>
            </w:tc>
          </w:sdtContent>
        </w:sdt>
      </w:tr>
      <w:tr w:rsidR="00E01793" w:rsidRPr="00E01793" w14:paraId="664AD4BD" w14:textId="77777777" w:rsidTr="00340B99">
        <w:tc>
          <w:tcPr>
            <w:tcW w:w="6091" w:type="dxa"/>
          </w:tcPr>
          <w:p w14:paraId="203CAB66" w14:textId="363F6E1F" w:rsidR="00E01793" w:rsidRPr="00E01793" w:rsidRDefault="00E01793" w:rsidP="00E01793">
            <w:pPr>
              <w:numPr>
                <w:ilvl w:val="0"/>
                <w:numId w:val="39"/>
              </w:numPr>
              <w:spacing w:after="160" w:line="259" w:lineRule="auto"/>
              <w:contextualSpacing/>
              <w:rPr>
                <w:rFonts w:ascii="Arial" w:hAnsi="Arial" w:cs="Arial"/>
                <w:sz w:val="20"/>
                <w:szCs w:val="20"/>
              </w:rPr>
            </w:pPr>
            <w:r w:rsidRPr="00E01793">
              <w:rPr>
                <w:rFonts w:ascii="Arial" w:hAnsi="Arial" w:cs="Arial"/>
                <w:sz w:val="20"/>
                <w:szCs w:val="20"/>
              </w:rPr>
              <w:t>Evaluate and interpret FBC, iron studies and CRP to assess adequacy of iron stores in preoperative patients due to undergo major elective surgery</w:t>
            </w:r>
          </w:p>
        </w:tc>
        <w:sdt>
          <w:sdtPr>
            <w:rPr>
              <w:rFonts w:ascii="Arial" w:hAnsi="Arial" w:cs="Arial"/>
            </w:rPr>
            <w:id w:val="581652137"/>
            <w14:checkbox>
              <w14:checked w14:val="0"/>
              <w14:checkedState w14:val="2612" w14:font="MS Gothic"/>
              <w14:uncheckedState w14:val="2610" w14:font="MS Gothic"/>
            </w14:checkbox>
          </w:sdtPr>
          <w:sdtEndPr/>
          <w:sdtContent>
            <w:tc>
              <w:tcPr>
                <w:tcW w:w="1134" w:type="dxa"/>
              </w:tcPr>
              <w:p w14:paraId="528838E7" w14:textId="77777777" w:rsidR="00E01793" w:rsidRPr="00E01793" w:rsidRDefault="00E01793" w:rsidP="00E01793">
                <w:pPr>
                  <w:spacing w:before="60" w:after="60" w:line="259" w:lineRule="auto"/>
                  <w:jc w:val="center"/>
                  <w:rPr>
                    <w:rFonts w:ascii="Arial" w:hAnsi="Arial" w:cs="Arial"/>
                    <w:sz w:val="20"/>
                    <w:szCs w:val="20"/>
                  </w:rPr>
                </w:pPr>
                <w:r w:rsidRPr="00E01793">
                  <w:rPr>
                    <w:rFonts w:ascii="Segoe UI Symbol" w:hAnsi="Segoe UI Symbol" w:cs="Segoe UI Symbol"/>
                    <w:sz w:val="20"/>
                    <w:szCs w:val="20"/>
                  </w:rPr>
                  <w:t>☐</w:t>
                </w:r>
              </w:p>
            </w:tc>
          </w:sdtContent>
        </w:sdt>
        <w:sdt>
          <w:sdtPr>
            <w:rPr>
              <w:rFonts w:ascii="Arial" w:hAnsi="Arial" w:cs="Arial"/>
            </w:rPr>
            <w:id w:val="1516341888"/>
            <w14:checkbox>
              <w14:checked w14:val="0"/>
              <w14:checkedState w14:val="2612" w14:font="MS Gothic"/>
              <w14:uncheckedState w14:val="2610" w14:font="MS Gothic"/>
            </w14:checkbox>
          </w:sdtPr>
          <w:sdtEndPr/>
          <w:sdtContent>
            <w:tc>
              <w:tcPr>
                <w:tcW w:w="999" w:type="dxa"/>
              </w:tcPr>
              <w:p w14:paraId="4EFBCF62" w14:textId="77777777" w:rsidR="00E01793" w:rsidRPr="00E01793" w:rsidRDefault="00E01793" w:rsidP="00E01793">
                <w:pPr>
                  <w:spacing w:before="60" w:after="60" w:line="259" w:lineRule="auto"/>
                  <w:jc w:val="center"/>
                  <w:rPr>
                    <w:rFonts w:ascii="Arial" w:hAnsi="Arial" w:cs="Arial"/>
                    <w:sz w:val="20"/>
                    <w:szCs w:val="20"/>
                  </w:rPr>
                </w:pPr>
                <w:r w:rsidRPr="00E01793">
                  <w:rPr>
                    <w:rFonts w:ascii="Segoe UI Symbol" w:hAnsi="Segoe UI Symbol" w:cs="Segoe UI Symbol"/>
                    <w:sz w:val="20"/>
                    <w:szCs w:val="20"/>
                  </w:rPr>
                  <w:t>☐</w:t>
                </w:r>
              </w:p>
            </w:tc>
          </w:sdtContent>
        </w:sdt>
        <w:sdt>
          <w:sdtPr>
            <w:rPr>
              <w:rFonts w:ascii="Arial" w:hAnsi="Arial" w:cs="Arial"/>
            </w:rPr>
            <w:id w:val="968008033"/>
            <w14:checkbox>
              <w14:checked w14:val="0"/>
              <w14:checkedState w14:val="2612" w14:font="MS Gothic"/>
              <w14:uncheckedState w14:val="2610" w14:font="MS Gothic"/>
            </w14:checkbox>
          </w:sdtPr>
          <w:sdtEndPr/>
          <w:sdtContent>
            <w:tc>
              <w:tcPr>
                <w:tcW w:w="1276" w:type="dxa"/>
              </w:tcPr>
              <w:p w14:paraId="2D4FB7CC" w14:textId="77777777" w:rsidR="00E01793" w:rsidRPr="00E01793" w:rsidRDefault="00E01793" w:rsidP="00E01793">
                <w:pPr>
                  <w:spacing w:before="60" w:after="60" w:line="259" w:lineRule="auto"/>
                  <w:jc w:val="center"/>
                  <w:rPr>
                    <w:rFonts w:ascii="Arial" w:hAnsi="Arial" w:cs="Arial"/>
                    <w:sz w:val="20"/>
                    <w:szCs w:val="20"/>
                  </w:rPr>
                </w:pPr>
                <w:r w:rsidRPr="00E01793">
                  <w:rPr>
                    <w:rFonts w:ascii="Segoe UI Symbol" w:hAnsi="Segoe UI Symbol" w:cs="Segoe UI Symbol"/>
                    <w:sz w:val="20"/>
                    <w:szCs w:val="20"/>
                  </w:rPr>
                  <w:t>☐</w:t>
                </w:r>
              </w:p>
            </w:tc>
          </w:sdtContent>
        </w:sdt>
      </w:tr>
      <w:tr w:rsidR="00E01793" w:rsidRPr="00E01793" w14:paraId="0566B5B5" w14:textId="77777777" w:rsidTr="00340B99">
        <w:tc>
          <w:tcPr>
            <w:tcW w:w="6091" w:type="dxa"/>
          </w:tcPr>
          <w:p w14:paraId="5FD04960" w14:textId="4E3E8FC1" w:rsidR="00E01793" w:rsidRPr="00E01793" w:rsidRDefault="00E01793" w:rsidP="00E01793">
            <w:pPr>
              <w:numPr>
                <w:ilvl w:val="0"/>
                <w:numId w:val="39"/>
              </w:numPr>
              <w:spacing w:after="160" w:line="259" w:lineRule="auto"/>
              <w:contextualSpacing/>
              <w:rPr>
                <w:rFonts w:ascii="Arial" w:hAnsi="Arial" w:cs="Arial"/>
                <w:sz w:val="20"/>
                <w:szCs w:val="20"/>
              </w:rPr>
            </w:pPr>
            <w:r w:rsidRPr="00E01793">
              <w:rPr>
                <w:rFonts w:ascii="Arial" w:hAnsi="Arial" w:cs="Arial"/>
                <w:sz w:val="20"/>
                <w:szCs w:val="20"/>
              </w:rPr>
              <w:t>Manage preoperative iron deficiency and anaemia in alignment with the Preoperative haemoglobin assessment and optimisation template (as per Patient Blood Management Guidelines Module 2 Preoperative)</w:t>
            </w:r>
          </w:p>
        </w:tc>
        <w:sdt>
          <w:sdtPr>
            <w:rPr>
              <w:rFonts w:ascii="Arial" w:hAnsi="Arial" w:cs="Arial"/>
            </w:rPr>
            <w:id w:val="1693181053"/>
            <w14:checkbox>
              <w14:checked w14:val="0"/>
              <w14:checkedState w14:val="2612" w14:font="MS Gothic"/>
              <w14:uncheckedState w14:val="2610" w14:font="MS Gothic"/>
            </w14:checkbox>
          </w:sdtPr>
          <w:sdtEndPr/>
          <w:sdtContent>
            <w:tc>
              <w:tcPr>
                <w:tcW w:w="1134" w:type="dxa"/>
              </w:tcPr>
              <w:p w14:paraId="549BC53C" w14:textId="77777777" w:rsidR="00E01793" w:rsidRPr="00E01793" w:rsidRDefault="00E01793" w:rsidP="00E01793">
                <w:pPr>
                  <w:spacing w:before="60" w:after="60" w:line="259" w:lineRule="auto"/>
                  <w:jc w:val="center"/>
                  <w:rPr>
                    <w:rFonts w:ascii="Arial" w:hAnsi="Arial" w:cs="Arial"/>
                    <w:sz w:val="20"/>
                    <w:szCs w:val="20"/>
                  </w:rPr>
                </w:pPr>
                <w:r w:rsidRPr="00E01793">
                  <w:rPr>
                    <w:rFonts w:ascii="Segoe UI Symbol" w:hAnsi="Segoe UI Symbol" w:cs="Segoe UI Symbol"/>
                    <w:sz w:val="20"/>
                    <w:szCs w:val="20"/>
                  </w:rPr>
                  <w:t>☐</w:t>
                </w:r>
              </w:p>
            </w:tc>
          </w:sdtContent>
        </w:sdt>
        <w:sdt>
          <w:sdtPr>
            <w:rPr>
              <w:rFonts w:ascii="Arial" w:hAnsi="Arial" w:cs="Arial"/>
            </w:rPr>
            <w:id w:val="979971197"/>
            <w14:checkbox>
              <w14:checked w14:val="0"/>
              <w14:checkedState w14:val="2612" w14:font="MS Gothic"/>
              <w14:uncheckedState w14:val="2610" w14:font="MS Gothic"/>
            </w14:checkbox>
          </w:sdtPr>
          <w:sdtEndPr/>
          <w:sdtContent>
            <w:tc>
              <w:tcPr>
                <w:tcW w:w="999" w:type="dxa"/>
              </w:tcPr>
              <w:p w14:paraId="76EA7512" w14:textId="77777777" w:rsidR="00E01793" w:rsidRPr="00E01793" w:rsidRDefault="00E01793" w:rsidP="00E01793">
                <w:pPr>
                  <w:spacing w:before="60" w:after="60" w:line="259" w:lineRule="auto"/>
                  <w:jc w:val="center"/>
                  <w:rPr>
                    <w:rFonts w:ascii="Arial" w:hAnsi="Arial" w:cs="Arial"/>
                    <w:sz w:val="20"/>
                    <w:szCs w:val="20"/>
                  </w:rPr>
                </w:pPr>
                <w:r w:rsidRPr="00E01793">
                  <w:rPr>
                    <w:rFonts w:ascii="Segoe UI Symbol" w:hAnsi="Segoe UI Symbol" w:cs="Segoe UI Symbol"/>
                    <w:sz w:val="20"/>
                    <w:szCs w:val="20"/>
                  </w:rPr>
                  <w:t>☐</w:t>
                </w:r>
              </w:p>
            </w:tc>
          </w:sdtContent>
        </w:sdt>
        <w:sdt>
          <w:sdtPr>
            <w:rPr>
              <w:rFonts w:ascii="Arial" w:hAnsi="Arial" w:cs="Arial"/>
            </w:rPr>
            <w:id w:val="-741326760"/>
            <w14:checkbox>
              <w14:checked w14:val="0"/>
              <w14:checkedState w14:val="2612" w14:font="MS Gothic"/>
              <w14:uncheckedState w14:val="2610" w14:font="MS Gothic"/>
            </w14:checkbox>
          </w:sdtPr>
          <w:sdtEndPr/>
          <w:sdtContent>
            <w:tc>
              <w:tcPr>
                <w:tcW w:w="1276" w:type="dxa"/>
              </w:tcPr>
              <w:p w14:paraId="1B9A316C" w14:textId="77777777" w:rsidR="00E01793" w:rsidRPr="00E01793" w:rsidRDefault="00E01793" w:rsidP="00E01793">
                <w:pPr>
                  <w:spacing w:before="60" w:after="60" w:line="259" w:lineRule="auto"/>
                  <w:jc w:val="center"/>
                  <w:rPr>
                    <w:rFonts w:ascii="Arial" w:hAnsi="Arial" w:cs="Arial"/>
                    <w:sz w:val="20"/>
                    <w:szCs w:val="20"/>
                  </w:rPr>
                </w:pPr>
                <w:r w:rsidRPr="00E01793">
                  <w:rPr>
                    <w:rFonts w:ascii="Segoe UI Symbol" w:hAnsi="Segoe UI Symbol" w:cs="Segoe UI Symbol"/>
                    <w:sz w:val="20"/>
                    <w:szCs w:val="20"/>
                  </w:rPr>
                  <w:t>☐</w:t>
                </w:r>
              </w:p>
            </w:tc>
          </w:sdtContent>
        </w:sdt>
      </w:tr>
    </w:tbl>
    <w:p w14:paraId="5055A071" w14:textId="77777777" w:rsidR="00E01793" w:rsidRPr="00E01793" w:rsidRDefault="00E01793" w:rsidP="00E01793">
      <w:pPr>
        <w:spacing w:after="160" w:line="259" w:lineRule="auto"/>
        <w:rPr>
          <w:rFonts w:ascii="Arial" w:eastAsia="Calibri" w:hAnsi="Arial" w:cs="Arial"/>
        </w:rPr>
      </w:pPr>
    </w:p>
    <w:tbl>
      <w:tblPr>
        <w:tblStyle w:val="TableGrid2"/>
        <w:tblW w:w="0" w:type="auto"/>
        <w:tblLook w:val="04A0" w:firstRow="1" w:lastRow="0" w:firstColumn="1" w:lastColumn="0" w:noHBand="0" w:noVBand="1"/>
      </w:tblPr>
      <w:tblGrid>
        <w:gridCol w:w="5924"/>
        <w:gridCol w:w="1114"/>
        <w:gridCol w:w="997"/>
        <w:gridCol w:w="1263"/>
      </w:tblGrid>
      <w:tr w:rsidR="00E01793" w:rsidRPr="00E01793" w14:paraId="69A81D60" w14:textId="77777777" w:rsidTr="00340B99">
        <w:tc>
          <w:tcPr>
            <w:tcW w:w="6096" w:type="dxa"/>
            <w:tcBorders>
              <w:top w:val="nil"/>
              <w:left w:val="nil"/>
              <w:bottom w:val="nil"/>
              <w:right w:val="nil"/>
            </w:tcBorders>
          </w:tcPr>
          <w:p w14:paraId="7FF8F806" w14:textId="77777777" w:rsidR="00E01793" w:rsidRPr="00E01793" w:rsidRDefault="00E01793" w:rsidP="00E01793">
            <w:pPr>
              <w:spacing w:before="60" w:after="60" w:line="259" w:lineRule="auto"/>
              <w:rPr>
                <w:rFonts w:ascii="Arial" w:hAnsi="Arial" w:cs="Arial"/>
                <w:sz w:val="20"/>
                <w:szCs w:val="20"/>
              </w:rPr>
            </w:pPr>
            <w:r w:rsidRPr="00E01793">
              <w:rPr>
                <w:rFonts w:ascii="Arial" w:hAnsi="Arial" w:cs="Arial"/>
                <w:b/>
                <w:sz w:val="20"/>
                <w:szCs w:val="20"/>
              </w:rPr>
              <w:t>Please rate the degree to which your personal learning needs were met</w:t>
            </w:r>
          </w:p>
        </w:tc>
        <w:tc>
          <w:tcPr>
            <w:tcW w:w="1134" w:type="dxa"/>
            <w:tcBorders>
              <w:top w:val="nil"/>
              <w:left w:val="nil"/>
              <w:bottom w:val="nil"/>
              <w:right w:val="nil"/>
            </w:tcBorders>
          </w:tcPr>
          <w:p w14:paraId="0D4FEA61" w14:textId="77777777" w:rsidR="00E01793" w:rsidRPr="00E01793" w:rsidRDefault="00E01793" w:rsidP="00E01793">
            <w:pPr>
              <w:spacing w:before="60" w:after="60" w:line="259" w:lineRule="auto"/>
              <w:rPr>
                <w:rFonts w:ascii="Arial" w:hAnsi="Arial" w:cs="Arial"/>
                <w:sz w:val="20"/>
                <w:szCs w:val="20"/>
              </w:rPr>
            </w:pPr>
            <w:r w:rsidRPr="00E01793">
              <w:rPr>
                <w:rFonts w:ascii="Arial" w:hAnsi="Arial" w:cs="Arial"/>
                <w:sz w:val="20"/>
                <w:szCs w:val="20"/>
              </w:rPr>
              <w:t>Not met</w:t>
            </w:r>
          </w:p>
        </w:tc>
        <w:tc>
          <w:tcPr>
            <w:tcW w:w="999" w:type="dxa"/>
            <w:tcBorders>
              <w:top w:val="nil"/>
              <w:left w:val="nil"/>
              <w:bottom w:val="nil"/>
              <w:right w:val="nil"/>
            </w:tcBorders>
          </w:tcPr>
          <w:p w14:paraId="4DDF49CE" w14:textId="77777777" w:rsidR="00E01793" w:rsidRPr="00E01793" w:rsidRDefault="00E01793" w:rsidP="00E01793">
            <w:pPr>
              <w:spacing w:before="60" w:after="60" w:line="259" w:lineRule="auto"/>
              <w:rPr>
                <w:rFonts w:ascii="Arial" w:hAnsi="Arial" w:cs="Arial"/>
                <w:sz w:val="20"/>
                <w:szCs w:val="20"/>
              </w:rPr>
            </w:pPr>
            <w:r w:rsidRPr="00E01793">
              <w:rPr>
                <w:rFonts w:ascii="Arial" w:hAnsi="Arial" w:cs="Arial"/>
                <w:sz w:val="20"/>
                <w:szCs w:val="20"/>
              </w:rPr>
              <w:t>Partially met</w:t>
            </w:r>
          </w:p>
        </w:tc>
        <w:tc>
          <w:tcPr>
            <w:tcW w:w="1276" w:type="dxa"/>
            <w:tcBorders>
              <w:top w:val="nil"/>
              <w:left w:val="nil"/>
              <w:bottom w:val="nil"/>
              <w:right w:val="nil"/>
            </w:tcBorders>
          </w:tcPr>
          <w:p w14:paraId="0A1F3104" w14:textId="77777777" w:rsidR="00E01793" w:rsidRPr="00E01793" w:rsidRDefault="00E01793" w:rsidP="00E01793">
            <w:pPr>
              <w:spacing w:before="60" w:after="60" w:line="259" w:lineRule="auto"/>
              <w:rPr>
                <w:rFonts w:ascii="Arial" w:hAnsi="Arial" w:cs="Arial"/>
                <w:sz w:val="20"/>
                <w:szCs w:val="20"/>
              </w:rPr>
            </w:pPr>
            <w:r w:rsidRPr="00E01793">
              <w:rPr>
                <w:rFonts w:ascii="Arial" w:hAnsi="Arial" w:cs="Arial"/>
                <w:sz w:val="20"/>
                <w:szCs w:val="20"/>
              </w:rPr>
              <w:t>Entirely met</w:t>
            </w:r>
          </w:p>
        </w:tc>
      </w:tr>
      <w:tr w:rsidR="00E01793" w:rsidRPr="00E01793" w14:paraId="1F712DEE" w14:textId="77777777" w:rsidTr="00340B99">
        <w:tc>
          <w:tcPr>
            <w:tcW w:w="6096" w:type="dxa"/>
            <w:tcBorders>
              <w:top w:val="nil"/>
              <w:left w:val="nil"/>
              <w:bottom w:val="nil"/>
              <w:right w:val="nil"/>
            </w:tcBorders>
          </w:tcPr>
          <w:p w14:paraId="717BCB2E" w14:textId="77777777" w:rsidR="00E01793" w:rsidRPr="00E01793" w:rsidRDefault="00E01793" w:rsidP="00E01793">
            <w:pPr>
              <w:spacing w:before="60" w:after="60" w:line="276" w:lineRule="auto"/>
              <w:ind w:left="426"/>
              <w:contextualSpacing/>
              <w:rPr>
                <w:rFonts w:ascii="Arial" w:hAnsi="Arial" w:cs="Arial"/>
                <w:sz w:val="20"/>
                <w:szCs w:val="20"/>
              </w:rPr>
            </w:pPr>
          </w:p>
        </w:tc>
        <w:sdt>
          <w:sdtPr>
            <w:rPr>
              <w:rFonts w:ascii="Arial" w:hAnsi="Arial" w:cs="Arial"/>
            </w:rPr>
            <w:id w:val="945587652"/>
            <w14:checkbox>
              <w14:checked w14:val="0"/>
              <w14:checkedState w14:val="2612" w14:font="MS Gothic"/>
              <w14:uncheckedState w14:val="2610" w14:font="MS Gothic"/>
            </w14:checkbox>
          </w:sdtPr>
          <w:sdtEndPr/>
          <w:sdtContent>
            <w:tc>
              <w:tcPr>
                <w:tcW w:w="1134" w:type="dxa"/>
                <w:tcBorders>
                  <w:top w:val="nil"/>
                  <w:left w:val="nil"/>
                  <w:bottom w:val="nil"/>
                  <w:right w:val="nil"/>
                </w:tcBorders>
              </w:tcPr>
              <w:p w14:paraId="352EA5B6" w14:textId="77777777" w:rsidR="00E01793" w:rsidRPr="00E01793" w:rsidRDefault="00E01793" w:rsidP="00E01793">
                <w:pPr>
                  <w:spacing w:before="60" w:after="60" w:line="259" w:lineRule="auto"/>
                  <w:jc w:val="center"/>
                  <w:rPr>
                    <w:rFonts w:ascii="Arial" w:hAnsi="Arial" w:cs="Arial"/>
                    <w:sz w:val="20"/>
                    <w:szCs w:val="20"/>
                  </w:rPr>
                </w:pPr>
                <w:r w:rsidRPr="00E01793">
                  <w:rPr>
                    <w:rFonts w:ascii="Segoe UI Symbol" w:hAnsi="Segoe UI Symbol" w:cs="Segoe UI Symbol"/>
                    <w:sz w:val="20"/>
                    <w:szCs w:val="20"/>
                  </w:rPr>
                  <w:t>☐</w:t>
                </w:r>
              </w:p>
            </w:tc>
          </w:sdtContent>
        </w:sdt>
        <w:sdt>
          <w:sdtPr>
            <w:rPr>
              <w:rFonts w:ascii="Arial" w:hAnsi="Arial" w:cs="Arial"/>
            </w:rPr>
            <w:id w:val="-1827815494"/>
            <w14:checkbox>
              <w14:checked w14:val="0"/>
              <w14:checkedState w14:val="2612" w14:font="MS Gothic"/>
              <w14:uncheckedState w14:val="2610" w14:font="MS Gothic"/>
            </w14:checkbox>
          </w:sdtPr>
          <w:sdtEndPr/>
          <w:sdtContent>
            <w:tc>
              <w:tcPr>
                <w:tcW w:w="999" w:type="dxa"/>
                <w:tcBorders>
                  <w:top w:val="nil"/>
                  <w:left w:val="nil"/>
                  <w:bottom w:val="nil"/>
                  <w:right w:val="nil"/>
                </w:tcBorders>
              </w:tcPr>
              <w:p w14:paraId="599816A6" w14:textId="77777777" w:rsidR="00E01793" w:rsidRPr="00E01793" w:rsidRDefault="00E01793" w:rsidP="00E01793">
                <w:pPr>
                  <w:spacing w:before="60" w:after="60" w:line="259" w:lineRule="auto"/>
                  <w:jc w:val="center"/>
                  <w:rPr>
                    <w:rFonts w:ascii="Arial" w:hAnsi="Arial" w:cs="Arial"/>
                    <w:sz w:val="20"/>
                    <w:szCs w:val="20"/>
                  </w:rPr>
                </w:pPr>
                <w:r w:rsidRPr="00E01793">
                  <w:rPr>
                    <w:rFonts w:ascii="Segoe UI Symbol" w:hAnsi="Segoe UI Symbol" w:cs="Segoe UI Symbol"/>
                    <w:sz w:val="20"/>
                    <w:szCs w:val="20"/>
                  </w:rPr>
                  <w:t>☐</w:t>
                </w:r>
              </w:p>
            </w:tc>
          </w:sdtContent>
        </w:sdt>
        <w:sdt>
          <w:sdtPr>
            <w:rPr>
              <w:rFonts w:ascii="Arial" w:hAnsi="Arial" w:cs="Arial"/>
            </w:rPr>
            <w:id w:val="-1593546119"/>
            <w14:checkbox>
              <w14:checked w14:val="0"/>
              <w14:checkedState w14:val="2612" w14:font="MS Gothic"/>
              <w14:uncheckedState w14:val="2610" w14:font="MS Gothic"/>
            </w14:checkbox>
          </w:sdtPr>
          <w:sdtEndPr/>
          <w:sdtContent>
            <w:tc>
              <w:tcPr>
                <w:tcW w:w="1276" w:type="dxa"/>
                <w:tcBorders>
                  <w:top w:val="nil"/>
                  <w:left w:val="nil"/>
                  <w:bottom w:val="nil"/>
                  <w:right w:val="nil"/>
                </w:tcBorders>
              </w:tcPr>
              <w:p w14:paraId="3AA9CED9" w14:textId="77777777" w:rsidR="00E01793" w:rsidRPr="00E01793" w:rsidRDefault="00E01793" w:rsidP="00E01793">
                <w:pPr>
                  <w:spacing w:before="60" w:after="60" w:line="259" w:lineRule="auto"/>
                  <w:jc w:val="center"/>
                  <w:rPr>
                    <w:rFonts w:ascii="Arial" w:hAnsi="Arial" w:cs="Arial"/>
                    <w:sz w:val="20"/>
                    <w:szCs w:val="20"/>
                  </w:rPr>
                </w:pPr>
                <w:r w:rsidRPr="00E01793">
                  <w:rPr>
                    <w:rFonts w:ascii="Segoe UI Symbol" w:hAnsi="Segoe UI Symbol" w:cs="Segoe UI Symbol"/>
                    <w:sz w:val="20"/>
                    <w:szCs w:val="20"/>
                  </w:rPr>
                  <w:t>☐</w:t>
                </w:r>
              </w:p>
            </w:tc>
          </w:sdtContent>
        </w:sdt>
      </w:tr>
    </w:tbl>
    <w:p w14:paraId="53FBC7CB" w14:textId="77777777" w:rsidR="00E01793" w:rsidRPr="00E01793" w:rsidRDefault="00E01793" w:rsidP="00E01793">
      <w:pPr>
        <w:spacing w:after="160" w:line="259" w:lineRule="auto"/>
        <w:rPr>
          <w:rFonts w:ascii="Arial" w:eastAsia="Calibri" w:hAnsi="Arial" w:cs="Arial"/>
        </w:rPr>
      </w:pPr>
    </w:p>
    <w:tbl>
      <w:tblPr>
        <w:tblStyle w:val="TableGrid2"/>
        <w:tblW w:w="0" w:type="auto"/>
        <w:tblLook w:val="04A0" w:firstRow="1" w:lastRow="0" w:firstColumn="1" w:lastColumn="0" w:noHBand="0" w:noVBand="1"/>
      </w:tblPr>
      <w:tblGrid>
        <w:gridCol w:w="5912"/>
        <w:gridCol w:w="1127"/>
        <w:gridCol w:w="996"/>
        <w:gridCol w:w="1263"/>
      </w:tblGrid>
      <w:tr w:rsidR="00E01793" w:rsidRPr="00E01793" w14:paraId="3D4A32EC" w14:textId="77777777" w:rsidTr="00340B99">
        <w:tc>
          <w:tcPr>
            <w:tcW w:w="6096" w:type="dxa"/>
            <w:tcBorders>
              <w:top w:val="nil"/>
              <w:left w:val="nil"/>
              <w:bottom w:val="nil"/>
              <w:right w:val="nil"/>
            </w:tcBorders>
          </w:tcPr>
          <w:p w14:paraId="7D2CA9C2" w14:textId="77777777" w:rsidR="00E01793" w:rsidRPr="00E01793" w:rsidRDefault="00E01793" w:rsidP="00E01793">
            <w:pPr>
              <w:spacing w:before="60" w:after="60" w:line="259" w:lineRule="auto"/>
              <w:rPr>
                <w:rFonts w:ascii="Arial" w:hAnsi="Arial" w:cs="Arial"/>
                <w:sz w:val="20"/>
                <w:szCs w:val="20"/>
              </w:rPr>
            </w:pPr>
            <w:r w:rsidRPr="00E01793">
              <w:rPr>
                <w:rFonts w:ascii="Arial" w:hAnsi="Arial" w:cs="Arial"/>
                <w:b/>
                <w:sz w:val="20"/>
                <w:szCs w:val="20"/>
              </w:rPr>
              <w:t>Please rate the degree to which this activity is relevant to your practice</w:t>
            </w:r>
          </w:p>
        </w:tc>
        <w:tc>
          <w:tcPr>
            <w:tcW w:w="1134" w:type="dxa"/>
            <w:tcBorders>
              <w:top w:val="nil"/>
              <w:left w:val="nil"/>
              <w:bottom w:val="nil"/>
              <w:right w:val="nil"/>
            </w:tcBorders>
          </w:tcPr>
          <w:p w14:paraId="357970B6" w14:textId="77777777" w:rsidR="00E01793" w:rsidRPr="00E01793" w:rsidRDefault="00E01793" w:rsidP="00E01793">
            <w:pPr>
              <w:spacing w:before="60" w:after="60" w:line="259" w:lineRule="auto"/>
              <w:rPr>
                <w:rFonts w:ascii="Arial" w:hAnsi="Arial" w:cs="Arial"/>
                <w:sz w:val="20"/>
                <w:szCs w:val="20"/>
              </w:rPr>
            </w:pPr>
            <w:r w:rsidRPr="00E01793">
              <w:rPr>
                <w:rFonts w:ascii="Arial" w:hAnsi="Arial" w:cs="Arial"/>
                <w:sz w:val="20"/>
                <w:szCs w:val="20"/>
              </w:rPr>
              <w:t>Not relevant</w:t>
            </w:r>
          </w:p>
        </w:tc>
        <w:tc>
          <w:tcPr>
            <w:tcW w:w="999" w:type="dxa"/>
            <w:tcBorders>
              <w:top w:val="nil"/>
              <w:left w:val="nil"/>
              <w:bottom w:val="nil"/>
              <w:right w:val="nil"/>
            </w:tcBorders>
          </w:tcPr>
          <w:p w14:paraId="0EE5CC10" w14:textId="77777777" w:rsidR="00E01793" w:rsidRPr="00E01793" w:rsidRDefault="00E01793" w:rsidP="00E01793">
            <w:pPr>
              <w:spacing w:before="60" w:after="60" w:line="259" w:lineRule="auto"/>
              <w:rPr>
                <w:rFonts w:ascii="Arial" w:hAnsi="Arial" w:cs="Arial"/>
                <w:sz w:val="20"/>
                <w:szCs w:val="20"/>
              </w:rPr>
            </w:pPr>
            <w:r w:rsidRPr="00E01793">
              <w:rPr>
                <w:rFonts w:ascii="Arial" w:hAnsi="Arial" w:cs="Arial"/>
                <w:sz w:val="20"/>
                <w:szCs w:val="20"/>
              </w:rPr>
              <w:t>Partially relevant</w:t>
            </w:r>
          </w:p>
        </w:tc>
        <w:tc>
          <w:tcPr>
            <w:tcW w:w="1276" w:type="dxa"/>
            <w:tcBorders>
              <w:top w:val="nil"/>
              <w:left w:val="nil"/>
              <w:bottom w:val="nil"/>
              <w:right w:val="nil"/>
            </w:tcBorders>
          </w:tcPr>
          <w:p w14:paraId="20D24267" w14:textId="77777777" w:rsidR="00E01793" w:rsidRPr="00E01793" w:rsidRDefault="00E01793" w:rsidP="00E01793">
            <w:pPr>
              <w:spacing w:before="60" w:after="60" w:line="259" w:lineRule="auto"/>
              <w:rPr>
                <w:rFonts w:ascii="Arial" w:hAnsi="Arial" w:cs="Arial"/>
                <w:sz w:val="20"/>
                <w:szCs w:val="20"/>
              </w:rPr>
            </w:pPr>
            <w:r w:rsidRPr="00E01793">
              <w:rPr>
                <w:rFonts w:ascii="Arial" w:hAnsi="Arial" w:cs="Arial"/>
                <w:sz w:val="20"/>
                <w:szCs w:val="20"/>
              </w:rPr>
              <w:t>Entirely relevant</w:t>
            </w:r>
          </w:p>
        </w:tc>
      </w:tr>
      <w:tr w:rsidR="00E01793" w:rsidRPr="00E01793" w14:paraId="7647B780" w14:textId="77777777" w:rsidTr="00340B99">
        <w:tc>
          <w:tcPr>
            <w:tcW w:w="6096" w:type="dxa"/>
            <w:tcBorders>
              <w:top w:val="nil"/>
              <w:left w:val="nil"/>
              <w:bottom w:val="nil"/>
              <w:right w:val="nil"/>
            </w:tcBorders>
          </w:tcPr>
          <w:p w14:paraId="629068D7" w14:textId="77777777" w:rsidR="00E01793" w:rsidRPr="00E01793" w:rsidRDefault="00E01793" w:rsidP="00E01793">
            <w:pPr>
              <w:spacing w:before="60" w:after="60" w:line="276" w:lineRule="auto"/>
              <w:ind w:left="426"/>
              <w:contextualSpacing/>
              <w:rPr>
                <w:rFonts w:ascii="Arial" w:hAnsi="Arial" w:cs="Arial"/>
                <w:sz w:val="20"/>
                <w:szCs w:val="20"/>
              </w:rPr>
            </w:pPr>
          </w:p>
        </w:tc>
        <w:sdt>
          <w:sdtPr>
            <w:rPr>
              <w:rFonts w:ascii="Arial" w:hAnsi="Arial" w:cs="Arial"/>
            </w:rPr>
            <w:id w:val="602072710"/>
            <w14:checkbox>
              <w14:checked w14:val="0"/>
              <w14:checkedState w14:val="2612" w14:font="MS Gothic"/>
              <w14:uncheckedState w14:val="2610" w14:font="MS Gothic"/>
            </w14:checkbox>
          </w:sdtPr>
          <w:sdtEndPr/>
          <w:sdtContent>
            <w:tc>
              <w:tcPr>
                <w:tcW w:w="1134" w:type="dxa"/>
                <w:tcBorders>
                  <w:top w:val="nil"/>
                  <w:left w:val="nil"/>
                  <w:bottom w:val="nil"/>
                  <w:right w:val="nil"/>
                </w:tcBorders>
              </w:tcPr>
              <w:p w14:paraId="5912E987" w14:textId="77777777" w:rsidR="00E01793" w:rsidRPr="00E01793" w:rsidRDefault="00E01793" w:rsidP="00E01793">
                <w:pPr>
                  <w:spacing w:before="60" w:after="60" w:line="259" w:lineRule="auto"/>
                  <w:jc w:val="center"/>
                  <w:rPr>
                    <w:rFonts w:ascii="Arial" w:hAnsi="Arial" w:cs="Arial"/>
                    <w:sz w:val="20"/>
                    <w:szCs w:val="20"/>
                  </w:rPr>
                </w:pPr>
                <w:r w:rsidRPr="00E01793">
                  <w:rPr>
                    <w:rFonts w:ascii="Segoe UI Symbol" w:hAnsi="Segoe UI Symbol" w:cs="Segoe UI Symbol"/>
                    <w:sz w:val="20"/>
                    <w:szCs w:val="20"/>
                  </w:rPr>
                  <w:t>☐</w:t>
                </w:r>
              </w:p>
            </w:tc>
          </w:sdtContent>
        </w:sdt>
        <w:sdt>
          <w:sdtPr>
            <w:rPr>
              <w:rFonts w:ascii="Arial" w:hAnsi="Arial" w:cs="Arial"/>
            </w:rPr>
            <w:id w:val="307369080"/>
            <w14:checkbox>
              <w14:checked w14:val="0"/>
              <w14:checkedState w14:val="2612" w14:font="MS Gothic"/>
              <w14:uncheckedState w14:val="2610" w14:font="MS Gothic"/>
            </w14:checkbox>
          </w:sdtPr>
          <w:sdtEndPr/>
          <w:sdtContent>
            <w:tc>
              <w:tcPr>
                <w:tcW w:w="999" w:type="dxa"/>
                <w:tcBorders>
                  <w:top w:val="nil"/>
                  <w:left w:val="nil"/>
                  <w:bottom w:val="nil"/>
                  <w:right w:val="nil"/>
                </w:tcBorders>
              </w:tcPr>
              <w:p w14:paraId="4595CFB0" w14:textId="77777777" w:rsidR="00E01793" w:rsidRPr="00E01793" w:rsidRDefault="00E01793" w:rsidP="00E01793">
                <w:pPr>
                  <w:spacing w:before="60" w:after="60" w:line="259" w:lineRule="auto"/>
                  <w:jc w:val="center"/>
                  <w:rPr>
                    <w:rFonts w:ascii="Arial" w:hAnsi="Arial" w:cs="Arial"/>
                    <w:sz w:val="20"/>
                    <w:szCs w:val="20"/>
                  </w:rPr>
                </w:pPr>
                <w:r w:rsidRPr="00E01793">
                  <w:rPr>
                    <w:rFonts w:ascii="Segoe UI Symbol" w:hAnsi="Segoe UI Symbol" w:cs="Segoe UI Symbol"/>
                    <w:sz w:val="20"/>
                    <w:szCs w:val="20"/>
                  </w:rPr>
                  <w:t>☐</w:t>
                </w:r>
              </w:p>
            </w:tc>
          </w:sdtContent>
        </w:sdt>
        <w:sdt>
          <w:sdtPr>
            <w:rPr>
              <w:rFonts w:ascii="Arial" w:hAnsi="Arial" w:cs="Arial"/>
            </w:rPr>
            <w:id w:val="-2101943775"/>
            <w14:checkbox>
              <w14:checked w14:val="0"/>
              <w14:checkedState w14:val="2612" w14:font="MS Gothic"/>
              <w14:uncheckedState w14:val="2610" w14:font="MS Gothic"/>
            </w14:checkbox>
          </w:sdtPr>
          <w:sdtEndPr/>
          <w:sdtContent>
            <w:tc>
              <w:tcPr>
                <w:tcW w:w="1276" w:type="dxa"/>
                <w:tcBorders>
                  <w:top w:val="nil"/>
                  <w:left w:val="nil"/>
                  <w:bottom w:val="nil"/>
                  <w:right w:val="nil"/>
                </w:tcBorders>
              </w:tcPr>
              <w:p w14:paraId="1F4D5F24" w14:textId="77777777" w:rsidR="00E01793" w:rsidRPr="00E01793" w:rsidRDefault="00E01793" w:rsidP="00E01793">
                <w:pPr>
                  <w:spacing w:before="60" w:after="60" w:line="259" w:lineRule="auto"/>
                  <w:jc w:val="center"/>
                  <w:rPr>
                    <w:rFonts w:ascii="Arial" w:hAnsi="Arial" w:cs="Arial"/>
                    <w:sz w:val="20"/>
                    <w:szCs w:val="20"/>
                  </w:rPr>
                </w:pPr>
                <w:r w:rsidRPr="00E01793">
                  <w:rPr>
                    <w:rFonts w:ascii="Segoe UI Symbol" w:hAnsi="Segoe UI Symbol" w:cs="Segoe UI Symbol"/>
                    <w:sz w:val="20"/>
                    <w:szCs w:val="20"/>
                  </w:rPr>
                  <w:t>☐</w:t>
                </w:r>
              </w:p>
            </w:tc>
          </w:sdtContent>
        </w:sdt>
      </w:tr>
    </w:tbl>
    <w:p w14:paraId="38579805" w14:textId="77777777" w:rsidR="00E01793" w:rsidRPr="00E01793" w:rsidRDefault="00E01793" w:rsidP="00E01793">
      <w:pPr>
        <w:spacing w:after="160" w:line="259" w:lineRule="auto"/>
        <w:rPr>
          <w:rFonts w:ascii="Arial" w:eastAsia="Calibri" w:hAnsi="Arial" w:cs="Arial"/>
          <w:b/>
        </w:rPr>
      </w:pPr>
    </w:p>
    <w:p w14:paraId="136FCEA9" w14:textId="77777777" w:rsidR="00E01793" w:rsidRPr="00E01793" w:rsidRDefault="00E01793" w:rsidP="00E01793">
      <w:pPr>
        <w:spacing w:after="160" w:line="259" w:lineRule="auto"/>
        <w:rPr>
          <w:rFonts w:ascii="Arial" w:eastAsia="Calibri" w:hAnsi="Arial" w:cs="Arial"/>
          <w:b/>
        </w:rPr>
      </w:pPr>
      <w:r w:rsidRPr="00E01793">
        <w:rPr>
          <w:rFonts w:ascii="Arial" w:eastAsia="Calibri" w:hAnsi="Arial" w:cs="Arial"/>
          <w:b/>
        </w:rPr>
        <w:t>What changes did you implement in your practice as a result of this activity?</w:t>
      </w:r>
    </w:p>
    <w:tbl>
      <w:tblPr>
        <w:tblStyle w:val="PlainTable21"/>
        <w:tblW w:w="0" w:type="auto"/>
        <w:tblCellMar>
          <w:top w:w="57" w:type="dxa"/>
          <w:left w:w="57" w:type="dxa"/>
          <w:bottom w:w="57" w:type="dxa"/>
          <w:right w:w="57" w:type="dxa"/>
        </w:tblCellMar>
        <w:tblLook w:val="04A0" w:firstRow="1" w:lastRow="0" w:firstColumn="1" w:lastColumn="0" w:noHBand="0" w:noVBand="1"/>
      </w:tblPr>
      <w:tblGrid>
        <w:gridCol w:w="9298"/>
      </w:tblGrid>
      <w:tr w:rsidR="00E01793" w:rsidRPr="00E01793" w14:paraId="1FC0A628" w14:textId="77777777" w:rsidTr="007322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8" w:type="dxa"/>
          </w:tcPr>
          <w:p w14:paraId="4357F0E0" w14:textId="77777777" w:rsidR="00E01793" w:rsidRPr="00E01793" w:rsidRDefault="00E01793" w:rsidP="00E01793">
            <w:pPr>
              <w:spacing w:after="160" w:line="259" w:lineRule="auto"/>
              <w:rPr>
                <w:rFonts w:ascii="Arial" w:hAnsi="Arial" w:cs="Arial"/>
                <w:sz w:val="20"/>
                <w:szCs w:val="20"/>
              </w:rPr>
            </w:pPr>
          </w:p>
        </w:tc>
      </w:tr>
    </w:tbl>
    <w:p w14:paraId="3CB30BC5" w14:textId="77777777" w:rsidR="00E01793" w:rsidRPr="00E01793" w:rsidRDefault="00E01793" w:rsidP="00E01793">
      <w:pPr>
        <w:spacing w:after="160" w:line="259" w:lineRule="auto"/>
        <w:rPr>
          <w:rFonts w:ascii="Arial" w:eastAsia="Calibri" w:hAnsi="Arial" w:cs="Arial"/>
          <w:b/>
        </w:rPr>
      </w:pPr>
    </w:p>
    <w:p w14:paraId="3BD76A18" w14:textId="77777777" w:rsidR="00E01793" w:rsidRPr="00E01793" w:rsidRDefault="00E01793" w:rsidP="00E01793">
      <w:pPr>
        <w:spacing w:after="160" w:line="259" w:lineRule="auto"/>
        <w:rPr>
          <w:rFonts w:ascii="Arial" w:eastAsia="Calibri" w:hAnsi="Arial" w:cs="Arial"/>
          <w:b/>
        </w:rPr>
      </w:pPr>
      <w:r w:rsidRPr="00E01793">
        <w:rPr>
          <w:rFonts w:ascii="Arial" w:eastAsia="Calibri" w:hAnsi="Arial" w:cs="Arial"/>
          <w:b/>
        </w:rPr>
        <w:t>How do you monitor these changes?</w:t>
      </w:r>
    </w:p>
    <w:tbl>
      <w:tblPr>
        <w:tblStyle w:val="PlainTable21"/>
        <w:tblW w:w="0" w:type="auto"/>
        <w:tblCellMar>
          <w:top w:w="57" w:type="dxa"/>
          <w:left w:w="57" w:type="dxa"/>
          <w:bottom w:w="57" w:type="dxa"/>
          <w:right w:w="57" w:type="dxa"/>
        </w:tblCellMar>
        <w:tblLook w:val="04A0" w:firstRow="1" w:lastRow="0" w:firstColumn="1" w:lastColumn="0" w:noHBand="0" w:noVBand="1"/>
      </w:tblPr>
      <w:tblGrid>
        <w:gridCol w:w="9298"/>
      </w:tblGrid>
      <w:tr w:rsidR="00E01793" w:rsidRPr="00E01793" w14:paraId="7D20FB78" w14:textId="77777777" w:rsidTr="007322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8" w:type="dxa"/>
          </w:tcPr>
          <w:p w14:paraId="520DF947" w14:textId="77777777" w:rsidR="00E01793" w:rsidRPr="00E01793" w:rsidRDefault="00E01793" w:rsidP="00E01793">
            <w:pPr>
              <w:spacing w:after="160" w:line="259" w:lineRule="auto"/>
              <w:rPr>
                <w:rFonts w:ascii="Arial" w:hAnsi="Arial" w:cs="Arial"/>
                <w:sz w:val="20"/>
                <w:szCs w:val="20"/>
              </w:rPr>
            </w:pPr>
          </w:p>
        </w:tc>
      </w:tr>
    </w:tbl>
    <w:p w14:paraId="755C3343" w14:textId="77777777" w:rsidR="00E01793" w:rsidRPr="00E01793" w:rsidRDefault="00E01793" w:rsidP="00E01793">
      <w:pPr>
        <w:spacing w:after="160" w:line="259" w:lineRule="auto"/>
        <w:rPr>
          <w:rFonts w:ascii="Arial" w:eastAsia="Calibri" w:hAnsi="Arial" w:cs="Arial"/>
          <w:b/>
        </w:rPr>
      </w:pPr>
    </w:p>
    <w:p w14:paraId="6D27772A" w14:textId="77777777" w:rsidR="00E01793" w:rsidRPr="00E01793" w:rsidRDefault="00E01793" w:rsidP="00E01793">
      <w:pPr>
        <w:spacing w:after="160" w:line="259" w:lineRule="auto"/>
        <w:rPr>
          <w:rFonts w:ascii="Arial" w:eastAsia="Calibri" w:hAnsi="Arial" w:cs="Arial"/>
          <w:b/>
        </w:rPr>
      </w:pPr>
      <w:r w:rsidRPr="00E01793">
        <w:rPr>
          <w:rFonts w:ascii="Arial" w:eastAsia="Calibri" w:hAnsi="Arial" w:cs="Arial"/>
          <w:b/>
        </w:rPr>
        <w:t>What evaluation process do you use to monitor these changes?</w:t>
      </w:r>
    </w:p>
    <w:tbl>
      <w:tblPr>
        <w:tblStyle w:val="PlainTable21"/>
        <w:tblW w:w="0" w:type="auto"/>
        <w:tblCellMar>
          <w:top w:w="57" w:type="dxa"/>
          <w:left w:w="57" w:type="dxa"/>
          <w:bottom w:w="57" w:type="dxa"/>
          <w:right w:w="57" w:type="dxa"/>
        </w:tblCellMar>
        <w:tblLook w:val="04A0" w:firstRow="1" w:lastRow="0" w:firstColumn="1" w:lastColumn="0" w:noHBand="0" w:noVBand="1"/>
      </w:tblPr>
      <w:tblGrid>
        <w:gridCol w:w="9026"/>
      </w:tblGrid>
      <w:tr w:rsidR="00E01793" w:rsidRPr="00E01793" w14:paraId="6D3FB871" w14:textId="77777777" w:rsidTr="00340B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1E1380C5" w14:textId="77777777" w:rsidR="00E01793" w:rsidRPr="00E01793" w:rsidRDefault="00E01793" w:rsidP="00E01793">
            <w:pPr>
              <w:spacing w:after="160" w:line="259" w:lineRule="auto"/>
              <w:rPr>
                <w:rFonts w:ascii="Arial" w:hAnsi="Arial" w:cs="Arial"/>
                <w:sz w:val="20"/>
                <w:szCs w:val="20"/>
              </w:rPr>
            </w:pPr>
          </w:p>
        </w:tc>
      </w:tr>
    </w:tbl>
    <w:p w14:paraId="4093ADB4" w14:textId="77777777" w:rsidR="00E01793" w:rsidRPr="00E01793" w:rsidRDefault="00E01793" w:rsidP="00E01793">
      <w:pPr>
        <w:spacing w:after="160" w:line="259" w:lineRule="auto"/>
        <w:rPr>
          <w:rFonts w:ascii="Arial" w:eastAsia="Calibri" w:hAnsi="Arial" w:cs="Arial"/>
          <w:b/>
        </w:rPr>
      </w:pPr>
    </w:p>
    <w:p w14:paraId="7C7BA688" w14:textId="77777777" w:rsidR="00E01793" w:rsidRPr="00E01793" w:rsidRDefault="00E01793" w:rsidP="00E01793">
      <w:pPr>
        <w:spacing w:after="160" w:line="259" w:lineRule="auto"/>
        <w:rPr>
          <w:rFonts w:ascii="Arial" w:eastAsia="Calibri" w:hAnsi="Arial" w:cs="Arial"/>
          <w:b/>
        </w:rPr>
      </w:pPr>
      <w:r w:rsidRPr="00E01793">
        <w:rPr>
          <w:rFonts w:ascii="Arial" w:eastAsia="Calibri" w:hAnsi="Arial" w:cs="Arial"/>
          <w:b/>
        </w:rPr>
        <w:t>Thank you for your feedback.</w:t>
      </w:r>
    </w:p>
    <w:p w14:paraId="2EB0AEF0" w14:textId="77777777" w:rsidR="00E01793" w:rsidRPr="00E01793" w:rsidRDefault="00E01793" w:rsidP="00E01793">
      <w:pPr>
        <w:spacing w:after="160" w:line="259" w:lineRule="auto"/>
        <w:rPr>
          <w:rFonts w:ascii="Arial" w:eastAsia="Calibri" w:hAnsi="Arial" w:cs="Arial"/>
          <w:b/>
        </w:rPr>
      </w:pPr>
      <w:r w:rsidRPr="00E01793">
        <w:rPr>
          <w:rFonts w:ascii="Arial" w:eastAsia="Calibri" w:hAnsi="Arial" w:cs="Arial"/>
          <w:b/>
        </w:rPr>
        <w:br w:type="page"/>
      </w:r>
    </w:p>
    <w:p w14:paraId="4B33E6A8" w14:textId="77777777" w:rsidR="00E01793" w:rsidRDefault="007322F3" w:rsidP="007322F3">
      <w:pPr>
        <w:pStyle w:val="Heading1"/>
      </w:pPr>
      <w:bookmarkStart w:id="16" w:name="_Toc48054062"/>
      <w:r w:rsidRPr="007322F3">
        <w:lastRenderedPageBreak/>
        <w:t>Appendix 5: Example of results summary provided to reporting GPs</w:t>
      </w:r>
      <w:bookmarkEnd w:id="16"/>
    </w:p>
    <w:p w14:paraId="067E71C6" w14:textId="72BF94F8" w:rsidR="00844592" w:rsidRDefault="007B45DA">
      <w:pPr>
        <w:rPr>
          <w:rFonts w:eastAsia="Calibri" w:cs="Arial"/>
          <w:b/>
        </w:rPr>
      </w:pPr>
      <w:hyperlink r:id="rId20" w:history="1">
        <w:r w:rsidR="00C37BF1">
          <w:rPr>
            <w:rFonts w:eastAsia="Calibri" w:cs="Arial"/>
            <w:b/>
            <w:noProof/>
          </w:rPr>
          <w:object w:dxaOrig="8925" w:dyaOrig="12630" w14:anchorId="730919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ppendix 5 shows a sample of the report provided back to the general practitioner. Each report is individualised to the reporting general practitioner. An overall summary includes feedback on the percentage of patients who received complete preoperative testing, percentage of iron deficient/anaemic patients reported as diagnosed, as well as percentage of patients reported as managed according to guidelines. The report then aligns each patient to the preoperative haemoglobin assessment and optimisation template, highlighting where the patient care was aligned or not aligned." style="width:407pt;height:8in;mso-width-percent:0;mso-height-percent:0;mso-width-percent:0;mso-height-percent:0" o:ole="">
              <v:imagedata r:id="rId21" o:title=""/>
            </v:shape>
            <o:OLEObject Type="Embed" ProgID="AcroExch.Document.DC" ShapeID="_x0000_i1025" DrawAspect="Content" ObjectID="_1659446731" r:id="rId22"/>
          </w:object>
        </w:r>
      </w:hyperlink>
    </w:p>
    <w:p w14:paraId="107291AB" w14:textId="77777777" w:rsidR="00AB6D2D" w:rsidRDefault="00AB6D2D">
      <w:pPr>
        <w:rPr>
          <w:rFonts w:eastAsia="Calibri" w:cs="Arial"/>
          <w:b/>
        </w:rPr>
        <w:sectPr w:rsidR="00AB6D2D" w:rsidSect="00A34429">
          <w:pgSz w:w="11906" w:h="16838"/>
          <w:pgMar w:top="1701" w:right="1304" w:bottom="1134" w:left="1304" w:header="454" w:footer="510" w:gutter="0"/>
          <w:cols w:space="720"/>
          <w:docGrid w:linePitch="360"/>
        </w:sectPr>
      </w:pPr>
    </w:p>
    <w:p w14:paraId="51386777" w14:textId="77777777" w:rsidR="00A34429" w:rsidRDefault="005C76FF">
      <w:pPr>
        <w:rPr>
          <w:rFonts w:eastAsia="Calibri" w:cs="Arial"/>
          <w:b/>
          <w:noProof/>
        </w:rPr>
        <w:sectPr w:rsidR="00A34429" w:rsidSect="00A34429">
          <w:pgSz w:w="16838" w:h="11906" w:orient="landscape"/>
          <w:pgMar w:top="1304" w:right="1701" w:bottom="1304" w:left="1134" w:header="454" w:footer="510" w:gutter="0"/>
          <w:cols w:space="720"/>
          <w:docGrid w:linePitch="360"/>
        </w:sectPr>
      </w:pPr>
      <w:r>
        <w:rPr>
          <w:rFonts w:eastAsia="Calibri" w:cs="Arial"/>
          <w:b/>
          <w:noProof/>
        </w:rPr>
        <w:object w:dxaOrig="12630" w:dyaOrig="8925" w14:anchorId="069F2841">
          <v:shape id="_x0000_i1026" type="#_x0000_t75" alt="" style="width:632pt;height:447pt;mso-width-percent:0;mso-height-percent:0;mso-width-percent:0;mso-height-percent:0" o:ole="">
            <v:imagedata r:id="rId23" o:title=""/>
          </v:shape>
          <o:OLEObject Type="Embed" ProgID="AcroExch.Document.DC" ShapeID="_x0000_i1026" DrawAspect="Content" ObjectID="_1659446732" r:id="rId24"/>
        </w:object>
      </w:r>
    </w:p>
    <w:p w14:paraId="4F248912" w14:textId="77777777" w:rsidR="0054206A" w:rsidRDefault="005C76FF">
      <w:pPr>
        <w:rPr>
          <w:rFonts w:eastAsia="Calibri" w:cs="Arial"/>
          <w:b/>
          <w:noProof/>
        </w:rPr>
        <w:sectPr w:rsidR="0054206A" w:rsidSect="0054206A">
          <w:pgSz w:w="16838" w:h="11906" w:orient="landscape"/>
          <w:pgMar w:top="1304" w:right="1701" w:bottom="1304" w:left="1134" w:header="454" w:footer="510" w:gutter="0"/>
          <w:cols w:space="720"/>
          <w:docGrid w:linePitch="360"/>
        </w:sectPr>
      </w:pPr>
      <w:r>
        <w:rPr>
          <w:rFonts w:eastAsia="Calibri" w:cs="Arial"/>
          <w:b/>
          <w:noProof/>
        </w:rPr>
        <w:object w:dxaOrig="12630" w:dyaOrig="8925" w14:anchorId="004DFEF3">
          <v:shape id="_x0000_i1027" type="#_x0000_t75" alt="" style="width:632pt;height:447pt;mso-width-percent:0;mso-height-percent:0;mso-width-percent:0;mso-height-percent:0" o:ole="">
            <v:imagedata r:id="rId25" o:title=""/>
          </v:shape>
          <o:OLEObject Type="Embed" ProgID="AcroExch.Document.DC" ShapeID="_x0000_i1027" DrawAspect="Content" ObjectID="_1659446733" r:id="rId26"/>
        </w:object>
      </w:r>
    </w:p>
    <w:p w14:paraId="471CD262" w14:textId="0B18BD58" w:rsidR="00AB6D2D" w:rsidRDefault="005C76FF">
      <w:pPr>
        <w:rPr>
          <w:rFonts w:eastAsia="Calibri" w:cs="Arial"/>
          <w:b/>
        </w:rPr>
        <w:sectPr w:rsidR="00AB6D2D" w:rsidSect="0054206A">
          <w:pgSz w:w="16838" w:h="11906" w:orient="landscape"/>
          <w:pgMar w:top="1304" w:right="1701" w:bottom="1304" w:left="1134" w:header="454" w:footer="510" w:gutter="0"/>
          <w:cols w:space="720"/>
          <w:docGrid w:linePitch="360"/>
        </w:sectPr>
      </w:pPr>
      <w:r>
        <w:rPr>
          <w:rFonts w:eastAsia="Calibri" w:cs="Arial"/>
          <w:b/>
          <w:noProof/>
        </w:rPr>
        <w:object w:dxaOrig="12630" w:dyaOrig="8925" w14:anchorId="79DA57A5">
          <v:shape id="_x0000_i1028" type="#_x0000_t75" alt="" style="width:632pt;height:447pt;mso-width-percent:0;mso-height-percent:0;mso-width-percent:0;mso-height-percent:0" o:ole="">
            <v:imagedata r:id="rId27" o:title=""/>
          </v:shape>
          <o:OLEObject Type="Embed" ProgID="AcroExch.Document.DC" ShapeID="_x0000_i1028" DrawAspect="Content" ObjectID="_1659446734" r:id="rId28"/>
        </w:object>
      </w:r>
    </w:p>
    <w:p w14:paraId="51966D01" w14:textId="4CA3348A" w:rsidR="007322F3" w:rsidRDefault="007322F3" w:rsidP="007322F3">
      <w:pPr>
        <w:pStyle w:val="Heading1"/>
      </w:pPr>
      <w:bookmarkStart w:id="17" w:name="_Toc48054063"/>
      <w:r w:rsidRPr="007322F3">
        <w:lastRenderedPageBreak/>
        <w:t>Appendix 6: Transfus</w:t>
      </w:r>
      <w:r w:rsidR="00712BE8">
        <w:t>E</w:t>
      </w:r>
      <w:r w:rsidRPr="007322F3">
        <w:t>d workshop for GPs</w:t>
      </w:r>
      <w:bookmarkEnd w:id="17"/>
    </w:p>
    <w:p w14:paraId="513C3C35" w14:textId="77777777" w:rsidR="00E01793" w:rsidRDefault="007322F3" w:rsidP="00E01793">
      <w:pPr>
        <w:pStyle w:val="DHHSbody"/>
      </w:pPr>
      <w:r>
        <w:rPr>
          <w:noProof/>
          <w:lang w:eastAsia="en-AU"/>
        </w:rPr>
        <w:drawing>
          <wp:inline distT="0" distB="0" distL="0" distR="0" wp14:anchorId="4CE78020" wp14:editId="682B33EC">
            <wp:extent cx="5523230" cy="7754620"/>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23230" cy="7754620"/>
                    </a:xfrm>
                    <a:prstGeom prst="rect">
                      <a:avLst/>
                    </a:prstGeom>
                    <a:noFill/>
                  </pic:spPr>
                </pic:pic>
              </a:graphicData>
            </a:graphic>
          </wp:inline>
        </w:drawing>
      </w:r>
    </w:p>
    <w:p w14:paraId="0EDE9380" w14:textId="77777777" w:rsidR="007322F3" w:rsidRPr="00E01793" w:rsidRDefault="007322F3" w:rsidP="00E01793">
      <w:pPr>
        <w:pStyle w:val="DHHSbody"/>
      </w:pPr>
      <w:r>
        <w:rPr>
          <w:noProof/>
          <w:lang w:eastAsia="en-AU"/>
        </w:rPr>
        <w:lastRenderedPageBreak/>
        <w:drawing>
          <wp:inline distT="0" distB="0" distL="0" distR="0" wp14:anchorId="5C73DEF1" wp14:editId="643CA734">
            <wp:extent cx="5590540" cy="780986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90540" cy="7809865"/>
                    </a:xfrm>
                    <a:prstGeom prst="rect">
                      <a:avLst/>
                    </a:prstGeom>
                    <a:noFill/>
                  </pic:spPr>
                </pic:pic>
              </a:graphicData>
            </a:graphic>
          </wp:inline>
        </w:drawing>
      </w:r>
    </w:p>
    <w:p w14:paraId="0BCD4B9A" w14:textId="77777777" w:rsidR="00E01793" w:rsidRPr="00E01793" w:rsidRDefault="00E01793" w:rsidP="00E01793">
      <w:pPr>
        <w:pStyle w:val="DHHSbody"/>
      </w:pPr>
    </w:p>
    <w:sectPr w:rsidR="00E01793" w:rsidRPr="00E01793" w:rsidSect="00A34429">
      <w:pgSz w:w="11906" w:h="16838"/>
      <w:pgMar w:top="1701" w:right="1304" w:bottom="1134" w:left="1304" w:header="454" w:footer="51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D40417" w16cex:dateUtc="2020-08-04T05:58:00Z"/>
  <w16cex:commentExtensible w16cex:durableId="22D40454" w16cex:dateUtc="2020-08-04T05: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C596807" w16cid:durableId="22D40417"/>
  <w16cid:commentId w16cid:paraId="4767F885" w16cid:durableId="22D4045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24A606" w14:textId="77777777" w:rsidR="00D72EC2" w:rsidRDefault="00D72EC2">
      <w:r>
        <w:separator/>
      </w:r>
    </w:p>
  </w:endnote>
  <w:endnote w:type="continuationSeparator" w:id="0">
    <w:p w14:paraId="2BAA8C7A" w14:textId="77777777" w:rsidR="00D72EC2" w:rsidRDefault="00D72E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Lucida Grande">
    <w:charset w:val="00"/>
    <w:family w:val="auto"/>
    <w:pitch w:val="variable"/>
    <w:sig w:usb0="E1001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2D7880" w14:textId="2558E622" w:rsidR="00D72EC2" w:rsidRPr="008114D1" w:rsidRDefault="00D72EC2" w:rsidP="00E969B1">
    <w:pPr>
      <w:pStyle w:val="DHHSfooter"/>
    </w:pPr>
    <w:r>
      <w:t xml:space="preserve">Page </w:t>
    </w:r>
    <w:r w:rsidRPr="005A39EC">
      <w:fldChar w:fldCharType="begin"/>
    </w:r>
    <w:r w:rsidRPr="005A39EC">
      <w:instrText xml:space="preserve"> PAGE </w:instrText>
    </w:r>
    <w:r w:rsidRPr="005A39EC">
      <w:fldChar w:fldCharType="separate"/>
    </w:r>
    <w:r w:rsidR="007B45DA">
      <w:rPr>
        <w:noProof/>
      </w:rPr>
      <w:t>8</w:t>
    </w:r>
    <w:r w:rsidRPr="005A39EC">
      <w:fldChar w:fldCharType="end"/>
    </w:r>
    <w:r>
      <w:ptab w:relativeTo="margin" w:alignment="right" w:leader="none"/>
    </w:r>
    <w:r>
      <w:t>GP audit of preoperative anaemia 2019</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A5B8E5" w14:textId="2528F720" w:rsidR="00D72EC2" w:rsidRPr="0031753A" w:rsidRDefault="00D72EC2" w:rsidP="00E969B1">
    <w:pPr>
      <w:pStyle w:val="DHHSfooter"/>
    </w:pPr>
    <w:r w:rsidRPr="007322F3">
      <w:t>GP audit of preoperative anaemia 2019</w:t>
    </w:r>
    <w:r>
      <w:ptab w:relativeTo="margin" w:alignment="right" w:leader="none"/>
    </w:r>
    <w:r w:rsidRPr="0031753A">
      <w:t xml:space="preserve">Page </w:t>
    </w:r>
    <w:r w:rsidRPr="0031753A">
      <w:fldChar w:fldCharType="begin"/>
    </w:r>
    <w:r w:rsidRPr="0031753A">
      <w:instrText xml:space="preserve"> PAGE </w:instrText>
    </w:r>
    <w:r w:rsidRPr="0031753A">
      <w:fldChar w:fldCharType="separate"/>
    </w:r>
    <w:r w:rsidR="007B45DA">
      <w:rPr>
        <w:noProof/>
      </w:rPr>
      <w:t>9</w:t>
    </w:r>
    <w:r w:rsidRPr="0031753A">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2996DE" w14:textId="77777777" w:rsidR="00D72EC2" w:rsidRPr="001A7E04" w:rsidRDefault="00D72EC2" w:rsidP="00AC0C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1D5FC6" w14:textId="77777777" w:rsidR="00D72EC2" w:rsidRDefault="00D72EC2">
      <w:r>
        <w:separator/>
      </w:r>
    </w:p>
  </w:footnote>
  <w:footnote w:type="continuationSeparator" w:id="0">
    <w:p w14:paraId="0B91F9FF" w14:textId="77777777" w:rsidR="00D72EC2" w:rsidRDefault="00D72EC2">
      <w:r>
        <w:continuationSeparator/>
      </w:r>
    </w:p>
  </w:footnote>
  <w:footnote w:id="1">
    <w:p w14:paraId="2F207D5F" w14:textId="06138C1E" w:rsidR="00D72EC2" w:rsidRDefault="00D72EC2" w:rsidP="0047393E">
      <w:pPr>
        <w:pStyle w:val="FootnoteText"/>
      </w:pPr>
      <w:r>
        <w:rPr>
          <w:rStyle w:val="FootnoteReference"/>
        </w:rPr>
        <w:footnoteRef/>
      </w:r>
      <w:r>
        <w:t xml:space="preserve"> It should be noted that while g</w:t>
      </w:r>
      <w:r w:rsidRPr="00AB2F9E">
        <w:t>uideli</w:t>
      </w:r>
      <w:r>
        <w:t xml:space="preserve">nes and algorithms such as NBA PBM Module 2 </w:t>
      </w:r>
      <w:r w:rsidRPr="00AB2F9E">
        <w:t xml:space="preserve">template are valuable tools to guide best practice, </w:t>
      </w:r>
      <w:r>
        <w:t xml:space="preserve">they must be interpreted in </w:t>
      </w:r>
      <w:r w:rsidRPr="00AB2F9E">
        <w:t>light of an individual patient’s clinical circumstances</w:t>
      </w:r>
      <w:r>
        <w:t>.</w:t>
      </w:r>
    </w:p>
  </w:footnote>
  <w:footnote w:id="2">
    <w:p w14:paraId="38D27370" w14:textId="55304C8C" w:rsidR="00D72EC2" w:rsidRDefault="00D72EC2" w:rsidP="00E01793">
      <w:pPr>
        <w:pStyle w:val="FootnoteText"/>
      </w:pPr>
      <w:r>
        <w:rPr>
          <w:rStyle w:val="FootnoteReference"/>
        </w:rPr>
        <w:footnoteRef/>
      </w:r>
      <w:r>
        <w:t xml:space="preserve"> </w:t>
      </w:r>
      <w:r w:rsidRPr="00EC3BB1">
        <w:t>It should be noted that</w:t>
      </w:r>
      <w:r>
        <w:t xml:space="preserve"> while</w:t>
      </w:r>
      <w:r w:rsidRPr="00EC3BB1">
        <w:t xml:space="preserve"> guidelines and algorithms such as </w:t>
      </w:r>
      <w:r w:rsidRPr="00783D1A">
        <w:t xml:space="preserve">NBA PBM Module 2 </w:t>
      </w:r>
      <w:r w:rsidRPr="00EC3BB1">
        <w:t xml:space="preserve">template are valuable tools to guide best practice, </w:t>
      </w:r>
      <w:r>
        <w:t xml:space="preserve">they must be interpreted in </w:t>
      </w:r>
      <w:r w:rsidRPr="00AB2F9E">
        <w:t>light of an individual patient’s clinical circumstances</w:t>
      </w:r>
      <w:r>
        <w:t>.</w:t>
      </w:r>
    </w:p>
  </w:footnote>
  <w:footnote w:id="3">
    <w:p w14:paraId="7CA35E49" w14:textId="77777777" w:rsidR="00D72EC2" w:rsidRDefault="00D72EC2" w:rsidP="00E01793">
      <w:pPr>
        <w:pStyle w:val="FootnoteText"/>
      </w:pPr>
      <w:r>
        <w:rPr>
          <w:rStyle w:val="FootnoteReference"/>
        </w:rPr>
        <w:footnoteRef/>
      </w:r>
      <w:r>
        <w:t xml:space="preserve"> </w:t>
      </w:r>
      <w:r w:rsidRPr="00EC3BB1">
        <w:t xml:space="preserve">It should be noted that guidelines and algorithms such as </w:t>
      </w:r>
      <w:r w:rsidRPr="00783D1A">
        <w:t xml:space="preserve">NBA PBM Module 2 </w:t>
      </w:r>
      <w:r w:rsidRPr="00EC3BB1">
        <w:t>template are valuable tools to guide best practice, however, it must be noted the importance of interpreting in the light of an individual patient’s clinical circumstances.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F1A353" w14:textId="77777777" w:rsidR="00D72EC2" w:rsidRPr="0069374A" w:rsidRDefault="00D72EC2" w:rsidP="00E969B1">
    <w:pPr>
      <w:pStyle w:val="DHHS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B7FA72" w14:textId="77777777" w:rsidR="00D72EC2" w:rsidRDefault="00D72EC2" w:rsidP="00E969B1">
    <w:pPr>
      <w:pStyle w:val="DHHS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D2E30"/>
    <w:multiLevelType w:val="multilevel"/>
    <w:tmpl w:val="4A1477D0"/>
    <w:styleLink w:val="ZZNumbersloweralpha"/>
    <w:lvl w:ilvl="0">
      <w:start w:val="1"/>
      <w:numFmt w:val="lowerLetter"/>
      <w:pStyle w:val="DHHSnumberloweralpha"/>
      <w:lvlText w:val="(%1)"/>
      <w:lvlJc w:val="left"/>
      <w:pPr>
        <w:tabs>
          <w:tab w:val="num" w:pos="397"/>
        </w:tabs>
        <w:ind w:left="397" w:hanging="397"/>
      </w:pPr>
      <w:rPr>
        <w:rFonts w:hint="default"/>
      </w:rPr>
    </w:lvl>
    <w:lvl w:ilvl="1">
      <w:start w:val="1"/>
      <w:numFmt w:val="lowerLetter"/>
      <w:pStyle w:val="DHHS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 w15:restartNumberingAfterBreak="0">
    <w:nsid w:val="0E6B4C56"/>
    <w:multiLevelType w:val="hybridMultilevel"/>
    <w:tmpl w:val="9F9218D0"/>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19F21E86"/>
    <w:multiLevelType w:val="multilevel"/>
    <w:tmpl w:val="4DAAF9DC"/>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3" w15:restartNumberingAfterBreak="0">
    <w:nsid w:val="2B7D0561"/>
    <w:multiLevelType w:val="multilevel"/>
    <w:tmpl w:val="4DAAF9DC"/>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4" w15:restartNumberingAfterBreak="0">
    <w:nsid w:val="37B96CDA"/>
    <w:multiLevelType w:val="multilevel"/>
    <w:tmpl w:val="6EEA797C"/>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5" w15:restartNumberingAfterBreak="0">
    <w:nsid w:val="3E6C68D4"/>
    <w:multiLevelType w:val="multilevel"/>
    <w:tmpl w:val="0C78D532"/>
    <w:styleLink w:val="ZZNumbersdigit"/>
    <w:lvl w:ilvl="0">
      <w:start w:val="1"/>
      <w:numFmt w:val="decimal"/>
      <w:pStyle w:val="DHHSnumberdigit"/>
      <w:lvlText w:val="%1."/>
      <w:lvlJc w:val="left"/>
      <w:pPr>
        <w:tabs>
          <w:tab w:val="num" w:pos="397"/>
        </w:tabs>
        <w:ind w:left="397" w:hanging="397"/>
      </w:pPr>
      <w:rPr>
        <w:rFonts w:hint="default"/>
      </w:rPr>
    </w:lvl>
    <w:lvl w:ilvl="1">
      <w:start w:val="1"/>
      <w:numFmt w:val="decimal"/>
      <w:pStyle w:val="DHHSnumberdigitindent"/>
      <w:lvlText w:val="%2."/>
      <w:lvlJc w:val="left"/>
      <w:pPr>
        <w:tabs>
          <w:tab w:val="num" w:pos="794"/>
        </w:tabs>
        <w:ind w:left="794" w:hanging="397"/>
      </w:pPr>
      <w:rPr>
        <w:rFonts w:hint="default"/>
      </w:rPr>
    </w:lvl>
    <w:lvl w:ilvl="2">
      <w:start w:val="1"/>
      <w:numFmt w:val="bullet"/>
      <w:lvlRestart w:val="0"/>
      <w:pStyle w:val="DHHSbulletafternumbers1"/>
      <w:lvlText w:val="•"/>
      <w:lvlJc w:val="left"/>
      <w:pPr>
        <w:ind w:left="794" w:hanging="397"/>
      </w:pPr>
      <w:rPr>
        <w:rFonts w:ascii="Calibri" w:hAnsi="Calibri" w:hint="default"/>
        <w:color w:val="auto"/>
      </w:rPr>
    </w:lvl>
    <w:lvl w:ilvl="3">
      <w:start w:val="1"/>
      <w:numFmt w:val="bullet"/>
      <w:lvlRestart w:val="0"/>
      <w:pStyle w:val="DHHS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6" w15:restartNumberingAfterBreak="0">
    <w:nsid w:val="3EC54A41"/>
    <w:multiLevelType w:val="multilevel"/>
    <w:tmpl w:val="46940C74"/>
    <w:styleLink w:val="ZZNumberslowerroman"/>
    <w:lvl w:ilvl="0">
      <w:start w:val="1"/>
      <w:numFmt w:val="lowerRoman"/>
      <w:pStyle w:val="DHHSnumberlowerroman"/>
      <w:lvlText w:val="(%1)"/>
      <w:lvlJc w:val="left"/>
      <w:pPr>
        <w:tabs>
          <w:tab w:val="num" w:pos="397"/>
        </w:tabs>
        <w:ind w:left="397" w:hanging="397"/>
      </w:pPr>
      <w:rPr>
        <w:rFonts w:hint="default"/>
      </w:rPr>
    </w:lvl>
    <w:lvl w:ilvl="1">
      <w:start w:val="1"/>
      <w:numFmt w:val="lowerRoman"/>
      <w:pStyle w:val="DHHS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 w15:restartNumberingAfterBreak="0">
    <w:nsid w:val="541611C2"/>
    <w:multiLevelType w:val="multilevel"/>
    <w:tmpl w:val="96B4DF56"/>
    <w:styleLink w:val="ZZTablebullets"/>
    <w:lvl w:ilvl="0">
      <w:start w:val="1"/>
      <w:numFmt w:val="bullet"/>
      <w:pStyle w:val="DHHStablebullet1"/>
      <w:lvlText w:val="•"/>
      <w:lvlJc w:val="left"/>
      <w:pPr>
        <w:ind w:left="227" w:hanging="227"/>
      </w:pPr>
      <w:rPr>
        <w:rFonts w:ascii="Calibri" w:hAnsi="Calibri" w:hint="default"/>
      </w:rPr>
    </w:lvl>
    <w:lvl w:ilvl="1">
      <w:start w:val="1"/>
      <w:numFmt w:val="bullet"/>
      <w:lvlRestart w:val="0"/>
      <w:pStyle w:val="DHHS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54BA1E5A"/>
    <w:multiLevelType w:val="multilevel"/>
    <w:tmpl w:val="F1AE3C58"/>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9" w15:restartNumberingAfterBreak="0">
    <w:nsid w:val="5A4F5112"/>
    <w:multiLevelType w:val="hybridMultilevel"/>
    <w:tmpl w:val="C0F4C3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309259F"/>
    <w:multiLevelType w:val="multilevel"/>
    <w:tmpl w:val="866C5A8E"/>
    <w:styleLink w:val="ZZQuotebullets"/>
    <w:lvl w:ilvl="0">
      <w:start w:val="1"/>
      <w:numFmt w:val="bullet"/>
      <w:pStyle w:val="DHHSquotebullet1"/>
      <w:lvlText w:val="•"/>
      <w:lvlJc w:val="left"/>
      <w:pPr>
        <w:ind w:left="680" w:hanging="283"/>
      </w:pPr>
      <w:rPr>
        <w:rFonts w:ascii="Calibri" w:hAnsi="Calibri" w:hint="default"/>
        <w:color w:val="auto"/>
      </w:rPr>
    </w:lvl>
    <w:lvl w:ilvl="1">
      <w:start w:val="1"/>
      <w:numFmt w:val="bullet"/>
      <w:lvlRestart w:val="0"/>
      <w:pStyle w:val="DHHS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7A3D3AFC"/>
    <w:multiLevelType w:val="hybridMultilevel"/>
    <w:tmpl w:val="7F740EE6"/>
    <w:lvl w:ilvl="0" w:tplc="4B300028">
      <w:start w:val="1"/>
      <w:numFmt w:val="bullet"/>
      <w:lvlText w:val="•"/>
      <w:lvlJc w:val="left"/>
      <w:pPr>
        <w:ind w:left="284" w:hanging="284"/>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3"/>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8"/>
  </w:num>
  <w:num w:numId="17">
    <w:abstractNumId w:val="5"/>
  </w:num>
  <w:num w:numId="18">
    <w:abstractNumId w:val="5"/>
  </w:num>
  <w:num w:numId="19">
    <w:abstractNumId w:val="4"/>
  </w:num>
  <w:num w:numId="20">
    <w:abstractNumId w:val="0"/>
  </w:num>
  <w:num w:numId="21">
    <w:abstractNumId w:val="5"/>
  </w:num>
  <w:num w:numId="22">
    <w:abstractNumId w:val="0"/>
  </w:num>
  <w:num w:numId="23">
    <w:abstractNumId w:val="6"/>
  </w:num>
  <w:num w:numId="24">
    <w:abstractNumId w:val="6"/>
  </w:num>
  <w:num w:numId="25">
    <w:abstractNumId w:val="10"/>
  </w:num>
  <w:num w:numId="26">
    <w:abstractNumId w:val="10"/>
  </w:num>
  <w:num w:numId="27">
    <w:abstractNumId w:val="7"/>
  </w:num>
  <w:num w:numId="28">
    <w:abstractNumId w:val="7"/>
  </w:num>
  <w:num w:numId="29">
    <w:abstractNumId w:val="8"/>
  </w:num>
  <w:num w:numId="30">
    <w:abstractNumId w:val="5"/>
  </w:num>
  <w:num w:numId="31">
    <w:abstractNumId w:val="0"/>
  </w:num>
  <w:num w:numId="32">
    <w:abstractNumId w:val="10"/>
  </w:num>
  <w:num w:numId="33">
    <w:abstractNumId w:val="6"/>
  </w:num>
  <w:num w:numId="34">
    <w:abstractNumId w:val="7"/>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
  </w:num>
  <w:num w:numId="40">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0268"/>
    <w:rsid w:val="00002990"/>
    <w:rsid w:val="000048AC"/>
    <w:rsid w:val="00014FC4"/>
    <w:rsid w:val="00015FF8"/>
    <w:rsid w:val="00020AAB"/>
    <w:rsid w:val="000223A4"/>
    <w:rsid w:val="00022E60"/>
    <w:rsid w:val="000267F9"/>
    <w:rsid w:val="00026C19"/>
    <w:rsid w:val="00031263"/>
    <w:rsid w:val="0005587D"/>
    <w:rsid w:val="00060E93"/>
    <w:rsid w:val="00064936"/>
    <w:rsid w:val="00066127"/>
    <w:rsid w:val="000734F8"/>
    <w:rsid w:val="000736B8"/>
    <w:rsid w:val="000817CB"/>
    <w:rsid w:val="000873EF"/>
    <w:rsid w:val="00090BE1"/>
    <w:rsid w:val="000A1282"/>
    <w:rsid w:val="000B3792"/>
    <w:rsid w:val="000B4C83"/>
    <w:rsid w:val="000C6242"/>
    <w:rsid w:val="000C68DB"/>
    <w:rsid w:val="000D2C32"/>
    <w:rsid w:val="000D5903"/>
    <w:rsid w:val="000E66A5"/>
    <w:rsid w:val="000E6F72"/>
    <w:rsid w:val="000F0478"/>
    <w:rsid w:val="000F0A50"/>
    <w:rsid w:val="00103D5E"/>
    <w:rsid w:val="00104EA7"/>
    <w:rsid w:val="00105FAD"/>
    <w:rsid w:val="0011155B"/>
    <w:rsid w:val="00111A6A"/>
    <w:rsid w:val="00121BF1"/>
    <w:rsid w:val="00127A8B"/>
    <w:rsid w:val="00134BE5"/>
    <w:rsid w:val="001412D1"/>
    <w:rsid w:val="001423E3"/>
    <w:rsid w:val="001475EA"/>
    <w:rsid w:val="001504F5"/>
    <w:rsid w:val="001517BD"/>
    <w:rsid w:val="0017248D"/>
    <w:rsid w:val="00173626"/>
    <w:rsid w:val="00174EDC"/>
    <w:rsid w:val="0017614A"/>
    <w:rsid w:val="0018177B"/>
    <w:rsid w:val="001817CD"/>
    <w:rsid w:val="0018235E"/>
    <w:rsid w:val="001834B7"/>
    <w:rsid w:val="0018768C"/>
    <w:rsid w:val="00192BA0"/>
    <w:rsid w:val="00197303"/>
    <w:rsid w:val="001A17EA"/>
    <w:rsid w:val="001A1D17"/>
    <w:rsid w:val="001A21E5"/>
    <w:rsid w:val="001A22AA"/>
    <w:rsid w:val="001A7A18"/>
    <w:rsid w:val="001B1565"/>
    <w:rsid w:val="001B166D"/>
    <w:rsid w:val="001B28B5"/>
    <w:rsid w:val="001B2975"/>
    <w:rsid w:val="001B7219"/>
    <w:rsid w:val="001C08A9"/>
    <w:rsid w:val="001C122D"/>
    <w:rsid w:val="001D1DD0"/>
    <w:rsid w:val="001D2A82"/>
    <w:rsid w:val="001D569B"/>
    <w:rsid w:val="001E0EA3"/>
    <w:rsid w:val="001E3F3D"/>
    <w:rsid w:val="001E4995"/>
    <w:rsid w:val="001E7A42"/>
    <w:rsid w:val="001F0268"/>
    <w:rsid w:val="001F09DC"/>
    <w:rsid w:val="001F43E6"/>
    <w:rsid w:val="00213772"/>
    <w:rsid w:val="00215D68"/>
    <w:rsid w:val="00220749"/>
    <w:rsid w:val="0022422C"/>
    <w:rsid w:val="0022724E"/>
    <w:rsid w:val="00230666"/>
    <w:rsid w:val="00231153"/>
    <w:rsid w:val="0023252E"/>
    <w:rsid w:val="00241C31"/>
    <w:rsid w:val="00252A96"/>
    <w:rsid w:val="00256E7C"/>
    <w:rsid w:val="002679D5"/>
    <w:rsid w:val="002714FD"/>
    <w:rsid w:val="00274BD3"/>
    <w:rsid w:val="00275F94"/>
    <w:rsid w:val="00277D12"/>
    <w:rsid w:val="00281B9C"/>
    <w:rsid w:val="00284C9B"/>
    <w:rsid w:val="002A141B"/>
    <w:rsid w:val="002A26B6"/>
    <w:rsid w:val="002A6A4E"/>
    <w:rsid w:val="002B5A85"/>
    <w:rsid w:val="002B63A7"/>
    <w:rsid w:val="002C5543"/>
    <w:rsid w:val="002D0F7F"/>
    <w:rsid w:val="002E0198"/>
    <w:rsid w:val="002E1D7C"/>
    <w:rsid w:val="002F449B"/>
    <w:rsid w:val="002F4D86"/>
    <w:rsid w:val="002F5D69"/>
    <w:rsid w:val="002F7C77"/>
    <w:rsid w:val="00300CB3"/>
    <w:rsid w:val="0030394B"/>
    <w:rsid w:val="003072C6"/>
    <w:rsid w:val="00310D8E"/>
    <w:rsid w:val="00315BBD"/>
    <w:rsid w:val="0031753A"/>
    <w:rsid w:val="00320293"/>
    <w:rsid w:val="00322CC2"/>
    <w:rsid w:val="003271DC"/>
    <w:rsid w:val="00332FA0"/>
    <w:rsid w:val="00334475"/>
    <w:rsid w:val="00334B54"/>
    <w:rsid w:val="0033739E"/>
    <w:rsid w:val="00340B99"/>
    <w:rsid w:val="00343733"/>
    <w:rsid w:val="00355886"/>
    <w:rsid w:val="00356814"/>
    <w:rsid w:val="003741AD"/>
    <w:rsid w:val="0038019F"/>
    <w:rsid w:val="00382071"/>
    <w:rsid w:val="003A2F25"/>
    <w:rsid w:val="003B2807"/>
    <w:rsid w:val="003B28AB"/>
    <w:rsid w:val="003C1A21"/>
    <w:rsid w:val="003C68F2"/>
    <w:rsid w:val="003D58B8"/>
    <w:rsid w:val="003D5CFB"/>
    <w:rsid w:val="003E2636"/>
    <w:rsid w:val="003E2E12"/>
    <w:rsid w:val="003F39CE"/>
    <w:rsid w:val="00401108"/>
    <w:rsid w:val="00402927"/>
    <w:rsid w:val="00405E15"/>
    <w:rsid w:val="00407993"/>
    <w:rsid w:val="00410AFD"/>
    <w:rsid w:val="00411833"/>
    <w:rsid w:val="00412F64"/>
    <w:rsid w:val="0041670A"/>
    <w:rsid w:val="00417BEB"/>
    <w:rsid w:val="00417CC6"/>
    <w:rsid w:val="004324FF"/>
    <w:rsid w:val="00432A55"/>
    <w:rsid w:val="004372B7"/>
    <w:rsid w:val="0044260A"/>
    <w:rsid w:val="00444D82"/>
    <w:rsid w:val="004564C6"/>
    <w:rsid w:val="004610CC"/>
    <w:rsid w:val="00465464"/>
    <w:rsid w:val="00465E87"/>
    <w:rsid w:val="0047393E"/>
    <w:rsid w:val="0047786A"/>
    <w:rsid w:val="00477A65"/>
    <w:rsid w:val="00482DB3"/>
    <w:rsid w:val="004A0236"/>
    <w:rsid w:val="004A2113"/>
    <w:rsid w:val="004A369A"/>
    <w:rsid w:val="004A3B3E"/>
    <w:rsid w:val="004C5777"/>
    <w:rsid w:val="004D0173"/>
    <w:rsid w:val="004D1056"/>
    <w:rsid w:val="004D14E3"/>
    <w:rsid w:val="004D2B7B"/>
    <w:rsid w:val="004D3577"/>
    <w:rsid w:val="004D7CB7"/>
    <w:rsid w:val="004E1EDE"/>
    <w:rsid w:val="004E21E2"/>
    <w:rsid w:val="004E293F"/>
    <w:rsid w:val="004E380D"/>
    <w:rsid w:val="004E7922"/>
    <w:rsid w:val="004F0DFC"/>
    <w:rsid w:val="004F3441"/>
    <w:rsid w:val="004F41B2"/>
    <w:rsid w:val="004F4AFC"/>
    <w:rsid w:val="004F52A5"/>
    <w:rsid w:val="00500C8C"/>
    <w:rsid w:val="00501375"/>
    <w:rsid w:val="00501D3B"/>
    <w:rsid w:val="005022C9"/>
    <w:rsid w:val="00502B8F"/>
    <w:rsid w:val="0050779D"/>
    <w:rsid w:val="005139EA"/>
    <w:rsid w:val="00520BBB"/>
    <w:rsid w:val="00524310"/>
    <w:rsid w:val="00525456"/>
    <w:rsid w:val="00530452"/>
    <w:rsid w:val="00532236"/>
    <w:rsid w:val="00533059"/>
    <w:rsid w:val="005338EA"/>
    <w:rsid w:val="00541DFE"/>
    <w:rsid w:val="0054206A"/>
    <w:rsid w:val="00543E6C"/>
    <w:rsid w:val="00544184"/>
    <w:rsid w:val="0054697D"/>
    <w:rsid w:val="00551789"/>
    <w:rsid w:val="00551A03"/>
    <w:rsid w:val="00553F68"/>
    <w:rsid w:val="005552FD"/>
    <w:rsid w:val="005600E5"/>
    <w:rsid w:val="00561EF0"/>
    <w:rsid w:val="00564E8F"/>
    <w:rsid w:val="005728A4"/>
    <w:rsid w:val="005763FC"/>
    <w:rsid w:val="00576EB4"/>
    <w:rsid w:val="00577B30"/>
    <w:rsid w:val="00582768"/>
    <w:rsid w:val="00583461"/>
    <w:rsid w:val="005856A4"/>
    <w:rsid w:val="00590730"/>
    <w:rsid w:val="00594AD3"/>
    <w:rsid w:val="005A3051"/>
    <w:rsid w:val="005A53FE"/>
    <w:rsid w:val="005B1E95"/>
    <w:rsid w:val="005B7D22"/>
    <w:rsid w:val="005C029E"/>
    <w:rsid w:val="005C76FF"/>
    <w:rsid w:val="005E085D"/>
    <w:rsid w:val="005E3FA7"/>
    <w:rsid w:val="005E7963"/>
    <w:rsid w:val="005F218C"/>
    <w:rsid w:val="005F4523"/>
    <w:rsid w:val="00601D4D"/>
    <w:rsid w:val="006021B4"/>
    <w:rsid w:val="00605B5B"/>
    <w:rsid w:val="006062D8"/>
    <w:rsid w:val="00606827"/>
    <w:rsid w:val="00606C23"/>
    <w:rsid w:val="00620262"/>
    <w:rsid w:val="00621B4C"/>
    <w:rsid w:val="00627C52"/>
    <w:rsid w:val="00630937"/>
    <w:rsid w:val="0064349D"/>
    <w:rsid w:val="006538C0"/>
    <w:rsid w:val="00653B84"/>
    <w:rsid w:val="00653E0D"/>
    <w:rsid w:val="006865C8"/>
    <w:rsid w:val="00686B48"/>
    <w:rsid w:val="00687038"/>
    <w:rsid w:val="0068714E"/>
    <w:rsid w:val="006872F5"/>
    <w:rsid w:val="006929F7"/>
    <w:rsid w:val="0069374A"/>
    <w:rsid w:val="00694AB8"/>
    <w:rsid w:val="0069598B"/>
    <w:rsid w:val="00695EF7"/>
    <w:rsid w:val="0069699D"/>
    <w:rsid w:val="006B1C51"/>
    <w:rsid w:val="006B2C51"/>
    <w:rsid w:val="006B6361"/>
    <w:rsid w:val="006D24CE"/>
    <w:rsid w:val="006D360C"/>
    <w:rsid w:val="006D5259"/>
    <w:rsid w:val="006D5AC9"/>
    <w:rsid w:val="006D66ED"/>
    <w:rsid w:val="006E786B"/>
    <w:rsid w:val="006F3E0E"/>
    <w:rsid w:val="007002B1"/>
    <w:rsid w:val="00704EB7"/>
    <w:rsid w:val="00705742"/>
    <w:rsid w:val="007104FE"/>
    <w:rsid w:val="00711B0C"/>
    <w:rsid w:val="007121A2"/>
    <w:rsid w:val="00712BE8"/>
    <w:rsid w:val="00713981"/>
    <w:rsid w:val="007176D6"/>
    <w:rsid w:val="00727D54"/>
    <w:rsid w:val="00731EF2"/>
    <w:rsid w:val="007322F3"/>
    <w:rsid w:val="007344C5"/>
    <w:rsid w:val="00734959"/>
    <w:rsid w:val="00735137"/>
    <w:rsid w:val="0073520D"/>
    <w:rsid w:val="00740BA9"/>
    <w:rsid w:val="00780226"/>
    <w:rsid w:val="00781AB4"/>
    <w:rsid w:val="00783D1A"/>
    <w:rsid w:val="007923B7"/>
    <w:rsid w:val="00792616"/>
    <w:rsid w:val="007926BB"/>
    <w:rsid w:val="0079344C"/>
    <w:rsid w:val="007968AE"/>
    <w:rsid w:val="007A0283"/>
    <w:rsid w:val="007B45DA"/>
    <w:rsid w:val="007C02C7"/>
    <w:rsid w:val="007C21EE"/>
    <w:rsid w:val="007C6FBF"/>
    <w:rsid w:val="007D2480"/>
    <w:rsid w:val="007D3A2E"/>
    <w:rsid w:val="007D6652"/>
    <w:rsid w:val="007E343D"/>
    <w:rsid w:val="007F4383"/>
    <w:rsid w:val="007F5858"/>
    <w:rsid w:val="007F6862"/>
    <w:rsid w:val="00801601"/>
    <w:rsid w:val="0080169A"/>
    <w:rsid w:val="008036A7"/>
    <w:rsid w:val="00810991"/>
    <w:rsid w:val="00814A9B"/>
    <w:rsid w:val="00814F66"/>
    <w:rsid w:val="00817C9E"/>
    <w:rsid w:val="008205AF"/>
    <w:rsid w:val="008225E5"/>
    <w:rsid w:val="00831053"/>
    <w:rsid w:val="008314D2"/>
    <w:rsid w:val="008321CA"/>
    <w:rsid w:val="0083254D"/>
    <w:rsid w:val="00834B28"/>
    <w:rsid w:val="00836249"/>
    <w:rsid w:val="00836F00"/>
    <w:rsid w:val="00841702"/>
    <w:rsid w:val="00844592"/>
    <w:rsid w:val="00846192"/>
    <w:rsid w:val="00850806"/>
    <w:rsid w:val="00856A1B"/>
    <w:rsid w:val="008621C3"/>
    <w:rsid w:val="00865486"/>
    <w:rsid w:val="008669BE"/>
    <w:rsid w:val="00872924"/>
    <w:rsid w:val="00876275"/>
    <w:rsid w:val="00882B99"/>
    <w:rsid w:val="00886121"/>
    <w:rsid w:val="008A295B"/>
    <w:rsid w:val="008A5B97"/>
    <w:rsid w:val="008A6604"/>
    <w:rsid w:val="008A7BAE"/>
    <w:rsid w:val="008B1C73"/>
    <w:rsid w:val="008B5482"/>
    <w:rsid w:val="008C11F4"/>
    <w:rsid w:val="008C2BEC"/>
    <w:rsid w:val="008C6523"/>
    <w:rsid w:val="008C6D0E"/>
    <w:rsid w:val="008D09D2"/>
    <w:rsid w:val="008D39C5"/>
    <w:rsid w:val="008E1D89"/>
    <w:rsid w:val="008E3E3E"/>
    <w:rsid w:val="008F5F87"/>
    <w:rsid w:val="00900A34"/>
    <w:rsid w:val="00906132"/>
    <w:rsid w:val="00907073"/>
    <w:rsid w:val="00912C19"/>
    <w:rsid w:val="009208F5"/>
    <w:rsid w:val="00927D51"/>
    <w:rsid w:val="00932272"/>
    <w:rsid w:val="00932862"/>
    <w:rsid w:val="00935D60"/>
    <w:rsid w:val="009447BB"/>
    <w:rsid w:val="00944C48"/>
    <w:rsid w:val="00946335"/>
    <w:rsid w:val="009513C4"/>
    <w:rsid w:val="00955E55"/>
    <w:rsid w:val="00960A2B"/>
    <w:rsid w:val="00962200"/>
    <w:rsid w:val="00962441"/>
    <w:rsid w:val="00966F54"/>
    <w:rsid w:val="00967588"/>
    <w:rsid w:val="00975E61"/>
    <w:rsid w:val="00976E31"/>
    <w:rsid w:val="00977C63"/>
    <w:rsid w:val="00980087"/>
    <w:rsid w:val="00980C0B"/>
    <w:rsid w:val="0098524F"/>
    <w:rsid w:val="00987ABE"/>
    <w:rsid w:val="009906C7"/>
    <w:rsid w:val="009963CD"/>
    <w:rsid w:val="009A632B"/>
    <w:rsid w:val="009B266D"/>
    <w:rsid w:val="009B5CBF"/>
    <w:rsid w:val="009C184A"/>
    <w:rsid w:val="009C2CA5"/>
    <w:rsid w:val="009D3E45"/>
    <w:rsid w:val="009D4AA8"/>
    <w:rsid w:val="009D5FF5"/>
    <w:rsid w:val="009D7318"/>
    <w:rsid w:val="009D7457"/>
    <w:rsid w:val="009E4235"/>
    <w:rsid w:val="009F351F"/>
    <w:rsid w:val="009F3F89"/>
    <w:rsid w:val="009F480E"/>
    <w:rsid w:val="009F4C1B"/>
    <w:rsid w:val="00A022A2"/>
    <w:rsid w:val="00A02D15"/>
    <w:rsid w:val="00A11403"/>
    <w:rsid w:val="00A218B7"/>
    <w:rsid w:val="00A26B0D"/>
    <w:rsid w:val="00A34429"/>
    <w:rsid w:val="00A3735A"/>
    <w:rsid w:val="00A42F1B"/>
    <w:rsid w:val="00A44EBE"/>
    <w:rsid w:val="00A546BC"/>
    <w:rsid w:val="00A55989"/>
    <w:rsid w:val="00A5694A"/>
    <w:rsid w:val="00A60F86"/>
    <w:rsid w:val="00A61604"/>
    <w:rsid w:val="00A62D2F"/>
    <w:rsid w:val="00A63DA4"/>
    <w:rsid w:val="00A73A66"/>
    <w:rsid w:val="00A75CD5"/>
    <w:rsid w:val="00A763D5"/>
    <w:rsid w:val="00A83DF3"/>
    <w:rsid w:val="00A85915"/>
    <w:rsid w:val="00A86270"/>
    <w:rsid w:val="00A952AB"/>
    <w:rsid w:val="00A9783D"/>
    <w:rsid w:val="00AA45E6"/>
    <w:rsid w:val="00AA5A37"/>
    <w:rsid w:val="00AB0FF3"/>
    <w:rsid w:val="00AB489C"/>
    <w:rsid w:val="00AB50C1"/>
    <w:rsid w:val="00AB6936"/>
    <w:rsid w:val="00AB6D2D"/>
    <w:rsid w:val="00AC0C3B"/>
    <w:rsid w:val="00AC2D63"/>
    <w:rsid w:val="00AD03D8"/>
    <w:rsid w:val="00AD0711"/>
    <w:rsid w:val="00AD704E"/>
    <w:rsid w:val="00AE5FE0"/>
    <w:rsid w:val="00AE60B7"/>
    <w:rsid w:val="00AF20D7"/>
    <w:rsid w:val="00AF2AB7"/>
    <w:rsid w:val="00AF2B1C"/>
    <w:rsid w:val="00AF4D3F"/>
    <w:rsid w:val="00B0300B"/>
    <w:rsid w:val="00B05457"/>
    <w:rsid w:val="00B057F5"/>
    <w:rsid w:val="00B06BB8"/>
    <w:rsid w:val="00B076A9"/>
    <w:rsid w:val="00B126CB"/>
    <w:rsid w:val="00B128A0"/>
    <w:rsid w:val="00B20240"/>
    <w:rsid w:val="00B23281"/>
    <w:rsid w:val="00B27571"/>
    <w:rsid w:val="00B36BCF"/>
    <w:rsid w:val="00B4164B"/>
    <w:rsid w:val="00B5409A"/>
    <w:rsid w:val="00B55574"/>
    <w:rsid w:val="00B6525D"/>
    <w:rsid w:val="00B65ABA"/>
    <w:rsid w:val="00B67097"/>
    <w:rsid w:val="00B6790F"/>
    <w:rsid w:val="00B7021C"/>
    <w:rsid w:val="00B71B3B"/>
    <w:rsid w:val="00B7294F"/>
    <w:rsid w:val="00B80A27"/>
    <w:rsid w:val="00B853DB"/>
    <w:rsid w:val="00B87D61"/>
    <w:rsid w:val="00B93948"/>
    <w:rsid w:val="00BA4BC7"/>
    <w:rsid w:val="00BA55B7"/>
    <w:rsid w:val="00BA5E47"/>
    <w:rsid w:val="00BA7D57"/>
    <w:rsid w:val="00BB156E"/>
    <w:rsid w:val="00BB3330"/>
    <w:rsid w:val="00BB47D7"/>
    <w:rsid w:val="00BB4A62"/>
    <w:rsid w:val="00BC01C1"/>
    <w:rsid w:val="00BC45A1"/>
    <w:rsid w:val="00BC5A34"/>
    <w:rsid w:val="00BD17F5"/>
    <w:rsid w:val="00BD6371"/>
    <w:rsid w:val="00BD6E05"/>
    <w:rsid w:val="00BE54D0"/>
    <w:rsid w:val="00BF6B6C"/>
    <w:rsid w:val="00BF7251"/>
    <w:rsid w:val="00BF7F28"/>
    <w:rsid w:val="00C00E64"/>
    <w:rsid w:val="00C0160A"/>
    <w:rsid w:val="00C0173C"/>
    <w:rsid w:val="00C01909"/>
    <w:rsid w:val="00C05787"/>
    <w:rsid w:val="00C11871"/>
    <w:rsid w:val="00C13059"/>
    <w:rsid w:val="00C1401B"/>
    <w:rsid w:val="00C15087"/>
    <w:rsid w:val="00C156D4"/>
    <w:rsid w:val="00C167A3"/>
    <w:rsid w:val="00C2181C"/>
    <w:rsid w:val="00C2657D"/>
    <w:rsid w:val="00C26A87"/>
    <w:rsid w:val="00C3745D"/>
    <w:rsid w:val="00C37BF1"/>
    <w:rsid w:val="00C416E1"/>
    <w:rsid w:val="00C43257"/>
    <w:rsid w:val="00C47BF8"/>
    <w:rsid w:val="00C51B1C"/>
    <w:rsid w:val="00C53DCE"/>
    <w:rsid w:val="00C655F2"/>
    <w:rsid w:val="00C65B4C"/>
    <w:rsid w:val="00C65B61"/>
    <w:rsid w:val="00C70E53"/>
    <w:rsid w:val="00C72979"/>
    <w:rsid w:val="00C81529"/>
    <w:rsid w:val="00C81BA6"/>
    <w:rsid w:val="00C8377C"/>
    <w:rsid w:val="00C877CD"/>
    <w:rsid w:val="00C902E9"/>
    <w:rsid w:val="00C908B7"/>
    <w:rsid w:val="00C91D81"/>
    <w:rsid w:val="00C92A42"/>
    <w:rsid w:val="00CA18F2"/>
    <w:rsid w:val="00CA1DAE"/>
    <w:rsid w:val="00CA4871"/>
    <w:rsid w:val="00CA6722"/>
    <w:rsid w:val="00CA6D4E"/>
    <w:rsid w:val="00CA7B4B"/>
    <w:rsid w:val="00CB36A8"/>
    <w:rsid w:val="00CB4FC7"/>
    <w:rsid w:val="00CC139A"/>
    <w:rsid w:val="00CC1E7A"/>
    <w:rsid w:val="00CC4F64"/>
    <w:rsid w:val="00CD058C"/>
    <w:rsid w:val="00CD37C6"/>
    <w:rsid w:val="00CD3B98"/>
    <w:rsid w:val="00CD4216"/>
    <w:rsid w:val="00CD518C"/>
    <w:rsid w:val="00CD645C"/>
    <w:rsid w:val="00CD733F"/>
    <w:rsid w:val="00CD7C65"/>
    <w:rsid w:val="00CE0942"/>
    <w:rsid w:val="00CE7CA5"/>
    <w:rsid w:val="00CF1D81"/>
    <w:rsid w:val="00CF2DC9"/>
    <w:rsid w:val="00CF7CB6"/>
    <w:rsid w:val="00D106A4"/>
    <w:rsid w:val="00D12D13"/>
    <w:rsid w:val="00D311AB"/>
    <w:rsid w:val="00D32290"/>
    <w:rsid w:val="00D325A8"/>
    <w:rsid w:val="00D442AD"/>
    <w:rsid w:val="00D5618A"/>
    <w:rsid w:val="00D5784B"/>
    <w:rsid w:val="00D63EFB"/>
    <w:rsid w:val="00D658AF"/>
    <w:rsid w:val="00D70A79"/>
    <w:rsid w:val="00D72EC2"/>
    <w:rsid w:val="00D73E37"/>
    <w:rsid w:val="00D83DE9"/>
    <w:rsid w:val="00D8450D"/>
    <w:rsid w:val="00D95AF9"/>
    <w:rsid w:val="00DA09C9"/>
    <w:rsid w:val="00DA1822"/>
    <w:rsid w:val="00DA554C"/>
    <w:rsid w:val="00DB5E1F"/>
    <w:rsid w:val="00DB708E"/>
    <w:rsid w:val="00DC19D8"/>
    <w:rsid w:val="00DC2613"/>
    <w:rsid w:val="00DC4512"/>
    <w:rsid w:val="00DD3691"/>
    <w:rsid w:val="00DD4B55"/>
    <w:rsid w:val="00DE1E90"/>
    <w:rsid w:val="00DE24E6"/>
    <w:rsid w:val="00DE5C8A"/>
    <w:rsid w:val="00DE7B07"/>
    <w:rsid w:val="00DF07AD"/>
    <w:rsid w:val="00DF3364"/>
    <w:rsid w:val="00E01793"/>
    <w:rsid w:val="00E0374E"/>
    <w:rsid w:val="00E055BB"/>
    <w:rsid w:val="00E11988"/>
    <w:rsid w:val="00E15DA9"/>
    <w:rsid w:val="00E2095D"/>
    <w:rsid w:val="00E23349"/>
    <w:rsid w:val="00E30414"/>
    <w:rsid w:val="00E3043F"/>
    <w:rsid w:val="00E31F36"/>
    <w:rsid w:val="00E40769"/>
    <w:rsid w:val="00E42E8B"/>
    <w:rsid w:val="00E60F12"/>
    <w:rsid w:val="00E645ED"/>
    <w:rsid w:val="00E652FB"/>
    <w:rsid w:val="00E66C20"/>
    <w:rsid w:val="00E71C46"/>
    <w:rsid w:val="00E731B7"/>
    <w:rsid w:val="00E75ED2"/>
    <w:rsid w:val="00E8280C"/>
    <w:rsid w:val="00E83E4C"/>
    <w:rsid w:val="00E91933"/>
    <w:rsid w:val="00E92A81"/>
    <w:rsid w:val="00E969B1"/>
    <w:rsid w:val="00EA02F5"/>
    <w:rsid w:val="00EA44EB"/>
    <w:rsid w:val="00EA4950"/>
    <w:rsid w:val="00EB6552"/>
    <w:rsid w:val="00EC18E6"/>
    <w:rsid w:val="00EC1984"/>
    <w:rsid w:val="00EC234C"/>
    <w:rsid w:val="00ED3529"/>
    <w:rsid w:val="00ED4D17"/>
    <w:rsid w:val="00EE1380"/>
    <w:rsid w:val="00EE6CD3"/>
    <w:rsid w:val="00EF20D7"/>
    <w:rsid w:val="00EF3419"/>
    <w:rsid w:val="00F0119C"/>
    <w:rsid w:val="00F02BDB"/>
    <w:rsid w:val="00F0441B"/>
    <w:rsid w:val="00F073AD"/>
    <w:rsid w:val="00F07623"/>
    <w:rsid w:val="00F07D0B"/>
    <w:rsid w:val="00F175AB"/>
    <w:rsid w:val="00F2073E"/>
    <w:rsid w:val="00F3136B"/>
    <w:rsid w:val="00F314F1"/>
    <w:rsid w:val="00F327EA"/>
    <w:rsid w:val="00F33641"/>
    <w:rsid w:val="00F42842"/>
    <w:rsid w:val="00F43EE0"/>
    <w:rsid w:val="00F45846"/>
    <w:rsid w:val="00F46E40"/>
    <w:rsid w:val="00F4760A"/>
    <w:rsid w:val="00F50668"/>
    <w:rsid w:val="00F529FE"/>
    <w:rsid w:val="00F52B8E"/>
    <w:rsid w:val="00F53CFD"/>
    <w:rsid w:val="00F54AF5"/>
    <w:rsid w:val="00F557E3"/>
    <w:rsid w:val="00F61E78"/>
    <w:rsid w:val="00F635C5"/>
    <w:rsid w:val="00F736E3"/>
    <w:rsid w:val="00F767E8"/>
    <w:rsid w:val="00F86A3F"/>
    <w:rsid w:val="00F91297"/>
    <w:rsid w:val="00F9133B"/>
    <w:rsid w:val="00F96310"/>
    <w:rsid w:val="00F97730"/>
    <w:rsid w:val="00FB32A4"/>
    <w:rsid w:val="00FB594D"/>
    <w:rsid w:val="00FC49BB"/>
    <w:rsid w:val="00FC62D3"/>
    <w:rsid w:val="00FD616B"/>
    <w:rsid w:val="00FE367F"/>
    <w:rsid w:val="00FF29DC"/>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4F5DC4D2"/>
  <w15:docId w15:val="{5E340DB4-5D1E-432B-85F0-54010A816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0160A"/>
    <w:rPr>
      <w:rFonts w:ascii="Cambria" w:hAnsi="Cambria"/>
      <w:lang w:eastAsia="en-US"/>
    </w:rPr>
  </w:style>
  <w:style w:type="paragraph" w:styleId="Heading1">
    <w:name w:val="heading 1"/>
    <w:next w:val="DHHSbody"/>
    <w:link w:val="Heading1Char"/>
    <w:uiPriority w:val="1"/>
    <w:qFormat/>
    <w:rsid w:val="00BD6371"/>
    <w:pPr>
      <w:keepNext/>
      <w:keepLines/>
      <w:spacing w:before="520" w:after="440" w:line="440" w:lineRule="atLeast"/>
      <w:outlineLvl w:val="0"/>
    </w:pPr>
    <w:rPr>
      <w:rFonts w:ascii="Arial" w:hAnsi="Arial"/>
      <w:bCs/>
      <w:color w:val="D50032"/>
      <w:sz w:val="44"/>
      <w:szCs w:val="44"/>
      <w:lang w:eastAsia="en-US"/>
    </w:rPr>
  </w:style>
  <w:style w:type="paragraph" w:styleId="Heading2">
    <w:name w:val="heading 2"/>
    <w:next w:val="DHHSbody"/>
    <w:link w:val="Heading2Char"/>
    <w:uiPriority w:val="1"/>
    <w:qFormat/>
    <w:rsid w:val="00BD6371"/>
    <w:pPr>
      <w:keepNext/>
      <w:keepLines/>
      <w:spacing w:before="240" w:after="90" w:line="320" w:lineRule="atLeast"/>
      <w:outlineLvl w:val="1"/>
    </w:pPr>
    <w:rPr>
      <w:rFonts w:ascii="Arial" w:hAnsi="Arial"/>
      <w:b/>
      <w:color w:val="D50032"/>
      <w:sz w:val="28"/>
      <w:szCs w:val="28"/>
      <w:lang w:eastAsia="en-US"/>
    </w:rPr>
  </w:style>
  <w:style w:type="paragraph" w:styleId="Heading3">
    <w:name w:val="heading 3"/>
    <w:next w:val="DHHSbody"/>
    <w:link w:val="Heading3Char"/>
    <w:uiPriority w:val="1"/>
    <w:qFormat/>
    <w:rsid w:val="00FB594D"/>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DHHSbody"/>
    <w:link w:val="Heading4Char"/>
    <w:uiPriority w:val="1"/>
    <w:qFormat/>
    <w:rsid w:val="00EE6CD3"/>
    <w:pPr>
      <w:keepNext/>
      <w:keepLines/>
      <w:spacing w:before="240" w:after="120" w:line="240" w:lineRule="atLeast"/>
      <w:outlineLvl w:val="3"/>
    </w:pPr>
    <w:rPr>
      <w:rFonts w:ascii="Arial" w:eastAsia="MS Mincho" w:hAnsi="Arial"/>
      <w:b/>
      <w:bCs/>
      <w:lang w:eastAsia="en-US"/>
    </w:rPr>
  </w:style>
  <w:style w:type="paragraph" w:styleId="Heading5">
    <w:name w:val="heading 5"/>
    <w:next w:val="DHHSbody"/>
    <w:link w:val="Heading5Char"/>
    <w:uiPriority w:val="9"/>
    <w:qFormat/>
    <w:rsid w:val="005B7D22"/>
    <w:pPr>
      <w:keepNext/>
      <w:keepLines/>
      <w:suppressAutoHyphens/>
      <w:spacing w:before="240" w:after="120" w:line="240" w:lineRule="atLeast"/>
      <w:outlineLvl w:val="4"/>
    </w:pPr>
    <w:rPr>
      <w:rFonts w:ascii="Arial" w:eastAsia="MS Mincho" w:hAnsi="Arial"/>
      <w:b/>
      <w:bCs/>
      <w: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BD6371"/>
    <w:rPr>
      <w:rFonts w:ascii="Arial" w:hAnsi="Arial"/>
      <w:bCs/>
      <w:color w:val="D50032"/>
      <w:sz w:val="44"/>
      <w:szCs w:val="44"/>
      <w:lang w:eastAsia="en-US"/>
    </w:rPr>
  </w:style>
  <w:style w:type="character" w:customStyle="1" w:styleId="Heading2Char">
    <w:name w:val="Heading 2 Char"/>
    <w:link w:val="Heading2"/>
    <w:uiPriority w:val="1"/>
    <w:rsid w:val="00BD6371"/>
    <w:rPr>
      <w:rFonts w:ascii="Arial" w:hAnsi="Arial"/>
      <w:b/>
      <w:color w:val="D50032"/>
      <w:sz w:val="28"/>
      <w:szCs w:val="28"/>
      <w:lang w:eastAsia="en-US"/>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DHHSheader"/>
    <w:uiPriority w:val="98"/>
    <w:rsid w:val="004E380D"/>
  </w:style>
  <w:style w:type="paragraph" w:styleId="Footer">
    <w:name w:val="footer"/>
    <w:basedOn w:val="DHHSfooter"/>
    <w:uiPriority w:val="98"/>
    <w:rsid w:val="0031753A"/>
  </w:style>
  <w:style w:type="character" w:styleId="FollowedHyperlink">
    <w:name w:val="FollowedHyperlink"/>
    <w:uiPriority w:val="99"/>
    <w:rsid w:val="007F6862"/>
    <w:rPr>
      <w:color w:val="87189D"/>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uiPriority w:val="59"/>
    <w:rsid w:val="00DE7B07"/>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99"/>
    <w:rsid w:val="00D869F2"/>
    <w:rPr>
      <w:vertAlign w:val="superscript"/>
    </w:rPr>
  </w:style>
  <w:style w:type="paragraph" w:customStyle="1" w:styleId="DHHSreportmaintitle">
    <w:name w:val="DHHS report main title"/>
    <w:uiPriority w:val="4"/>
    <w:rsid w:val="00BD6371"/>
    <w:pPr>
      <w:keepLines/>
      <w:spacing w:after="240" w:line="580" w:lineRule="atLeast"/>
    </w:pPr>
    <w:rPr>
      <w:rFonts w:ascii="Arial" w:hAnsi="Arial"/>
      <w:color w:val="D50032"/>
      <w:sz w:val="50"/>
      <w:szCs w:val="24"/>
      <w:lang w:eastAsia="en-US"/>
    </w:rPr>
  </w:style>
  <w:style w:type="paragraph" w:styleId="FootnoteText">
    <w:name w:val="footnote text"/>
    <w:basedOn w:val="Normal"/>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DE7B07"/>
    <w:pPr>
      <w:keepNext/>
      <w:keepLines/>
      <w:tabs>
        <w:tab w:val="right" w:leader="dot" w:pos="9299"/>
      </w:tabs>
      <w:spacing w:before="160" w:after="60" w:line="270" w:lineRule="atLeast"/>
    </w:pPr>
    <w:rPr>
      <w:rFonts w:ascii="Arial" w:hAnsi="Arial"/>
      <w:b/>
      <w:noProof/>
    </w:rPr>
  </w:style>
  <w:style w:type="paragraph" w:styleId="TOC2">
    <w:name w:val="toc 2"/>
    <w:basedOn w:val="Normal"/>
    <w:next w:val="Normal"/>
    <w:uiPriority w:val="39"/>
    <w:rsid w:val="00DE7B07"/>
    <w:pPr>
      <w:keepNext/>
      <w:keepLines/>
      <w:tabs>
        <w:tab w:val="right" w:leader="dot" w:pos="9299"/>
      </w:tabs>
      <w:spacing w:after="60" w:line="270" w:lineRule="atLeast"/>
    </w:pPr>
    <w:rPr>
      <w:rFonts w:ascii="Arial" w:hAnsi="Arial"/>
      <w:noProof/>
    </w:rPr>
  </w:style>
  <w:style w:type="paragraph" w:styleId="TOC3">
    <w:name w:val="toc 3"/>
    <w:basedOn w:val="Normal"/>
    <w:next w:val="Normal"/>
    <w:uiPriority w:val="39"/>
    <w:rsid w:val="00DE7B07"/>
    <w:pPr>
      <w:keepLines/>
      <w:tabs>
        <w:tab w:val="right" w:leader="dot" w:pos="9299"/>
      </w:tabs>
      <w:spacing w:after="60" w:line="270" w:lineRule="atLeast"/>
      <w:ind w:left="284"/>
    </w:pPr>
    <w:rPr>
      <w:rFonts w:ascii="Arial" w:hAnsi="Arial" w:cs="Arial"/>
    </w:rPr>
  </w:style>
  <w:style w:type="paragraph" w:styleId="TOC4">
    <w:name w:val="toc 4"/>
    <w:basedOn w:val="TOC3"/>
    <w:uiPriority w:val="39"/>
    <w:rsid w:val="00B126CB"/>
    <w:pPr>
      <w:ind w:left="567"/>
    </w:pPr>
  </w:style>
  <w:style w:type="paragraph" w:styleId="TOC5">
    <w:name w:val="toc 5"/>
    <w:basedOn w:val="TOC4"/>
    <w:rsid w:val="00B126CB"/>
    <w:pPr>
      <w:ind w:left="851"/>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pink">
    <w:name w:val="DHHS report main title pink"/>
    <w:uiPriority w:val="4"/>
    <w:rsid w:val="00AF20D7"/>
    <w:pPr>
      <w:keepLines/>
      <w:spacing w:after="240" w:line="580" w:lineRule="atLeast"/>
    </w:pPr>
    <w:rPr>
      <w:rFonts w:ascii="Arial" w:hAnsi="Arial"/>
      <w:bCs/>
      <w:color w:val="D50032"/>
      <w:sz w:val="50"/>
      <w:szCs w:val="50"/>
      <w:lang w:eastAsia="en-US"/>
    </w:rPr>
  </w:style>
  <w:style w:type="paragraph" w:customStyle="1" w:styleId="DHHSreportsubtitleblack">
    <w:name w:val="DHHS report subtitle black"/>
    <w:uiPriority w:val="4"/>
    <w:rsid w:val="00DB708E"/>
    <w:pPr>
      <w:spacing w:after="120" w:line="380" w:lineRule="atLeast"/>
    </w:pPr>
    <w:rPr>
      <w:rFonts w:ascii="Arial" w:hAnsi="Arial"/>
      <w:bCs/>
      <w:sz w:val="30"/>
      <w:szCs w:val="30"/>
      <w:lang w:eastAsia="en-US"/>
    </w:rPr>
  </w:style>
  <w:style w:type="paragraph" w:customStyle="1" w:styleId="Coverinstructions">
    <w:name w:val="Cover instructions"/>
    <w:rsid w:val="00AF20D7"/>
    <w:pPr>
      <w:spacing w:after="200" w:line="320" w:lineRule="atLeast"/>
    </w:pPr>
    <w:rPr>
      <w:rFonts w:ascii="Arial" w:hAnsi="Arial"/>
      <w:sz w:val="24"/>
      <w:lang w:eastAsia="en-US"/>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7F6862"/>
    <w:rPr>
      <w:color w:val="0072CE"/>
      <w:u w:val="dotted"/>
    </w:rPr>
  </w:style>
  <w:style w:type="paragraph" w:customStyle="1" w:styleId="DHHSbody">
    <w:name w:val="DHHS body"/>
    <w:qFormat/>
    <w:rsid w:val="00E30414"/>
    <w:pPr>
      <w:spacing w:after="120" w:line="270" w:lineRule="atLeast"/>
    </w:pPr>
    <w:rPr>
      <w:rFonts w:ascii="Arial" w:eastAsia="Times" w:hAnsi="Arial"/>
      <w:lang w:eastAsia="en-US"/>
    </w:rPr>
  </w:style>
  <w:style w:type="paragraph" w:customStyle="1" w:styleId="DHHSbullet1">
    <w:name w:val="DHHS bullet 1"/>
    <w:basedOn w:val="DHHSbody"/>
    <w:qFormat/>
    <w:rsid w:val="007F5858"/>
    <w:pPr>
      <w:numPr>
        <w:numId w:val="2"/>
      </w:numPr>
      <w:spacing w:after="40"/>
    </w:pPr>
  </w:style>
  <w:style w:type="paragraph" w:customStyle="1" w:styleId="DHHSnumberloweralpha">
    <w:name w:val="DHHS number lower alpha"/>
    <w:basedOn w:val="DHHSbody"/>
    <w:uiPriority w:val="3"/>
    <w:rsid w:val="008669BE"/>
    <w:pPr>
      <w:numPr>
        <w:numId w:val="31"/>
      </w:numPr>
    </w:pPr>
  </w:style>
  <w:style w:type="paragraph" w:customStyle="1" w:styleId="DHHSnumberloweralphaindent">
    <w:name w:val="DHHS number lower alpha indent"/>
    <w:basedOn w:val="DHHSbody"/>
    <w:uiPriority w:val="3"/>
    <w:rsid w:val="008669BE"/>
    <w:pPr>
      <w:numPr>
        <w:ilvl w:val="1"/>
        <w:numId w:val="31"/>
      </w:numPr>
    </w:pPr>
  </w:style>
  <w:style w:type="paragraph" w:customStyle="1" w:styleId="DHHStablefigurenote">
    <w:name w:val="DHHS table/figure note"/>
    <w:uiPriority w:val="4"/>
    <w:rsid w:val="008A5B97"/>
    <w:pPr>
      <w:spacing w:before="60" w:after="60" w:line="240" w:lineRule="exact"/>
    </w:pPr>
    <w:rPr>
      <w:rFonts w:ascii="Arial" w:hAnsi="Arial"/>
      <w:sz w:val="18"/>
      <w:lang w:eastAsia="en-US"/>
    </w:rPr>
  </w:style>
  <w:style w:type="paragraph" w:customStyle="1" w:styleId="DHHStabletext">
    <w:name w:val="DHHS table text"/>
    <w:uiPriority w:val="3"/>
    <w:qFormat/>
    <w:rsid w:val="00E30414"/>
    <w:pPr>
      <w:spacing w:before="80" w:after="60"/>
    </w:pPr>
    <w:rPr>
      <w:rFonts w:ascii="Arial" w:hAnsi="Arial"/>
      <w:lang w:eastAsia="en-US"/>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E91933"/>
    <w:pPr>
      <w:keepNext/>
      <w:keepLines/>
      <w:spacing w:before="240" w:after="120"/>
    </w:pPr>
    <w:rPr>
      <w:rFonts w:ascii="Arial" w:hAnsi="Arial"/>
      <w:b/>
      <w:lang w:eastAsia="en-US"/>
    </w:rPr>
  </w:style>
  <w:style w:type="paragraph" w:customStyle="1" w:styleId="DHHSfooter">
    <w:name w:val="DHHS footer"/>
    <w:uiPriority w:val="11"/>
    <w:rsid w:val="00E969B1"/>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7F5858"/>
    <w:pPr>
      <w:numPr>
        <w:ilvl w:val="1"/>
        <w:numId w:val="2"/>
      </w:num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2"/>
    <w:rsid w:val="008669BE"/>
    <w:pPr>
      <w:numPr>
        <w:numId w:val="17"/>
      </w:numPr>
    </w:pPr>
  </w:style>
  <w:style w:type="paragraph" w:customStyle="1" w:styleId="DHHStablecolhead">
    <w:name w:val="DHHS table col head"/>
    <w:uiPriority w:val="3"/>
    <w:qFormat/>
    <w:rsid w:val="00BD6371"/>
    <w:pPr>
      <w:spacing w:before="80" w:after="60"/>
    </w:pPr>
    <w:rPr>
      <w:rFonts w:ascii="Arial" w:hAnsi="Arial"/>
      <w:b/>
      <w:color w:val="D50032"/>
      <w:lang w:eastAsia="en-US"/>
    </w:rPr>
  </w:style>
  <w:style w:type="paragraph" w:customStyle="1" w:styleId="DHHSbodyaftertablefigure">
    <w:name w:val="DHHS body after table/figure"/>
    <w:basedOn w:val="DHHSbody"/>
    <w:next w:val="DHHSbody"/>
    <w:rsid w:val="00876275"/>
    <w:pPr>
      <w:spacing w:before="240"/>
    </w:pPr>
  </w:style>
  <w:style w:type="paragraph" w:customStyle="1" w:styleId="DHHSTOCheadingreport">
    <w:name w:val="DHHS TOC heading report"/>
    <w:basedOn w:val="Heading1"/>
    <w:link w:val="DHHSTOCheadingreportChar"/>
    <w:uiPriority w:val="5"/>
    <w:rsid w:val="00BD6371"/>
    <w:pPr>
      <w:spacing w:before="0"/>
      <w:outlineLvl w:val="9"/>
    </w:pPr>
  </w:style>
  <w:style w:type="character" w:customStyle="1" w:styleId="DHHSTOCheadingreportChar">
    <w:name w:val="DHHS TOC heading report Char"/>
    <w:link w:val="DHHSTOCheadingreport"/>
    <w:uiPriority w:val="5"/>
    <w:rsid w:val="00BD6371"/>
    <w:rPr>
      <w:rFonts w:ascii="Arial" w:hAnsi="Arial"/>
      <w:bCs/>
      <w:color w:val="D50032"/>
      <w:sz w:val="44"/>
      <w:szCs w:val="44"/>
      <w:lang w:eastAsia="en-US"/>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E75ED2"/>
    <w:pPr>
      <w:ind w:left="397"/>
    </w:pPr>
    <w:rPr>
      <w:szCs w:val="18"/>
    </w:rPr>
  </w:style>
  <w:style w:type="numbering" w:customStyle="1" w:styleId="ZZBullets">
    <w:name w:val="ZZ Bullets"/>
    <w:rsid w:val="007F5858"/>
    <w:pPr>
      <w:numPr>
        <w:numId w:val="2"/>
      </w:numPr>
    </w:pPr>
  </w:style>
  <w:style w:type="paragraph" w:customStyle="1" w:styleId="DHHSnumberlowerroman">
    <w:name w:val="DHHS number lower roman"/>
    <w:basedOn w:val="DHHSbody"/>
    <w:uiPriority w:val="3"/>
    <w:rsid w:val="008669BE"/>
    <w:pPr>
      <w:numPr>
        <w:numId w:val="33"/>
      </w:numPr>
    </w:pPr>
  </w:style>
  <w:style w:type="paragraph" w:customStyle="1" w:styleId="DHHSnumberlowerromanindent">
    <w:name w:val="DHHS number lower roman indent"/>
    <w:basedOn w:val="DHHSbody"/>
    <w:uiPriority w:val="3"/>
    <w:rsid w:val="008669BE"/>
    <w:pPr>
      <w:numPr>
        <w:ilvl w:val="1"/>
        <w:numId w:val="33"/>
      </w:numPr>
    </w:pPr>
  </w:style>
  <w:style w:type="paragraph" w:customStyle="1" w:styleId="DHHSnumberdigitindent">
    <w:name w:val="DHHS number digit indent"/>
    <w:basedOn w:val="DHHSnumberloweralphaindent"/>
    <w:uiPriority w:val="3"/>
    <w:rsid w:val="00C0160A"/>
    <w:pPr>
      <w:numPr>
        <w:numId w:val="17"/>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customStyle="1" w:styleId="DHHSbodyafterbullets">
    <w:name w:val="DHHS body after bullets"/>
    <w:basedOn w:val="DHHSbody"/>
    <w:uiPriority w:val="11"/>
    <w:rsid w:val="008669BE"/>
    <w:pPr>
      <w:spacing w:before="120"/>
    </w:pPr>
  </w:style>
  <w:style w:type="paragraph" w:customStyle="1" w:styleId="DHHSbulletafternumbers1">
    <w:name w:val="DHHS bullet after numbers 1"/>
    <w:basedOn w:val="DHHSbody"/>
    <w:uiPriority w:val="4"/>
    <w:rsid w:val="00C0160A"/>
    <w:pPr>
      <w:numPr>
        <w:ilvl w:val="2"/>
        <w:numId w:val="17"/>
      </w:numPr>
    </w:pPr>
  </w:style>
  <w:style w:type="paragraph" w:customStyle="1" w:styleId="DHHSbulletafternumbers2">
    <w:name w:val="DHHS bullet after numbers 2"/>
    <w:basedOn w:val="DHHSbody"/>
    <w:rsid w:val="00C0160A"/>
    <w:pPr>
      <w:numPr>
        <w:ilvl w:val="3"/>
        <w:numId w:val="17"/>
      </w:numPr>
    </w:pPr>
  </w:style>
  <w:style w:type="paragraph" w:customStyle="1" w:styleId="DHHSquotebullet1">
    <w:name w:val="DHHS quote bullet 1"/>
    <w:basedOn w:val="DHHSquote"/>
    <w:rsid w:val="008669BE"/>
    <w:pPr>
      <w:numPr>
        <w:numId w:val="32"/>
      </w:numPr>
    </w:pPr>
  </w:style>
  <w:style w:type="paragraph" w:customStyle="1" w:styleId="DHHSquotebullet2">
    <w:name w:val="DHHS quote bullet 2"/>
    <w:basedOn w:val="DHHSquote"/>
    <w:rsid w:val="008669BE"/>
    <w:pPr>
      <w:numPr>
        <w:ilvl w:val="1"/>
        <w:numId w:val="32"/>
      </w:numPr>
    </w:pPr>
  </w:style>
  <w:style w:type="paragraph" w:customStyle="1" w:styleId="DHHStablebullet1">
    <w:name w:val="DHHS table bullet 1"/>
    <w:basedOn w:val="DHHStabletext"/>
    <w:uiPriority w:val="3"/>
    <w:qFormat/>
    <w:rsid w:val="008669BE"/>
    <w:pPr>
      <w:numPr>
        <w:numId w:val="34"/>
      </w:numPr>
    </w:pPr>
  </w:style>
  <w:style w:type="paragraph" w:customStyle="1" w:styleId="DHHStablebullet2">
    <w:name w:val="DHHS table bullet 2"/>
    <w:basedOn w:val="DHHStabletext"/>
    <w:uiPriority w:val="11"/>
    <w:rsid w:val="008669BE"/>
    <w:pPr>
      <w:numPr>
        <w:ilvl w:val="1"/>
        <w:numId w:val="34"/>
      </w:numPr>
    </w:pPr>
  </w:style>
  <w:style w:type="numbering" w:customStyle="1" w:styleId="ZZNumbersdigit">
    <w:name w:val="ZZ Numbers digit"/>
    <w:rsid w:val="00C0160A"/>
    <w:pPr>
      <w:numPr>
        <w:numId w:val="17"/>
      </w:numPr>
    </w:pPr>
  </w:style>
  <w:style w:type="numbering" w:customStyle="1" w:styleId="ZZNumbersloweralpha">
    <w:name w:val="ZZ Numbers lower alpha"/>
    <w:basedOn w:val="NoList"/>
    <w:rsid w:val="008669BE"/>
    <w:pPr>
      <w:numPr>
        <w:numId w:val="20"/>
      </w:numPr>
    </w:pPr>
  </w:style>
  <w:style w:type="numbering" w:customStyle="1" w:styleId="ZZQuotebullets">
    <w:name w:val="ZZ Quote bullets"/>
    <w:basedOn w:val="ZZNumbersdigit"/>
    <w:rsid w:val="008669BE"/>
    <w:pPr>
      <w:numPr>
        <w:numId w:val="25"/>
      </w:numPr>
    </w:pPr>
  </w:style>
  <w:style w:type="numbering" w:customStyle="1" w:styleId="ZZNumberslowerroman">
    <w:name w:val="ZZ Numbers lower roman"/>
    <w:basedOn w:val="ZZQuotebullets"/>
    <w:rsid w:val="008669BE"/>
    <w:pPr>
      <w:numPr>
        <w:numId w:val="23"/>
      </w:numPr>
    </w:pPr>
  </w:style>
  <w:style w:type="numbering" w:customStyle="1" w:styleId="ZZTablebullets">
    <w:name w:val="ZZ Table bullets"/>
    <w:basedOn w:val="NoList"/>
    <w:rsid w:val="008669BE"/>
    <w:pPr>
      <w:numPr>
        <w:numId w:val="27"/>
      </w:numPr>
    </w:pPr>
  </w:style>
  <w:style w:type="table" w:customStyle="1" w:styleId="TableGrid1">
    <w:name w:val="Table Grid1"/>
    <w:basedOn w:val="TableNormal"/>
    <w:next w:val="TableGrid"/>
    <w:uiPriority w:val="59"/>
    <w:rsid w:val="0047393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017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next w:val="PlainTable22"/>
    <w:uiPriority w:val="42"/>
    <w:rsid w:val="00E01793"/>
    <w:rPr>
      <w:rFonts w:ascii="Calibri" w:eastAsia="Calibri" w:hAnsi="Calibr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2">
    <w:name w:val="Plain Table 22"/>
    <w:basedOn w:val="TableNormal"/>
    <w:uiPriority w:val="42"/>
    <w:rsid w:val="00E0179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A60F86"/>
    <w:rPr>
      <w:sz w:val="16"/>
      <w:szCs w:val="16"/>
    </w:rPr>
  </w:style>
  <w:style w:type="paragraph" w:styleId="CommentText">
    <w:name w:val="annotation text"/>
    <w:basedOn w:val="Normal"/>
    <w:link w:val="CommentTextChar"/>
    <w:uiPriority w:val="99"/>
    <w:semiHidden/>
    <w:unhideWhenUsed/>
    <w:rsid w:val="00A60F86"/>
  </w:style>
  <w:style w:type="character" w:customStyle="1" w:styleId="CommentTextChar">
    <w:name w:val="Comment Text Char"/>
    <w:basedOn w:val="DefaultParagraphFont"/>
    <w:link w:val="CommentText"/>
    <w:uiPriority w:val="99"/>
    <w:semiHidden/>
    <w:rsid w:val="00A60F86"/>
    <w:rPr>
      <w:rFonts w:ascii="Cambria" w:hAnsi="Cambria"/>
      <w:lang w:eastAsia="en-US"/>
    </w:rPr>
  </w:style>
  <w:style w:type="paragraph" w:styleId="CommentSubject">
    <w:name w:val="annotation subject"/>
    <w:basedOn w:val="CommentText"/>
    <w:next w:val="CommentText"/>
    <w:link w:val="CommentSubjectChar"/>
    <w:uiPriority w:val="99"/>
    <w:semiHidden/>
    <w:unhideWhenUsed/>
    <w:rsid w:val="00A60F86"/>
    <w:rPr>
      <w:b/>
      <w:bCs/>
    </w:rPr>
  </w:style>
  <w:style w:type="character" w:customStyle="1" w:styleId="CommentSubjectChar">
    <w:name w:val="Comment Subject Char"/>
    <w:basedOn w:val="CommentTextChar"/>
    <w:link w:val="CommentSubject"/>
    <w:uiPriority w:val="99"/>
    <w:semiHidden/>
    <w:rsid w:val="00A60F86"/>
    <w:rPr>
      <w:rFonts w:ascii="Cambria" w:hAnsi="Cambria"/>
      <w:b/>
      <w:bCs/>
      <w:lang w:eastAsia="en-US"/>
    </w:rPr>
  </w:style>
  <w:style w:type="paragraph" w:styleId="BalloonText">
    <w:name w:val="Balloon Text"/>
    <w:basedOn w:val="Normal"/>
    <w:link w:val="BalloonTextChar"/>
    <w:uiPriority w:val="99"/>
    <w:semiHidden/>
    <w:unhideWhenUsed/>
    <w:rsid w:val="00A60F86"/>
    <w:rPr>
      <w:rFonts w:ascii="Tahoma" w:hAnsi="Tahoma" w:cs="Tahoma"/>
      <w:sz w:val="16"/>
      <w:szCs w:val="16"/>
    </w:rPr>
  </w:style>
  <w:style w:type="character" w:customStyle="1" w:styleId="BalloonTextChar">
    <w:name w:val="Balloon Text Char"/>
    <w:basedOn w:val="DefaultParagraphFont"/>
    <w:link w:val="BalloonText"/>
    <w:uiPriority w:val="99"/>
    <w:semiHidden/>
    <w:rsid w:val="00A60F86"/>
    <w:rPr>
      <w:rFonts w:ascii="Tahoma" w:hAnsi="Tahoma" w:cs="Tahoma"/>
      <w:sz w:val="16"/>
      <w:szCs w:val="16"/>
      <w:lang w:eastAsia="en-US"/>
    </w:rPr>
  </w:style>
  <w:style w:type="paragraph" w:styleId="ListParagraph">
    <w:name w:val="List Paragraph"/>
    <w:basedOn w:val="Normal"/>
    <w:uiPriority w:val="34"/>
    <w:qFormat/>
    <w:rsid w:val="00DA554C"/>
    <w:pPr>
      <w:spacing w:after="200" w:line="276" w:lineRule="auto"/>
      <w:ind w:left="720"/>
      <w:contextualSpacing/>
    </w:pPr>
    <w:rPr>
      <w:rFonts w:asciiTheme="minorHAnsi" w:eastAsiaTheme="minorHAnsi" w:hAnsiTheme="minorHAnsi" w:cstheme="minorBidi"/>
      <w:sz w:val="22"/>
      <w:szCs w:val="22"/>
    </w:rPr>
  </w:style>
  <w:style w:type="paragraph" w:styleId="Revision">
    <w:name w:val="Revision"/>
    <w:hidden/>
    <w:uiPriority w:val="71"/>
    <w:semiHidden/>
    <w:rsid w:val="00066127"/>
    <w:rPr>
      <w:rFonts w:ascii="Cambria" w:hAnsi="Cambria"/>
      <w:lang w:eastAsia="en-US"/>
    </w:rPr>
  </w:style>
  <w:style w:type="character" w:customStyle="1" w:styleId="UnresolvedMention">
    <w:name w:val="Unresolved Mention"/>
    <w:basedOn w:val="DefaultParagraphFont"/>
    <w:uiPriority w:val="99"/>
    <w:semiHidden/>
    <w:unhideWhenUsed/>
    <w:rsid w:val="006B1C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2857175">
      <w:bodyDiv w:val="1"/>
      <w:marLeft w:val="0"/>
      <w:marRight w:val="0"/>
      <w:marTop w:val="0"/>
      <w:marBottom w:val="0"/>
      <w:divBdr>
        <w:top w:val="none" w:sz="0" w:space="0" w:color="auto"/>
        <w:left w:val="none" w:sz="0" w:space="0" w:color="auto"/>
        <w:bottom w:val="none" w:sz="0" w:space="0" w:color="auto"/>
        <w:right w:val="none" w:sz="0" w:space="0" w:color="auto"/>
      </w:divBdr>
    </w:div>
    <w:div w:id="1073744267">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2.health.vic.gov.au/hospitals-and-health-services/patient-care/speciality-diagnostics-therapeutics/blood-matters/~/link.aspx?_id=E2BB7BBE5CD44961AB89F8F1D94E0D97&amp;_z=z" TargetMode="External"/><Relationship Id="rId18" Type="http://schemas.openxmlformats.org/officeDocument/2006/relationships/footer" Target="footer3.xml"/><Relationship Id="rId26" Type="http://schemas.openxmlformats.org/officeDocument/2006/relationships/oleObject" Target="embeddings/oleObject3.bin"/><Relationship Id="rId39" Type="http://schemas.microsoft.com/office/2018/08/relationships/commentsExtensible" Target="commentsExtensible.xml"/><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endnotes" Target="endnotes.xml"/><Relationship Id="rId12" Type="http://schemas.openxmlformats.org/officeDocument/2006/relationships/hyperlink" Target="https://www2.health.vic.gov.au/hospitals-and-health-services/patient-care/speciality-diagnostics-therapeutics/blood-matters/~/link.aspx?_id=E2BB7BBE5CD44961AB89F8F1D94E0D97&amp;_z=z" TargetMode="External"/><Relationship Id="rId17" Type="http://schemas.openxmlformats.org/officeDocument/2006/relationships/footer" Target="footer2.xml"/><Relationship Id="rId25" Type="http://schemas.openxmlformats.org/officeDocument/2006/relationships/image" Target="media/image6.emf"/><Relationship Id="rId38"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Accessibility%20text-%20appendix%205.docx"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oleObject" Target="embeddings/oleObject2.bin"/><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5.emf"/><Relationship Id="rId28" Type="http://schemas.openxmlformats.org/officeDocument/2006/relationships/oleObject" Target="embeddings/oleObject4.bin"/><Relationship Id="rId10" Type="http://schemas.openxmlformats.org/officeDocument/2006/relationships/image" Target="media/image2.png"/><Relationship Id="rId19" Type="http://schemas.openxmlformats.org/officeDocument/2006/relationships/hyperlink" Target="https://www2.health.vic.gov.au/hospitals-and-health-services/patient-care/speciality-diagnostics-therapeutics/blood-matters/transfusion-audits"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bloodmatters@redcrossblood.org.au" TargetMode="External"/><Relationship Id="rId14" Type="http://schemas.openxmlformats.org/officeDocument/2006/relationships/header" Target="header1.xml"/><Relationship Id="rId22" Type="http://schemas.openxmlformats.org/officeDocument/2006/relationships/oleObject" Target="embeddings/oleObject1.bin"/><Relationship Id="rId27" Type="http://schemas.openxmlformats.org/officeDocument/2006/relationships/image" Target="media/image7.emf"/><Relationship Id="rId30"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28894DC-3CEA-4445-94A5-7B12D82ECF6C}">
  <we:reference id="wa104380773" version="1.0.0.2" store="en-GB" storeType="OMEX"/>
  <we:alternateReferences>
    <we:reference id="wa104380773" version="1.0.0.2"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72CE00-8CAA-4AAC-BC9D-19CB8B1FF6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23</Pages>
  <Words>2737</Words>
  <Characters>17686</Characters>
  <Application>Microsoft Office Word</Application>
  <DocSecurity>0</DocSecurity>
  <Lines>147</Lines>
  <Paragraphs>40</Paragraphs>
  <ScaleCrop>false</ScaleCrop>
  <HeadingPairs>
    <vt:vector size="2" baseType="variant">
      <vt:variant>
        <vt:lpstr>Title</vt:lpstr>
      </vt:variant>
      <vt:variant>
        <vt:i4>1</vt:i4>
      </vt:variant>
    </vt:vector>
  </HeadingPairs>
  <TitlesOfParts>
    <vt:vector size="1" baseType="lpstr">
      <vt:lpstr>General practice audit of preoperative anaemia 2019</vt:lpstr>
    </vt:vector>
  </TitlesOfParts>
  <Manager/>
  <Company>Department of Health and Human Services</Company>
  <LinksUpToDate>false</LinksUpToDate>
  <CharactersWithSpaces>20383</CharactersWithSpaces>
  <SharedDoc>false</SharedDoc>
  <HyperlinkBase/>
  <HLinks>
    <vt:vector size="66" baseType="variant">
      <vt:variant>
        <vt:i4>7864376</vt:i4>
      </vt:variant>
      <vt:variant>
        <vt:i4>54</vt:i4>
      </vt:variant>
      <vt:variant>
        <vt:i4>0</vt:i4>
      </vt:variant>
      <vt:variant>
        <vt:i4>5</vt:i4>
      </vt:variant>
      <vt:variant>
        <vt:lpwstr>https://intranet.dhhs.vic.gov.au/templates-our-visual-style</vt:lpwstr>
      </vt:variant>
      <vt:variant>
        <vt:lpwstr/>
      </vt:variant>
      <vt:variant>
        <vt:i4>1048626</vt:i4>
      </vt:variant>
      <vt:variant>
        <vt:i4>47</vt:i4>
      </vt:variant>
      <vt:variant>
        <vt:i4>0</vt:i4>
      </vt:variant>
      <vt:variant>
        <vt:i4>5</vt:i4>
      </vt:variant>
      <vt:variant>
        <vt:lpwstr/>
      </vt:variant>
      <vt:variant>
        <vt:lpwstr>_Toc442704404</vt:lpwstr>
      </vt:variant>
      <vt:variant>
        <vt:i4>1048626</vt:i4>
      </vt:variant>
      <vt:variant>
        <vt:i4>41</vt:i4>
      </vt:variant>
      <vt:variant>
        <vt:i4>0</vt:i4>
      </vt:variant>
      <vt:variant>
        <vt:i4>5</vt:i4>
      </vt:variant>
      <vt:variant>
        <vt:lpwstr/>
      </vt:variant>
      <vt:variant>
        <vt:lpwstr>_Toc442704403</vt:lpwstr>
      </vt:variant>
      <vt:variant>
        <vt:i4>1048626</vt:i4>
      </vt:variant>
      <vt:variant>
        <vt:i4>35</vt:i4>
      </vt:variant>
      <vt:variant>
        <vt:i4>0</vt:i4>
      </vt:variant>
      <vt:variant>
        <vt:i4>5</vt:i4>
      </vt:variant>
      <vt:variant>
        <vt:lpwstr/>
      </vt:variant>
      <vt:variant>
        <vt:lpwstr>_Toc442704402</vt:lpwstr>
      </vt:variant>
      <vt:variant>
        <vt:i4>1048626</vt:i4>
      </vt:variant>
      <vt:variant>
        <vt:i4>29</vt:i4>
      </vt:variant>
      <vt:variant>
        <vt:i4>0</vt:i4>
      </vt:variant>
      <vt:variant>
        <vt:i4>5</vt:i4>
      </vt:variant>
      <vt:variant>
        <vt:lpwstr/>
      </vt:variant>
      <vt:variant>
        <vt:lpwstr>_Toc442704401</vt:lpwstr>
      </vt:variant>
      <vt:variant>
        <vt:i4>1048626</vt:i4>
      </vt:variant>
      <vt:variant>
        <vt:i4>23</vt:i4>
      </vt:variant>
      <vt:variant>
        <vt:i4>0</vt:i4>
      </vt:variant>
      <vt:variant>
        <vt:i4>5</vt:i4>
      </vt:variant>
      <vt:variant>
        <vt:lpwstr/>
      </vt:variant>
      <vt:variant>
        <vt:lpwstr>_Toc442704400</vt:lpwstr>
      </vt:variant>
      <vt:variant>
        <vt:i4>1638453</vt:i4>
      </vt:variant>
      <vt:variant>
        <vt:i4>17</vt:i4>
      </vt:variant>
      <vt:variant>
        <vt:i4>0</vt:i4>
      </vt:variant>
      <vt:variant>
        <vt:i4>5</vt:i4>
      </vt:variant>
      <vt:variant>
        <vt:lpwstr/>
      </vt:variant>
      <vt:variant>
        <vt:lpwstr>_Toc442704399</vt:lpwstr>
      </vt:variant>
      <vt:variant>
        <vt:i4>1638453</vt:i4>
      </vt:variant>
      <vt:variant>
        <vt:i4>11</vt:i4>
      </vt:variant>
      <vt:variant>
        <vt:i4>0</vt:i4>
      </vt:variant>
      <vt:variant>
        <vt:i4>5</vt:i4>
      </vt:variant>
      <vt:variant>
        <vt:lpwstr/>
      </vt:variant>
      <vt:variant>
        <vt:lpwstr>_Toc442704398</vt:lpwstr>
      </vt:variant>
      <vt:variant>
        <vt:i4>7602296</vt:i4>
      </vt:variant>
      <vt:variant>
        <vt:i4>6</vt:i4>
      </vt:variant>
      <vt:variant>
        <vt:i4>0</vt:i4>
      </vt:variant>
      <vt:variant>
        <vt:i4>5</vt:i4>
      </vt:variant>
      <vt:variant>
        <vt:lpwstr>https://intranet.dhhs.vic.gov.au/graphic-design-process</vt:lpwstr>
      </vt:variant>
      <vt:variant>
        <vt:lpwstr/>
      </vt:variant>
      <vt:variant>
        <vt:i4>7209064</vt:i4>
      </vt:variant>
      <vt:variant>
        <vt:i4>3</vt:i4>
      </vt:variant>
      <vt:variant>
        <vt:i4>0</vt:i4>
      </vt:variant>
      <vt:variant>
        <vt:i4>5</vt:i4>
      </vt:variant>
      <vt:variant>
        <vt:lpwstr>https://intranet.dhhs.vic.gov.au/print-and-distribute-communications-materials</vt:lpwstr>
      </vt:variant>
      <vt:variant>
        <vt:lpwstr/>
      </vt:variant>
      <vt:variant>
        <vt:i4>7143443</vt:i4>
      </vt:variant>
      <vt:variant>
        <vt:i4>0</vt:i4>
      </vt:variant>
      <vt:variant>
        <vt:i4>0</vt:i4>
      </vt:variant>
      <vt:variant>
        <vt:i4>5</vt:i4>
      </vt:variant>
      <vt:variant>
        <vt:lpwstr>http://library.intranet.vic.gov.au/client/en_AU/vglsweb-depi/?rm=ISBN0%7C%7C%7C1%7C%7C%7C0%7C%7C%7Ctrue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General practice audit of preoperative anaemia 2019</dc:title>
  <dc:subject>Patient blood management</dc:subject>
  <dc:creator>Blood Matters Program</dc:creator>
  <cp:keywords>anaemia, blood management</cp:keywords>
  <dc:description/>
  <cp:lastModifiedBy>Linley Bielby</cp:lastModifiedBy>
  <cp:revision>5</cp:revision>
  <cp:lastPrinted>2020-08-04T05:30:00Z</cp:lastPrinted>
  <dcterms:created xsi:type="dcterms:W3CDTF">2020-08-11T05:57:00Z</dcterms:created>
  <dcterms:modified xsi:type="dcterms:W3CDTF">2020-08-20T06:39:00Z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