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AF6C" w14:textId="77777777" w:rsidR="0074696E" w:rsidRPr="004C6EEE" w:rsidRDefault="0074696E" w:rsidP="00AD784C">
      <w:pPr>
        <w:pStyle w:val="Spacerparatopoffirstpage"/>
      </w:pPr>
    </w:p>
    <w:p w14:paraId="63AC90C2" w14:textId="77777777" w:rsidR="00A62D44" w:rsidRPr="004C6EEE" w:rsidRDefault="00A62D44" w:rsidP="004C6EEE">
      <w:pPr>
        <w:pStyle w:val="Sectionbreakfirstpage"/>
        <w:sectPr w:rsidR="00A62D44" w:rsidRPr="004C6EEE" w:rsidSect="00AD784C">
          <w:headerReference w:type="default" r:id="rId7"/>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D39A94D" w14:textId="77777777" w:rsidTr="008A28A8">
        <w:trPr>
          <w:trHeight w:val="1247"/>
        </w:trPr>
        <w:tc>
          <w:tcPr>
            <w:tcW w:w="8046" w:type="dxa"/>
            <w:shd w:val="clear" w:color="auto" w:fill="auto"/>
            <w:vAlign w:val="bottom"/>
          </w:tcPr>
          <w:p w14:paraId="6E3A4A1A" w14:textId="77777777" w:rsidR="00AD784C" w:rsidRPr="00161AA0" w:rsidRDefault="00850F10" w:rsidP="00FF378F">
            <w:pPr>
              <w:pStyle w:val="DHHSmainheading"/>
            </w:pPr>
            <w:r>
              <w:t>STIR Bulletin Number 5</w:t>
            </w:r>
          </w:p>
        </w:tc>
      </w:tr>
      <w:tr w:rsidR="00AD784C" w14:paraId="76EBC380" w14:textId="77777777" w:rsidTr="00850F10">
        <w:trPr>
          <w:trHeight w:hRule="exact" w:val="1903"/>
        </w:trPr>
        <w:tc>
          <w:tcPr>
            <w:tcW w:w="8046" w:type="dxa"/>
            <w:shd w:val="clear" w:color="auto" w:fill="auto"/>
            <w:tcMar>
              <w:top w:w="170" w:type="dxa"/>
              <w:bottom w:w="510" w:type="dxa"/>
            </w:tcMar>
          </w:tcPr>
          <w:p w14:paraId="3820D181" w14:textId="2173277A" w:rsidR="00357B4E" w:rsidRDefault="00645E20" w:rsidP="00357B4E">
            <w:pPr>
              <w:pStyle w:val="DHHSmainsubheading"/>
              <w:rPr>
                <w:sz w:val="36"/>
                <w:szCs w:val="36"/>
              </w:rPr>
            </w:pPr>
            <w:r>
              <w:rPr>
                <w:sz w:val="36"/>
                <w:szCs w:val="36"/>
              </w:rPr>
              <w:t>July</w:t>
            </w:r>
            <w:r w:rsidR="00DA7C84" w:rsidRPr="00645E20">
              <w:rPr>
                <w:color w:val="C00000"/>
                <w:sz w:val="36"/>
                <w:szCs w:val="36"/>
              </w:rPr>
              <w:t xml:space="preserve"> </w:t>
            </w:r>
            <w:r w:rsidR="00C3710F">
              <w:rPr>
                <w:sz w:val="36"/>
                <w:szCs w:val="36"/>
              </w:rPr>
              <w:t>2020</w:t>
            </w:r>
            <w:r w:rsidR="00643821">
              <w:rPr>
                <w:sz w:val="36"/>
                <w:szCs w:val="36"/>
              </w:rPr>
              <w:t>, updated Dec 2020</w:t>
            </w:r>
            <w:bookmarkStart w:id="0" w:name="_GoBack"/>
            <w:bookmarkEnd w:id="0"/>
          </w:p>
          <w:p w14:paraId="5E12163B" w14:textId="7E59B51F" w:rsidR="00C3710F" w:rsidRPr="00FF378F" w:rsidRDefault="00850F10" w:rsidP="004A37D2">
            <w:pPr>
              <w:pStyle w:val="DHHSmainsubheading"/>
              <w:rPr>
                <w:sz w:val="36"/>
                <w:szCs w:val="36"/>
              </w:rPr>
            </w:pPr>
            <w:r w:rsidRPr="00850F10">
              <w:rPr>
                <w:sz w:val="36"/>
                <w:szCs w:val="36"/>
              </w:rPr>
              <w:t>Passive transfer of antibodies in patients receiving intravenous immunoglobulin (</w:t>
            </w:r>
            <w:r w:rsidR="004A37D2" w:rsidRPr="00850F10">
              <w:rPr>
                <w:sz w:val="36"/>
                <w:szCs w:val="36"/>
              </w:rPr>
              <w:t>IVI</w:t>
            </w:r>
            <w:r w:rsidR="004A37D2">
              <w:rPr>
                <w:sz w:val="36"/>
                <w:szCs w:val="36"/>
              </w:rPr>
              <w:t>g</w:t>
            </w:r>
            <w:r w:rsidRPr="00850F10">
              <w:rPr>
                <w:sz w:val="36"/>
                <w:szCs w:val="36"/>
              </w:rPr>
              <w:t>)</w:t>
            </w:r>
          </w:p>
        </w:tc>
      </w:tr>
    </w:tbl>
    <w:p w14:paraId="4DB7FF2F" w14:textId="77777777" w:rsidR="00850F10" w:rsidRPr="00850F10" w:rsidRDefault="00850F10" w:rsidP="00850F10">
      <w:pPr>
        <w:pStyle w:val="DHHSbody"/>
        <w:rPr>
          <w:rFonts w:cs="Arial"/>
          <w:b/>
          <w:sz w:val="22"/>
          <w:szCs w:val="22"/>
        </w:rPr>
      </w:pPr>
      <w:r w:rsidRPr="00850F10">
        <w:rPr>
          <w:rFonts w:cs="Arial"/>
          <w:b/>
          <w:sz w:val="22"/>
          <w:szCs w:val="22"/>
        </w:rPr>
        <w:t>Background</w:t>
      </w:r>
    </w:p>
    <w:p w14:paraId="26C58751" w14:textId="52866078" w:rsidR="00850F10" w:rsidRPr="00850F10" w:rsidRDefault="004A37D2" w:rsidP="00850F10">
      <w:pPr>
        <w:pStyle w:val="DHHSbody"/>
        <w:rPr>
          <w:rFonts w:cs="Arial"/>
          <w:sz w:val="22"/>
          <w:szCs w:val="22"/>
        </w:rPr>
      </w:pPr>
      <w:r w:rsidRPr="00850F10">
        <w:rPr>
          <w:rFonts w:cs="Arial"/>
          <w:sz w:val="22"/>
          <w:szCs w:val="22"/>
        </w:rPr>
        <w:t>IVI</w:t>
      </w:r>
      <w:r>
        <w:rPr>
          <w:rFonts w:cs="Arial"/>
          <w:sz w:val="22"/>
          <w:szCs w:val="22"/>
        </w:rPr>
        <w:t>g</w:t>
      </w:r>
      <w:r w:rsidRPr="00850F10">
        <w:rPr>
          <w:rFonts w:cs="Arial"/>
          <w:sz w:val="22"/>
          <w:szCs w:val="22"/>
        </w:rPr>
        <w:t xml:space="preserve"> </w:t>
      </w:r>
      <w:r w:rsidR="00850F10" w:rsidRPr="00850F10">
        <w:rPr>
          <w:rFonts w:cs="Arial"/>
          <w:sz w:val="22"/>
          <w:szCs w:val="22"/>
        </w:rPr>
        <w:t>is used for a number of inflammatory and immune disorders across multiple specialties, including neurology, haematology, immunology, nephrology, rheumatology, dermatology and ophthalmology. The product is made from over 1,000 pooled donations, and therefore contains a heterogeneous mixture of IgG antibodies, with only trace amounts of IgA and IgM. It is therefore possible for passive transfer of donor antibodies to recipients, which may have implications in test results, such as hepatitis B serology.</w:t>
      </w:r>
    </w:p>
    <w:p w14:paraId="02E4EEB8" w14:textId="082FBF54" w:rsidR="00850F10" w:rsidRPr="00850F10" w:rsidRDefault="00850F10" w:rsidP="00850F10">
      <w:pPr>
        <w:pStyle w:val="DHHSbody"/>
        <w:rPr>
          <w:rFonts w:cs="Arial"/>
          <w:sz w:val="22"/>
          <w:szCs w:val="22"/>
        </w:rPr>
      </w:pPr>
      <w:r w:rsidRPr="00850F10">
        <w:rPr>
          <w:rFonts w:cs="Arial"/>
          <w:sz w:val="22"/>
          <w:szCs w:val="22"/>
        </w:rPr>
        <w:t xml:space="preserve">There have been documented cases in the literature of positive serology results for Hepatitis A, B and C, Cytomegalovirus (CMV), Varicella Zoster virus (VZV), Epstein Barr virus (EBV), Parvovirus B19, Treponema pallidum, and </w:t>
      </w:r>
      <w:proofErr w:type="spellStart"/>
      <w:r w:rsidRPr="00850F10">
        <w:rPr>
          <w:rFonts w:cs="Arial"/>
          <w:sz w:val="22"/>
          <w:szCs w:val="22"/>
        </w:rPr>
        <w:t>borrelia</w:t>
      </w:r>
      <w:proofErr w:type="spellEnd"/>
      <w:r w:rsidRPr="00850F10">
        <w:rPr>
          <w:rFonts w:cs="Arial"/>
          <w:sz w:val="22"/>
          <w:szCs w:val="22"/>
        </w:rPr>
        <w:t xml:space="preserve"> following IVI</w:t>
      </w:r>
      <w:r w:rsidR="00771372">
        <w:rPr>
          <w:rFonts w:cs="Arial"/>
          <w:sz w:val="22"/>
          <w:szCs w:val="22"/>
        </w:rPr>
        <w:t>g</w:t>
      </w:r>
      <w:r w:rsidRPr="00850F10">
        <w:rPr>
          <w:rFonts w:cs="Arial"/>
          <w:sz w:val="22"/>
          <w:szCs w:val="22"/>
        </w:rPr>
        <w:t xml:space="preserve"> therapy. Detection of this passive antibody transfer is expected to reduce over time</w:t>
      </w:r>
      <w:r w:rsidR="00771372">
        <w:rPr>
          <w:rFonts w:cs="Arial"/>
          <w:sz w:val="22"/>
          <w:szCs w:val="22"/>
        </w:rPr>
        <w:t xml:space="preserve"> from the last dose of IVIg</w:t>
      </w:r>
      <w:r w:rsidRPr="00850F10">
        <w:rPr>
          <w:rFonts w:cs="Arial"/>
          <w:sz w:val="22"/>
          <w:szCs w:val="22"/>
        </w:rPr>
        <w:t xml:space="preserve">, as IgG1 has a half-life of 18-23 days. </w:t>
      </w:r>
    </w:p>
    <w:p w14:paraId="23A6B67A" w14:textId="77777777" w:rsidR="00850F10" w:rsidRPr="00850F10" w:rsidRDefault="00850F10" w:rsidP="00850F10">
      <w:pPr>
        <w:pStyle w:val="DHHSbody"/>
        <w:rPr>
          <w:rFonts w:cs="Arial"/>
          <w:sz w:val="22"/>
          <w:szCs w:val="22"/>
        </w:rPr>
      </w:pPr>
    </w:p>
    <w:p w14:paraId="4DB3318D" w14:textId="77777777" w:rsidR="00850F10" w:rsidRPr="00850F10" w:rsidRDefault="00850F10" w:rsidP="00850F10">
      <w:pPr>
        <w:pStyle w:val="DHHSbody"/>
        <w:rPr>
          <w:rFonts w:cs="Arial"/>
          <w:b/>
          <w:sz w:val="22"/>
          <w:szCs w:val="22"/>
        </w:rPr>
      </w:pPr>
      <w:r w:rsidRPr="00850F10">
        <w:rPr>
          <w:rFonts w:cs="Arial"/>
          <w:b/>
          <w:sz w:val="22"/>
          <w:szCs w:val="22"/>
        </w:rPr>
        <w:t>Hepatitis B serology interpretation and implications</w:t>
      </w:r>
    </w:p>
    <w:p w14:paraId="6E80C6C9" w14:textId="77777777" w:rsidR="00850F10" w:rsidRPr="00850F10" w:rsidRDefault="00850F10" w:rsidP="00850F10">
      <w:pPr>
        <w:pStyle w:val="DHHSbody"/>
        <w:rPr>
          <w:rFonts w:cs="Arial"/>
          <w:sz w:val="22"/>
          <w:szCs w:val="22"/>
        </w:rPr>
      </w:pPr>
      <w:r w:rsidRPr="00850F10">
        <w:rPr>
          <w:rFonts w:cs="Arial"/>
          <w:sz w:val="22"/>
          <w:szCs w:val="22"/>
        </w:rPr>
        <w:t>Hepatitis B serology routinely involves 3 components: Hepatitis B surface antigen (HBsAg), Hepatitis B surface antibody (</w:t>
      </w:r>
      <w:proofErr w:type="spellStart"/>
      <w:r w:rsidRPr="00850F10">
        <w:rPr>
          <w:rFonts w:cs="Arial"/>
          <w:sz w:val="22"/>
          <w:szCs w:val="22"/>
        </w:rPr>
        <w:t>HBsAb</w:t>
      </w:r>
      <w:proofErr w:type="spellEnd"/>
      <w:r w:rsidRPr="00850F10">
        <w:rPr>
          <w:rFonts w:cs="Arial"/>
          <w:sz w:val="22"/>
          <w:szCs w:val="22"/>
        </w:rPr>
        <w:t>), and Hepatitis B core antibody (</w:t>
      </w:r>
      <w:proofErr w:type="spellStart"/>
      <w:r w:rsidRPr="00850F10">
        <w:rPr>
          <w:rFonts w:cs="Arial"/>
          <w:sz w:val="22"/>
          <w:szCs w:val="22"/>
        </w:rPr>
        <w:t>HBcAb</w:t>
      </w:r>
      <w:proofErr w:type="spellEnd"/>
      <w:r w:rsidRPr="00850F10">
        <w:rPr>
          <w:rFonts w:cs="Arial"/>
          <w:sz w:val="22"/>
          <w:szCs w:val="22"/>
        </w:rPr>
        <w:t>)</w:t>
      </w:r>
    </w:p>
    <w:p w14:paraId="5D5701AE" w14:textId="77777777" w:rsidR="00850F10" w:rsidRPr="00850F10" w:rsidRDefault="00850F10" w:rsidP="00850F10">
      <w:pPr>
        <w:pStyle w:val="DHHSbody"/>
        <w:rPr>
          <w:rFonts w:cs="Arial"/>
          <w:sz w:val="22"/>
          <w:szCs w:val="22"/>
        </w:rPr>
      </w:pPr>
      <w:r w:rsidRPr="00850F10">
        <w:rPr>
          <w:rFonts w:cs="Arial"/>
          <w:sz w:val="22"/>
          <w:szCs w:val="22"/>
        </w:rPr>
        <w:lastRenderedPageBreak/>
        <w:t>The below table summarises the different antigen/antibody test result possibilities</w:t>
      </w:r>
    </w:p>
    <w:p w14:paraId="6DE8695E" w14:textId="77777777" w:rsidR="00850F10" w:rsidRPr="00850F10" w:rsidRDefault="00850F10" w:rsidP="00850F10">
      <w:pPr>
        <w:pStyle w:val="DHHSbody"/>
        <w:numPr>
          <w:ilvl w:val="0"/>
          <w:numId w:val="23"/>
        </w:numPr>
        <w:rPr>
          <w:rFonts w:cs="Arial"/>
          <w:sz w:val="22"/>
          <w:szCs w:val="22"/>
        </w:rPr>
      </w:pPr>
      <w:r w:rsidRPr="00850F10">
        <w:rPr>
          <w:rFonts w:cs="Arial"/>
          <w:sz w:val="22"/>
          <w:szCs w:val="22"/>
        </w:rPr>
        <w:t xml:space="preserve">Those who are </w:t>
      </w:r>
      <w:proofErr w:type="spellStart"/>
      <w:r w:rsidRPr="00850F10">
        <w:rPr>
          <w:rFonts w:cs="Arial"/>
          <w:sz w:val="22"/>
          <w:szCs w:val="22"/>
        </w:rPr>
        <w:t>HBcAb</w:t>
      </w:r>
      <w:proofErr w:type="spellEnd"/>
      <w:r w:rsidRPr="00850F10">
        <w:rPr>
          <w:rFonts w:cs="Arial"/>
          <w:sz w:val="22"/>
          <w:szCs w:val="22"/>
        </w:rPr>
        <w:t xml:space="preserve"> positive will be tested for HBV DNA </w:t>
      </w:r>
    </w:p>
    <w:p w14:paraId="081F3057" w14:textId="77777777" w:rsidR="00850F10" w:rsidRPr="00850F10" w:rsidRDefault="00850F10" w:rsidP="00850F10">
      <w:pPr>
        <w:pStyle w:val="DHHSbody"/>
        <w:numPr>
          <w:ilvl w:val="0"/>
          <w:numId w:val="23"/>
        </w:numPr>
        <w:rPr>
          <w:rFonts w:cs="Arial"/>
          <w:sz w:val="22"/>
          <w:szCs w:val="22"/>
        </w:rPr>
      </w:pPr>
      <w:r w:rsidRPr="00850F10">
        <w:rPr>
          <w:rFonts w:cs="Arial"/>
          <w:sz w:val="22"/>
          <w:szCs w:val="22"/>
        </w:rPr>
        <w:t xml:space="preserve">Those with </w:t>
      </w:r>
      <w:r>
        <w:rPr>
          <w:rFonts w:cs="Arial"/>
          <w:sz w:val="22"/>
          <w:szCs w:val="22"/>
        </w:rPr>
        <w:t>HB</w:t>
      </w:r>
      <w:r w:rsidRPr="00850F10">
        <w:rPr>
          <w:rFonts w:cs="Arial"/>
          <w:sz w:val="22"/>
          <w:szCs w:val="22"/>
        </w:rPr>
        <w:t>sAg positivity have active infection and are infectious</w:t>
      </w:r>
    </w:p>
    <w:p w14:paraId="2F8E3061" w14:textId="77777777" w:rsidR="00850F10" w:rsidRPr="00850F10" w:rsidRDefault="00850F10" w:rsidP="00850F10">
      <w:pPr>
        <w:pStyle w:val="DHHSbody"/>
        <w:rPr>
          <w:rFonts w:cs="Arial"/>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850F10" w:rsidRPr="00850F10" w14:paraId="26370739" w14:textId="77777777" w:rsidTr="00614E11">
        <w:tc>
          <w:tcPr>
            <w:tcW w:w="2254" w:type="dxa"/>
          </w:tcPr>
          <w:p w14:paraId="7CE2CA9B" w14:textId="77777777" w:rsidR="00850F10" w:rsidRPr="00850F10" w:rsidRDefault="00850F10" w:rsidP="00850F10">
            <w:pPr>
              <w:pStyle w:val="DHHSbody"/>
              <w:rPr>
                <w:rFonts w:cs="Arial"/>
                <w:sz w:val="22"/>
                <w:szCs w:val="22"/>
              </w:rPr>
            </w:pPr>
          </w:p>
        </w:tc>
        <w:tc>
          <w:tcPr>
            <w:tcW w:w="2254" w:type="dxa"/>
          </w:tcPr>
          <w:p w14:paraId="2383A68E" w14:textId="77777777" w:rsidR="00850F10" w:rsidRPr="00850F10" w:rsidRDefault="00850F10" w:rsidP="00850F10">
            <w:pPr>
              <w:pStyle w:val="DHHSbody"/>
              <w:rPr>
                <w:rFonts w:cs="Arial"/>
                <w:sz w:val="22"/>
                <w:szCs w:val="22"/>
              </w:rPr>
            </w:pPr>
            <w:r w:rsidRPr="00850F10">
              <w:rPr>
                <w:rFonts w:cs="Arial"/>
                <w:sz w:val="22"/>
                <w:szCs w:val="22"/>
              </w:rPr>
              <w:t>Surface antigen</w:t>
            </w:r>
          </w:p>
        </w:tc>
        <w:tc>
          <w:tcPr>
            <w:tcW w:w="2254" w:type="dxa"/>
          </w:tcPr>
          <w:p w14:paraId="0C994E03" w14:textId="77777777" w:rsidR="00850F10" w:rsidRPr="00850F10" w:rsidRDefault="00850F10" w:rsidP="00850F10">
            <w:pPr>
              <w:pStyle w:val="DHHSbody"/>
              <w:rPr>
                <w:rFonts w:cs="Arial"/>
                <w:sz w:val="22"/>
                <w:szCs w:val="22"/>
              </w:rPr>
            </w:pPr>
            <w:r w:rsidRPr="00850F10">
              <w:rPr>
                <w:rFonts w:cs="Arial"/>
                <w:sz w:val="22"/>
                <w:szCs w:val="22"/>
              </w:rPr>
              <w:t>Surface antibody</w:t>
            </w:r>
          </w:p>
        </w:tc>
        <w:tc>
          <w:tcPr>
            <w:tcW w:w="2254" w:type="dxa"/>
          </w:tcPr>
          <w:p w14:paraId="705273F2" w14:textId="77777777" w:rsidR="00850F10" w:rsidRPr="00850F10" w:rsidRDefault="00850F10" w:rsidP="00850F10">
            <w:pPr>
              <w:pStyle w:val="DHHSbody"/>
              <w:rPr>
                <w:rFonts w:cs="Arial"/>
                <w:sz w:val="22"/>
                <w:szCs w:val="22"/>
              </w:rPr>
            </w:pPr>
            <w:r w:rsidRPr="00850F10">
              <w:rPr>
                <w:rFonts w:cs="Arial"/>
                <w:sz w:val="22"/>
                <w:szCs w:val="22"/>
              </w:rPr>
              <w:t>Core antibody</w:t>
            </w:r>
          </w:p>
        </w:tc>
      </w:tr>
      <w:tr w:rsidR="00850F10" w:rsidRPr="00850F10" w14:paraId="054722F2" w14:textId="77777777" w:rsidTr="00614E11">
        <w:tc>
          <w:tcPr>
            <w:tcW w:w="2254" w:type="dxa"/>
          </w:tcPr>
          <w:p w14:paraId="281CD65F" w14:textId="77777777" w:rsidR="00850F10" w:rsidRPr="00850F10" w:rsidRDefault="00850F10" w:rsidP="00850F10">
            <w:pPr>
              <w:pStyle w:val="DHHSbody"/>
              <w:rPr>
                <w:rFonts w:cs="Arial"/>
                <w:sz w:val="22"/>
                <w:szCs w:val="22"/>
              </w:rPr>
            </w:pPr>
            <w:r w:rsidRPr="00850F10">
              <w:rPr>
                <w:rFonts w:cs="Arial"/>
                <w:sz w:val="22"/>
                <w:szCs w:val="22"/>
              </w:rPr>
              <w:t>Vaccination</w:t>
            </w:r>
          </w:p>
          <w:p w14:paraId="7558CAFB" w14:textId="77777777" w:rsidR="00850F10" w:rsidRPr="00850F10" w:rsidRDefault="00850F10" w:rsidP="00850F10">
            <w:pPr>
              <w:pStyle w:val="DHHSbody"/>
              <w:rPr>
                <w:rFonts w:cs="Arial"/>
                <w:sz w:val="22"/>
                <w:szCs w:val="22"/>
              </w:rPr>
            </w:pPr>
          </w:p>
        </w:tc>
        <w:tc>
          <w:tcPr>
            <w:tcW w:w="2254" w:type="dxa"/>
          </w:tcPr>
          <w:p w14:paraId="6A700288" w14:textId="77777777" w:rsidR="00850F10" w:rsidRPr="00850F10" w:rsidRDefault="00850F10" w:rsidP="00850F10">
            <w:pPr>
              <w:pStyle w:val="DHHSbody"/>
              <w:rPr>
                <w:rFonts w:cs="Arial"/>
                <w:sz w:val="22"/>
                <w:szCs w:val="22"/>
              </w:rPr>
            </w:pPr>
            <w:r w:rsidRPr="00850F10">
              <w:rPr>
                <w:rFonts w:cs="Arial"/>
                <w:sz w:val="22"/>
                <w:szCs w:val="22"/>
              </w:rPr>
              <w:t>-</w:t>
            </w:r>
          </w:p>
        </w:tc>
        <w:tc>
          <w:tcPr>
            <w:tcW w:w="2254" w:type="dxa"/>
          </w:tcPr>
          <w:p w14:paraId="661E0547" w14:textId="77777777" w:rsidR="00850F10" w:rsidRPr="00850F10" w:rsidRDefault="00850F10" w:rsidP="00850F10">
            <w:pPr>
              <w:pStyle w:val="DHHSbody"/>
              <w:rPr>
                <w:rFonts w:cs="Arial"/>
                <w:sz w:val="22"/>
                <w:szCs w:val="22"/>
              </w:rPr>
            </w:pPr>
            <w:r w:rsidRPr="00850F10">
              <w:rPr>
                <w:rFonts w:cs="Arial"/>
                <w:sz w:val="22"/>
                <w:szCs w:val="22"/>
              </w:rPr>
              <w:t>+</w:t>
            </w:r>
          </w:p>
        </w:tc>
        <w:tc>
          <w:tcPr>
            <w:tcW w:w="2254" w:type="dxa"/>
          </w:tcPr>
          <w:p w14:paraId="28BD67E2" w14:textId="77777777" w:rsidR="00850F10" w:rsidRPr="00850F10" w:rsidRDefault="00850F10" w:rsidP="00850F10">
            <w:pPr>
              <w:pStyle w:val="DHHSbody"/>
              <w:rPr>
                <w:rFonts w:cs="Arial"/>
                <w:sz w:val="22"/>
                <w:szCs w:val="22"/>
              </w:rPr>
            </w:pPr>
            <w:r w:rsidRPr="00850F10">
              <w:rPr>
                <w:rFonts w:cs="Arial"/>
                <w:sz w:val="22"/>
                <w:szCs w:val="22"/>
              </w:rPr>
              <w:t>-</w:t>
            </w:r>
          </w:p>
        </w:tc>
      </w:tr>
      <w:tr w:rsidR="00850F10" w:rsidRPr="00850F10" w14:paraId="6EAE4A1E" w14:textId="77777777" w:rsidTr="00614E11">
        <w:tc>
          <w:tcPr>
            <w:tcW w:w="2254" w:type="dxa"/>
          </w:tcPr>
          <w:p w14:paraId="1514493A" w14:textId="77777777" w:rsidR="00850F10" w:rsidRPr="00850F10" w:rsidRDefault="00850F10" w:rsidP="00850F10">
            <w:pPr>
              <w:pStyle w:val="DHHSbody"/>
              <w:rPr>
                <w:rFonts w:cs="Arial"/>
                <w:sz w:val="22"/>
                <w:szCs w:val="22"/>
              </w:rPr>
            </w:pPr>
            <w:r w:rsidRPr="00850F10">
              <w:rPr>
                <w:rFonts w:cs="Arial"/>
                <w:sz w:val="22"/>
                <w:szCs w:val="22"/>
              </w:rPr>
              <w:t>Previous Hepatitis B infection</w:t>
            </w:r>
          </w:p>
        </w:tc>
        <w:tc>
          <w:tcPr>
            <w:tcW w:w="2254" w:type="dxa"/>
          </w:tcPr>
          <w:p w14:paraId="4649E919" w14:textId="77777777" w:rsidR="00850F10" w:rsidRPr="00850F10" w:rsidRDefault="00850F10" w:rsidP="00850F10">
            <w:pPr>
              <w:pStyle w:val="DHHSbody"/>
              <w:rPr>
                <w:rFonts w:cs="Arial"/>
                <w:sz w:val="22"/>
                <w:szCs w:val="22"/>
              </w:rPr>
            </w:pPr>
            <w:r w:rsidRPr="00850F10">
              <w:rPr>
                <w:rFonts w:cs="Arial"/>
                <w:sz w:val="22"/>
                <w:szCs w:val="22"/>
              </w:rPr>
              <w:t>-</w:t>
            </w:r>
          </w:p>
        </w:tc>
        <w:tc>
          <w:tcPr>
            <w:tcW w:w="2254" w:type="dxa"/>
          </w:tcPr>
          <w:p w14:paraId="1C80324F" w14:textId="77777777" w:rsidR="00850F10" w:rsidRPr="00850F10" w:rsidRDefault="00850F10" w:rsidP="00850F10">
            <w:pPr>
              <w:pStyle w:val="DHHSbody"/>
              <w:rPr>
                <w:rFonts w:cs="Arial"/>
                <w:sz w:val="22"/>
                <w:szCs w:val="22"/>
              </w:rPr>
            </w:pPr>
            <w:r w:rsidRPr="00850F10">
              <w:rPr>
                <w:rFonts w:cs="Arial"/>
                <w:sz w:val="22"/>
                <w:szCs w:val="22"/>
              </w:rPr>
              <w:t>+</w:t>
            </w:r>
          </w:p>
        </w:tc>
        <w:tc>
          <w:tcPr>
            <w:tcW w:w="2254" w:type="dxa"/>
          </w:tcPr>
          <w:p w14:paraId="7D16CC73" w14:textId="77777777" w:rsidR="00850F10" w:rsidRPr="00850F10" w:rsidRDefault="00850F10" w:rsidP="00850F10">
            <w:pPr>
              <w:pStyle w:val="DHHSbody"/>
              <w:rPr>
                <w:rFonts w:cs="Arial"/>
                <w:sz w:val="22"/>
                <w:szCs w:val="22"/>
              </w:rPr>
            </w:pPr>
            <w:r w:rsidRPr="00850F10">
              <w:rPr>
                <w:rFonts w:cs="Arial"/>
                <w:sz w:val="22"/>
                <w:szCs w:val="22"/>
              </w:rPr>
              <w:t>+</w:t>
            </w:r>
          </w:p>
        </w:tc>
      </w:tr>
      <w:tr w:rsidR="00850F10" w:rsidRPr="00850F10" w14:paraId="23A161B4" w14:textId="77777777" w:rsidTr="00614E11">
        <w:tc>
          <w:tcPr>
            <w:tcW w:w="2254" w:type="dxa"/>
          </w:tcPr>
          <w:p w14:paraId="2F5E41EF" w14:textId="77777777" w:rsidR="00850F10" w:rsidRPr="00850F10" w:rsidRDefault="00850F10" w:rsidP="00850F10">
            <w:pPr>
              <w:pStyle w:val="DHHSbody"/>
              <w:rPr>
                <w:rFonts w:cs="Arial"/>
                <w:sz w:val="22"/>
                <w:szCs w:val="22"/>
              </w:rPr>
            </w:pPr>
            <w:r w:rsidRPr="00850F10">
              <w:rPr>
                <w:rFonts w:cs="Arial"/>
                <w:sz w:val="22"/>
                <w:szCs w:val="22"/>
              </w:rPr>
              <w:t>Chronic Hepatitis B infection</w:t>
            </w:r>
          </w:p>
        </w:tc>
        <w:tc>
          <w:tcPr>
            <w:tcW w:w="2254" w:type="dxa"/>
          </w:tcPr>
          <w:p w14:paraId="4E1429FE" w14:textId="77777777" w:rsidR="00850F10" w:rsidRPr="00850F10" w:rsidRDefault="00850F10" w:rsidP="00850F10">
            <w:pPr>
              <w:pStyle w:val="DHHSbody"/>
              <w:rPr>
                <w:rFonts w:cs="Arial"/>
                <w:sz w:val="22"/>
                <w:szCs w:val="22"/>
              </w:rPr>
            </w:pPr>
            <w:r w:rsidRPr="00850F10">
              <w:rPr>
                <w:rFonts w:cs="Arial"/>
                <w:sz w:val="22"/>
                <w:szCs w:val="22"/>
              </w:rPr>
              <w:t>+</w:t>
            </w:r>
          </w:p>
        </w:tc>
        <w:tc>
          <w:tcPr>
            <w:tcW w:w="2254" w:type="dxa"/>
          </w:tcPr>
          <w:p w14:paraId="769BC9A4" w14:textId="77777777" w:rsidR="00850F10" w:rsidRPr="00850F10" w:rsidRDefault="00850F10" w:rsidP="00850F10">
            <w:pPr>
              <w:pStyle w:val="DHHSbody"/>
              <w:rPr>
                <w:rFonts w:cs="Arial"/>
                <w:sz w:val="22"/>
                <w:szCs w:val="22"/>
              </w:rPr>
            </w:pPr>
            <w:r w:rsidRPr="00850F10">
              <w:rPr>
                <w:rFonts w:cs="Arial"/>
                <w:sz w:val="22"/>
                <w:szCs w:val="22"/>
              </w:rPr>
              <w:t>-</w:t>
            </w:r>
          </w:p>
        </w:tc>
        <w:tc>
          <w:tcPr>
            <w:tcW w:w="2254" w:type="dxa"/>
          </w:tcPr>
          <w:p w14:paraId="519386A6" w14:textId="77777777" w:rsidR="00850F10" w:rsidRPr="00850F10" w:rsidRDefault="00850F10" w:rsidP="00850F10">
            <w:pPr>
              <w:pStyle w:val="DHHSbody"/>
              <w:rPr>
                <w:rFonts w:cs="Arial"/>
                <w:sz w:val="22"/>
                <w:szCs w:val="22"/>
              </w:rPr>
            </w:pPr>
            <w:r w:rsidRPr="00850F10">
              <w:rPr>
                <w:rFonts w:cs="Arial"/>
                <w:sz w:val="22"/>
                <w:szCs w:val="22"/>
              </w:rPr>
              <w:t>+</w:t>
            </w:r>
          </w:p>
        </w:tc>
      </w:tr>
    </w:tbl>
    <w:p w14:paraId="012DF03D" w14:textId="77777777" w:rsidR="00850F10" w:rsidRPr="00850F10" w:rsidRDefault="00850F10" w:rsidP="00850F10">
      <w:pPr>
        <w:pStyle w:val="DHHSbody"/>
        <w:rPr>
          <w:rFonts w:cs="Arial"/>
          <w:sz w:val="22"/>
          <w:szCs w:val="22"/>
        </w:rPr>
      </w:pPr>
    </w:p>
    <w:p w14:paraId="1F321D1D" w14:textId="1A9C6226" w:rsidR="00DE5DFD" w:rsidRDefault="00850F10" w:rsidP="00850F10">
      <w:pPr>
        <w:pStyle w:val="DHHSbody"/>
        <w:rPr>
          <w:rFonts w:cs="Arial"/>
          <w:sz w:val="22"/>
          <w:szCs w:val="22"/>
        </w:rPr>
      </w:pPr>
      <w:r w:rsidRPr="00850F10">
        <w:rPr>
          <w:rFonts w:cs="Arial"/>
          <w:sz w:val="22"/>
          <w:szCs w:val="22"/>
        </w:rPr>
        <w:t>For patients planned to undergo transplantation (solid organ or haematopoietic), or immunosuppressive therapy, HBV screening is standard management due to</w:t>
      </w:r>
      <w:r>
        <w:rPr>
          <w:rFonts w:cs="Arial"/>
          <w:sz w:val="22"/>
          <w:szCs w:val="22"/>
        </w:rPr>
        <w:t xml:space="preserve"> the</w:t>
      </w:r>
      <w:r w:rsidRPr="00850F10">
        <w:rPr>
          <w:rFonts w:cs="Arial"/>
          <w:sz w:val="22"/>
          <w:szCs w:val="22"/>
        </w:rPr>
        <w:t xml:space="preserve"> risk of viral reactivation. The therapies with the highest risk of reactivation are rituximab and haematopoietic stem cell transplantation. Hepatitis B prophylaxis is offered to patients who test positive for </w:t>
      </w:r>
      <w:proofErr w:type="spellStart"/>
      <w:r w:rsidRPr="00850F10">
        <w:rPr>
          <w:rFonts w:cs="Arial"/>
          <w:sz w:val="22"/>
          <w:szCs w:val="22"/>
        </w:rPr>
        <w:t>HBcAb</w:t>
      </w:r>
      <w:proofErr w:type="spellEnd"/>
      <w:r w:rsidRPr="00850F10">
        <w:rPr>
          <w:rFonts w:cs="Arial"/>
          <w:sz w:val="22"/>
          <w:szCs w:val="22"/>
        </w:rPr>
        <w:t xml:space="preserve">, and HBV DNA is monitored throughout treatment. </w:t>
      </w:r>
    </w:p>
    <w:p w14:paraId="4B06C196" w14:textId="573AEEA2" w:rsidR="0082525F" w:rsidRPr="00850F10" w:rsidRDefault="0082525F" w:rsidP="00850F10">
      <w:pPr>
        <w:pStyle w:val="DHHSbody"/>
        <w:rPr>
          <w:rFonts w:cs="Arial"/>
          <w:sz w:val="22"/>
          <w:szCs w:val="22"/>
        </w:rPr>
      </w:pPr>
      <w:r>
        <w:rPr>
          <w:rFonts w:cs="Arial"/>
          <w:sz w:val="22"/>
          <w:szCs w:val="22"/>
        </w:rPr>
        <w:t>However, if these patients have received IVIg therapy prior to testing</w:t>
      </w:r>
      <w:r w:rsidR="00DF5240">
        <w:rPr>
          <w:rFonts w:cs="Arial"/>
          <w:sz w:val="22"/>
          <w:szCs w:val="22"/>
        </w:rPr>
        <w:t>,</w:t>
      </w:r>
      <w:r>
        <w:rPr>
          <w:rFonts w:cs="Arial"/>
          <w:sz w:val="22"/>
          <w:szCs w:val="22"/>
        </w:rPr>
        <w:t xml:space="preserve"> passive transfer of </w:t>
      </w:r>
      <w:proofErr w:type="spellStart"/>
      <w:r>
        <w:rPr>
          <w:rFonts w:cs="Arial"/>
          <w:sz w:val="22"/>
          <w:szCs w:val="22"/>
        </w:rPr>
        <w:t>HBsA</w:t>
      </w:r>
      <w:r w:rsidR="003E13FD">
        <w:rPr>
          <w:rFonts w:cs="Arial"/>
          <w:sz w:val="22"/>
          <w:szCs w:val="22"/>
        </w:rPr>
        <w:t>b</w:t>
      </w:r>
      <w:proofErr w:type="spellEnd"/>
      <w:r>
        <w:rPr>
          <w:rFonts w:cs="Arial"/>
          <w:sz w:val="22"/>
          <w:szCs w:val="22"/>
        </w:rPr>
        <w:t xml:space="preserve"> and </w:t>
      </w:r>
      <w:proofErr w:type="spellStart"/>
      <w:r>
        <w:rPr>
          <w:rFonts w:cs="Arial"/>
          <w:sz w:val="22"/>
          <w:szCs w:val="22"/>
        </w:rPr>
        <w:t>HBcAb</w:t>
      </w:r>
      <w:proofErr w:type="spellEnd"/>
      <w:r>
        <w:rPr>
          <w:rFonts w:cs="Arial"/>
          <w:sz w:val="22"/>
          <w:szCs w:val="22"/>
        </w:rPr>
        <w:t xml:space="preserve"> can cause a patient to appear to have had previous infection and therapy to reduce the risk of reactivation of disease may be inappropriately </w:t>
      </w:r>
      <w:r w:rsidR="00D47385">
        <w:rPr>
          <w:rFonts w:cs="Arial"/>
          <w:sz w:val="22"/>
          <w:szCs w:val="22"/>
        </w:rPr>
        <w:t>implemented.</w:t>
      </w:r>
    </w:p>
    <w:p w14:paraId="188D3AE4" w14:textId="757AAC3F" w:rsidR="00850F10" w:rsidRPr="00850F10" w:rsidRDefault="00850F10" w:rsidP="00850F10">
      <w:pPr>
        <w:pStyle w:val="DHHSbody"/>
        <w:rPr>
          <w:rFonts w:cs="Arial"/>
          <w:b/>
          <w:sz w:val="22"/>
          <w:szCs w:val="22"/>
        </w:rPr>
      </w:pPr>
      <w:r w:rsidRPr="00850F10">
        <w:rPr>
          <w:rFonts w:cs="Arial"/>
          <w:b/>
          <w:sz w:val="22"/>
          <w:szCs w:val="22"/>
        </w:rPr>
        <w:t xml:space="preserve">Passive </w:t>
      </w:r>
      <w:proofErr w:type="spellStart"/>
      <w:r w:rsidRPr="00850F10">
        <w:rPr>
          <w:rFonts w:cs="Arial"/>
          <w:b/>
          <w:sz w:val="22"/>
          <w:szCs w:val="22"/>
        </w:rPr>
        <w:t>HBcAb</w:t>
      </w:r>
      <w:proofErr w:type="spellEnd"/>
      <w:r w:rsidRPr="00850F10">
        <w:rPr>
          <w:rFonts w:cs="Arial"/>
          <w:b/>
          <w:sz w:val="22"/>
          <w:szCs w:val="22"/>
        </w:rPr>
        <w:t xml:space="preserve"> transfer</w:t>
      </w:r>
    </w:p>
    <w:p w14:paraId="7D18E9A2" w14:textId="23D617CC" w:rsidR="00850F10" w:rsidRPr="00850F10" w:rsidRDefault="00850F10" w:rsidP="00850F10">
      <w:pPr>
        <w:pStyle w:val="DHHSbody"/>
        <w:rPr>
          <w:rFonts w:cs="Arial"/>
          <w:sz w:val="22"/>
          <w:szCs w:val="22"/>
        </w:rPr>
      </w:pPr>
      <w:r w:rsidRPr="00850F10">
        <w:rPr>
          <w:rFonts w:cs="Arial"/>
          <w:sz w:val="22"/>
          <w:szCs w:val="22"/>
        </w:rPr>
        <w:t>Bright et al, 2015, tested multiple different I</w:t>
      </w:r>
      <w:r>
        <w:rPr>
          <w:rFonts w:cs="Arial"/>
          <w:sz w:val="22"/>
          <w:szCs w:val="22"/>
        </w:rPr>
        <w:t>VIg</w:t>
      </w:r>
      <w:r w:rsidRPr="00850F10">
        <w:rPr>
          <w:rFonts w:cs="Arial"/>
          <w:sz w:val="22"/>
          <w:szCs w:val="22"/>
        </w:rPr>
        <w:t xml:space="preserve"> products with 3 different commercially available testing kits for: HBV, syphilis, HI</w:t>
      </w:r>
      <w:r w:rsidR="00DA7C84">
        <w:rPr>
          <w:rFonts w:cs="Arial"/>
          <w:sz w:val="22"/>
          <w:szCs w:val="22"/>
        </w:rPr>
        <w:t>V</w:t>
      </w:r>
      <w:r w:rsidRPr="00850F10">
        <w:rPr>
          <w:rFonts w:cs="Arial"/>
          <w:sz w:val="22"/>
          <w:szCs w:val="22"/>
        </w:rPr>
        <w:t xml:space="preserve">, ANA, ANCA, HTLV, </w:t>
      </w:r>
      <w:proofErr w:type="spellStart"/>
      <w:r w:rsidRPr="00850F10">
        <w:rPr>
          <w:rFonts w:cs="Arial"/>
          <w:sz w:val="22"/>
          <w:szCs w:val="22"/>
        </w:rPr>
        <w:t>aCL</w:t>
      </w:r>
      <w:proofErr w:type="spellEnd"/>
      <w:r w:rsidRPr="00850F10">
        <w:rPr>
          <w:rFonts w:cs="Arial"/>
          <w:sz w:val="22"/>
          <w:szCs w:val="22"/>
        </w:rPr>
        <w:t xml:space="preserve">, dsDNA. They found positive results for </w:t>
      </w:r>
      <w:proofErr w:type="spellStart"/>
      <w:r w:rsidRPr="00850F10">
        <w:rPr>
          <w:rFonts w:cs="Arial"/>
          <w:sz w:val="22"/>
          <w:szCs w:val="22"/>
        </w:rPr>
        <w:t>HBsAb</w:t>
      </w:r>
      <w:proofErr w:type="spellEnd"/>
      <w:r w:rsidRPr="00850F10">
        <w:rPr>
          <w:rFonts w:cs="Arial"/>
          <w:sz w:val="22"/>
          <w:szCs w:val="22"/>
        </w:rPr>
        <w:t xml:space="preserve">, </w:t>
      </w:r>
      <w:proofErr w:type="spellStart"/>
      <w:r w:rsidRPr="00850F10">
        <w:rPr>
          <w:rFonts w:cs="Arial"/>
          <w:sz w:val="22"/>
          <w:szCs w:val="22"/>
        </w:rPr>
        <w:t>HBcAb</w:t>
      </w:r>
      <w:proofErr w:type="spellEnd"/>
      <w:r w:rsidRPr="00850F10">
        <w:rPr>
          <w:rFonts w:cs="Arial"/>
          <w:sz w:val="22"/>
          <w:szCs w:val="22"/>
        </w:rPr>
        <w:t xml:space="preserve">, and syphilis. Variable weak positive results </w:t>
      </w:r>
      <w:r w:rsidRPr="00850F10">
        <w:rPr>
          <w:rFonts w:cs="Arial"/>
          <w:sz w:val="22"/>
          <w:szCs w:val="22"/>
        </w:rPr>
        <w:lastRenderedPageBreak/>
        <w:t xml:space="preserve">were obtained for ANCA, ANA, </w:t>
      </w:r>
      <w:proofErr w:type="spellStart"/>
      <w:r w:rsidRPr="00850F10">
        <w:rPr>
          <w:rFonts w:cs="Arial"/>
          <w:sz w:val="22"/>
          <w:szCs w:val="22"/>
        </w:rPr>
        <w:t>aCL</w:t>
      </w:r>
      <w:proofErr w:type="spellEnd"/>
      <w:r w:rsidRPr="00850F10">
        <w:rPr>
          <w:rFonts w:cs="Arial"/>
          <w:sz w:val="22"/>
          <w:szCs w:val="22"/>
        </w:rPr>
        <w:t>, and ds</w:t>
      </w:r>
      <w:r>
        <w:rPr>
          <w:rFonts w:cs="Arial"/>
          <w:sz w:val="22"/>
          <w:szCs w:val="22"/>
        </w:rPr>
        <w:t>D</w:t>
      </w:r>
      <w:r w:rsidRPr="00850F10">
        <w:rPr>
          <w:rFonts w:cs="Arial"/>
          <w:sz w:val="22"/>
          <w:szCs w:val="22"/>
        </w:rPr>
        <w:t xml:space="preserve">NA. HBsAg, HIV and HTLV were uniformly negative. Positive syphilis results were thought to be most likely non-specific reactivity given </w:t>
      </w:r>
      <w:r w:rsidR="00D47385">
        <w:rPr>
          <w:rFonts w:cs="Arial"/>
          <w:sz w:val="22"/>
          <w:szCs w:val="22"/>
        </w:rPr>
        <w:t xml:space="preserve">this was a donor </w:t>
      </w:r>
      <w:r w:rsidRPr="00850F10">
        <w:rPr>
          <w:rFonts w:cs="Arial"/>
          <w:sz w:val="22"/>
          <w:szCs w:val="22"/>
        </w:rPr>
        <w:t>population</w:t>
      </w:r>
      <w:r w:rsidR="00D47385">
        <w:rPr>
          <w:rFonts w:cs="Arial"/>
          <w:sz w:val="22"/>
          <w:szCs w:val="22"/>
        </w:rPr>
        <w:t xml:space="preserve"> that had been screened</w:t>
      </w:r>
      <w:r w:rsidRPr="00850F10">
        <w:rPr>
          <w:rFonts w:cs="Arial"/>
          <w:sz w:val="22"/>
          <w:szCs w:val="22"/>
        </w:rPr>
        <w:t xml:space="preserve">, however they acknowledged that given the low morbidity of therapy and high risk in select cases (e.g. pregnancy), treatment was not unreasonable. </w:t>
      </w:r>
    </w:p>
    <w:p w14:paraId="3FC7DD85" w14:textId="2ACBA3ED" w:rsidR="00850F10" w:rsidRPr="00850F10" w:rsidRDefault="00850F10" w:rsidP="00850F10">
      <w:pPr>
        <w:pStyle w:val="DHHSbody"/>
        <w:rPr>
          <w:rFonts w:cs="Arial"/>
          <w:sz w:val="22"/>
          <w:szCs w:val="22"/>
        </w:rPr>
      </w:pPr>
      <w:r w:rsidRPr="00850F10">
        <w:rPr>
          <w:rFonts w:cs="Arial"/>
          <w:sz w:val="22"/>
          <w:szCs w:val="22"/>
        </w:rPr>
        <w:t xml:space="preserve">The </w:t>
      </w:r>
      <w:proofErr w:type="spellStart"/>
      <w:r w:rsidRPr="00850F10">
        <w:rPr>
          <w:rFonts w:cs="Arial"/>
          <w:sz w:val="22"/>
          <w:szCs w:val="22"/>
        </w:rPr>
        <w:t>HBcAb</w:t>
      </w:r>
      <w:proofErr w:type="spellEnd"/>
      <w:r w:rsidRPr="00850F10">
        <w:rPr>
          <w:rFonts w:cs="Arial"/>
          <w:sz w:val="22"/>
          <w:szCs w:val="22"/>
        </w:rPr>
        <w:t xml:space="preserve"> results for each IVI</w:t>
      </w:r>
      <w:r w:rsidR="004A37D2">
        <w:rPr>
          <w:rFonts w:cs="Arial"/>
          <w:sz w:val="22"/>
          <w:szCs w:val="22"/>
        </w:rPr>
        <w:t>g</w:t>
      </w:r>
      <w:r w:rsidRPr="00850F10">
        <w:rPr>
          <w:rFonts w:cs="Arial"/>
          <w:sz w:val="22"/>
          <w:szCs w:val="22"/>
        </w:rPr>
        <w:t xml:space="preserve"> product with the different test kits are summarised below:</w:t>
      </w:r>
    </w:p>
    <w:p w14:paraId="7189FFEB" w14:textId="77777777" w:rsidR="00850F10" w:rsidRPr="00850F10" w:rsidRDefault="00850F10" w:rsidP="00850F10">
      <w:pPr>
        <w:pStyle w:val="DHHSbody"/>
        <w:rPr>
          <w:rFonts w:cs="Arial"/>
          <w:sz w:val="22"/>
          <w:szCs w:val="22"/>
        </w:rPr>
      </w:pPr>
      <w:r w:rsidRPr="00850F10">
        <w:rPr>
          <w:rFonts w:cs="Arial"/>
          <w:noProof/>
          <w:sz w:val="22"/>
          <w:szCs w:val="22"/>
          <w:lang w:eastAsia="en-AU"/>
        </w:rPr>
        <w:drawing>
          <wp:inline distT="0" distB="0" distL="0" distR="0" wp14:anchorId="17E80868" wp14:editId="3B973F58">
            <wp:extent cx="3524250" cy="2998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0409" cy="3003650"/>
                    </a:xfrm>
                    <a:prstGeom prst="rect">
                      <a:avLst/>
                    </a:prstGeom>
                  </pic:spPr>
                </pic:pic>
              </a:graphicData>
            </a:graphic>
          </wp:inline>
        </w:drawing>
      </w:r>
    </w:p>
    <w:p w14:paraId="562BDAF2" w14:textId="6873B298" w:rsidR="00850F10" w:rsidRPr="00DA7C84" w:rsidRDefault="00C04803" w:rsidP="00850F10">
      <w:pPr>
        <w:pStyle w:val="DHHSbody"/>
        <w:rPr>
          <w:rFonts w:cs="Arial"/>
          <w:sz w:val="18"/>
          <w:szCs w:val="18"/>
        </w:rPr>
      </w:pPr>
      <w:r>
        <w:rPr>
          <w:rFonts w:cs="Arial"/>
          <w:sz w:val="18"/>
          <w:szCs w:val="18"/>
        </w:rPr>
        <w:t>(Reference: Bright PD, Smith L, Usher J, et al. 2015)</w:t>
      </w:r>
    </w:p>
    <w:p w14:paraId="6B7B6A6D" w14:textId="36B0D989" w:rsidR="00850F10" w:rsidRPr="00850F10" w:rsidRDefault="00850F10" w:rsidP="00850F10">
      <w:pPr>
        <w:pStyle w:val="DHHSbody"/>
        <w:rPr>
          <w:rFonts w:cs="Arial"/>
          <w:sz w:val="22"/>
          <w:szCs w:val="22"/>
        </w:rPr>
      </w:pPr>
      <w:r w:rsidRPr="00850F10">
        <w:rPr>
          <w:rFonts w:cs="Arial"/>
          <w:sz w:val="22"/>
          <w:szCs w:val="22"/>
        </w:rPr>
        <w:t>Lu et al, 2018 conducted a retrospective analysis of cancer patients at their institution (Texas, US) and found that 15</w:t>
      </w:r>
      <w:r w:rsidR="004A37D2">
        <w:rPr>
          <w:rFonts w:cs="Arial"/>
          <w:sz w:val="22"/>
          <w:szCs w:val="22"/>
        </w:rPr>
        <w:t xml:space="preserve"> per cent</w:t>
      </w:r>
      <w:r w:rsidRPr="00850F10">
        <w:rPr>
          <w:rFonts w:cs="Arial"/>
          <w:sz w:val="22"/>
          <w:szCs w:val="22"/>
        </w:rPr>
        <w:t xml:space="preserve"> of patients treated with IVI</w:t>
      </w:r>
      <w:r w:rsidR="004A37D2">
        <w:rPr>
          <w:rFonts w:cs="Arial"/>
          <w:sz w:val="22"/>
          <w:szCs w:val="22"/>
        </w:rPr>
        <w:t>g</w:t>
      </w:r>
      <w:r w:rsidRPr="00850F10">
        <w:rPr>
          <w:rFonts w:cs="Arial"/>
          <w:sz w:val="22"/>
          <w:szCs w:val="22"/>
        </w:rPr>
        <w:t xml:space="preserve"> became </w:t>
      </w:r>
      <w:proofErr w:type="spellStart"/>
      <w:r w:rsidRPr="00850F10">
        <w:rPr>
          <w:rFonts w:cs="Arial"/>
          <w:sz w:val="22"/>
          <w:szCs w:val="22"/>
        </w:rPr>
        <w:t>HBcA</w:t>
      </w:r>
      <w:r>
        <w:rPr>
          <w:rFonts w:cs="Arial"/>
          <w:sz w:val="22"/>
          <w:szCs w:val="22"/>
        </w:rPr>
        <w:t>b</w:t>
      </w:r>
      <w:proofErr w:type="spellEnd"/>
      <w:r w:rsidRPr="00850F10">
        <w:rPr>
          <w:rFonts w:cs="Arial"/>
          <w:sz w:val="22"/>
          <w:szCs w:val="22"/>
        </w:rPr>
        <w:t xml:space="preserve"> positive. </w:t>
      </w:r>
    </w:p>
    <w:p w14:paraId="78AEC2BE" w14:textId="39962407" w:rsidR="00850F10" w:rsidRPr="00850F10" w:rsidRDefault="00850F10" w:rsidP="00850F10">
      <w:pPr>
        <w:pStyle w:val="DHHSbody"/>
        <w:numPr>
          <w:ilvl w:val="0"/>
          <w:numId w:val="25"/>
        </w:numPr>
        <w:rPr>
          <w:rFonts w:cs="Arial"/>
          <w:sz w:val="22"/>
          <w:szCs w:val="22"/>
        </w:rPr>
      </w:pPr>
      <w:r w:rsidRPr="00850F10">
        <w:rPr>
          <w:rFonts w:cs="Arial"/>
          <w:sz w:val="22"/>
          <w:szCs w:val="22"/>
        </w:rPr>
        <w:lastRenderedPageBreak/>
        <w:t>18,874 patients were identified, of which, 818 had negative Hepatitis B (HBV) serology prior to receiving IVI</w:t>
      </w:r>
      <w:r w:rsidR="004A37D2">
        <w:rPr>
          <w:rFonts w:cs="Arial"/>
          <w:sz w:val="22"/>
          <w:szCs w:val="22"/>
        </w:rPr>
        <w:t>g</w:t>
      </w:r>
      <w:r w:rsidRPr="00850F10">
        <w:rPr>
          <w:rFonts w:cs="Arial"/>
          <w:sz w:val="22"/>
          <w:szCs w:val="22"/>
        </w:rPr>
        <w:t xml:space="preserve"> therapy (</w:t>
      </w:r>
      <w:proofErr w:type="spellStart"/>
      <w:r w:rsidRPr="00850F10">
        <w:rPr>
          <w:rFonts w:cs="Arial"/>
          <w:sz w:val="22"/>
          <w:szCs w:val="22"/>
        </w:rPr>
        <w:t>HBcAb</w:t>
      </w:r>
      <w:proofErr w:type="spellEnd"/>
      <w:r w:rsidRPr="00850F10">
        <w:rPr>
          <w:rFonts w:cs="Arial"/>
          <w:sz w:val="22"/>
          <w:szCs w:val="22"/>
        </w:rPr>
        <w:t xml:space="preserve"> negative)</w:t>
      </w:r>
    </w:p>
    <w:p w14:paraId="6371E9A2" w14:textId="4FF0F06A" w:rsidR="00850F10" w:rsidRPr="00850F10" w:rsidRDefault="00850F10" w:rsidP="00850F10">
      <w:pPr>
        <w:pStyle w:val="DHHSbody"/>
        <w:numPr>
          <w:ilvl w:val="0"/>
          <w:numId w:val="24"/>
        </w:numPr>
        <w:rPr>
          <w:rFonts w:cs="Arial"/>
          <w:sz w:val="22"/>
          <w:szCs w:val="22"/>
        </w:rPr>
      </w:pPr>
      <w:r w:rsidRPr="00850F10">
        <w:rPr>
          <w:rFonts w:cs="Arial"/>
          <w:sz w:val="22"/>
          <w:szCs w:val="22"/>
        </w:rPr>
        <w:t>Of these 818 patients, 199 were retested for HBV post IVI</w:t>
      </w:r>
      <w:r w:rsidR="004A37D2">
        <w:rPr>
          <w:rFonts w:cs="Arial"/>
          <w:sz w:val="22"/>
          <w:szCs w:val="22"/>
        </w:rPr>
        <w:t>g</w:t>
      </w:r>
      <w:r w:rsidRPr="00850F10">
        <w:rPr>
          <w:rFonts w:cs="Arial"/>
          <w:sz w:val="22"/>
          <w:szCs w:val="22"/>
        </w:rPr>
        <w:t xml:space="preserve"> therapy and 29 (15%) were found to have a newly detected </w:t>
      </w:r>
      <w:proofErr w:type="spellStart"/>
      <w:r w:rsidRPr="00850F10">
        <w:rPr>
          <w:rFonts w:cs="Arial"/>
          <w:sz w:val="22"/>
          <w:szCs w:val="22"/>
        </w:rPr>
        <w:t>HBcAb</w:t>
      </w:r>
      <w:proofErr w:type="spellEnd"/>
    </w:p>
    <w:p w14:paraId="241CDA5F" w14:textId="77777777" w:rsidR="00850F10" w:rsidRPr="00850F10" w:rsidRDefault="00850F10" w:rsidP="00850F10">
      <w:pPr>
        <w:pStyle w:val="DHHSbody"/>
        <w:numPr>
          <w:ilvl w:val="0"/>
          <w:numId w:val="24"/>
        </w:numPr>
        <w:rPr>
          <w:rFonts w:cs="Arial"/>
          <w:sz w:val="22"/>
          <w:szCs w:val="22"/>
        </w:rPr>
      </w:pPr>
      <w:r w:rsidRPr="00850F10">
        <w:rPr>
          <w:rFonts w:cs="Arial"/>
          <w:sz w:val="22"/>
          <w:szCs w:val="22"/>
        </w:rPr>
        <w:t>All of these 29 patients were negative for both HBsAg and HBV DNA</w:t>
      </w:r>
    </w:p>
    <w:p w14:paraId="01F24548" w14:textId="77777777" w:rsidR="00850F10" w:rsidRPr="00850F10" w:rsidRDefault="00850F10" w:rsidP="00850F10">
      <w:pPr>
        <w:pStyle w:val="DHHSbody"/>
        <w:numPr>
          <w:ilvl w:val="0"/>
          <w:numId w:val="24"/>
        </w:numPr>
        <w:rPr>
          <w:rFonts w:cs="Arial"/>
          <w:sz w:val="22"/>
          <w:szCs w:val="22"/>
        </w:rPr>
      </w:pPr>
      <w:r w:rsidRPr="00850F10">
        <w:rPr>
          <w:rFonts w:cs="Arial"/>
          <w:sz w:val="22"/>
          <w:szCs w:val="22"/>
        </w:rPr>
        <w:t xml:space="preserve">10 of these 29 patients had repeat HBV serology at a later date (timing varied) and were negative for </w:t>
      </w:r>
      <w:proofErr w:type="spellStart"/>
      <w:r w:rsidRPr="00850F10">
        <w:rPr>
          <w:rFonts w:cs="Arial"/>
          <w:sz w:val="22"/>
          <w:szCs w:val="22"/>
        </w:rPr>
        <w:t>HBcAb</w:t>
      </w:r>
      <w:proofErr w:type="spellEnd"/>
    </w:p>
    <w:p w14:paraId="46589BAB" w14:textId="77777777" w:rsidR="00850F10" w:rsidRPr="00850F10" w:rsidRDefault="00850F10" w:rsidP="00850F10">
      <w:pPr>
        <w:pStyle w:val="DHHSbody"/>
        <w:rPr>
          <w:rFonts w:cs="Arial"/>
          <w:sz w:val="22"/>
          <w:szCs w:val="22"/>
        </w:rPr>
      </w:pPr>
      <w:r w:rsidRPr="00850F10">
        <w:rPr>
          <w:rFonts w:cs="Arial"/>
          <w:sz w:val="22"/>
          <w:szCs w:val="22"/>
        </w:rPr>
        <w:t xml:space="preserve">The combination of previously documented negative </w:t>
      </w:r>
      <w:proofErr w:type="spellStart"/>
      <w:r w:rsidRPr="00850F10">
        <w:rPr>
          <w:rFonts w:cs="Arial"/>
          <w:sz w:val="22"/>
          <w:szCs w:val="22"/>
        </w:rPr>
        <w:t>HBcAb</w:t>
      </w:r>
      <w:proofErr w:type="spellEnd"/>
      <w:r w:rsidRPr="00850F10">
        <w:rPr>
          <w:rFonts w:cs="Arial"/>
          <w:sz w:val="22"/>
          <w:szCs w:val="22"/>
        </w:rPr>
        <w:t xml:space="preserve"> results, negative </w:t>
      </w:r>
      <w:proofErr w:type="spellStart"/>
      <w:r w:rsidRPr="00850F10">
        <w:rPr>
          <w:rFonts w:cs="Arial"/>
          <w:sz w:val="22"/>
          <w:szCs w:val="22"/>
        </w:rPr>
        <w:t>HBsAg</w:t>
      </w:r>
      <w:proofErr w:type="spellEnd"/>
      <w:r w:rsidRPr="00850F10">
        <w:rPr>
          <w:rFonts w:cs="Arial"/>
          <w:sz w:val="22"/>
          <w:szCs w:val="22"/>
        </w:rPr>
        <w:t>/DNA results, and repeat serology later post IVIG therapy support passive transfer of anti-</w:t>
      </w:r>
      <w:proofErr w:type="spellStart"/>
      <w:r w:rsidRPr="00850F10">
        <w:rPr>
          <w:rFonts w:cs="Arial"/>
          <w:sz w:val="22"/>
          <w:szCs w:val="22"/>
        </w:rPr>
        <w:t>HBcAb</w:t>
      </w:r>
      <w:proofErr w:type="spellEnd"/>
      <w:r w:rsidRPr="00850F10">
        <w:rPr>
          <w:rFonts w:cs="Arial"/>
          <w:sz w:val="22"/>
          <w:szCs w:val="22"/>
        </w:rPr>
        <w:t>.</w:t>
      </w:r>
    </w:p>
    <w:p w14:paraId="5058D806" w14:textId="504A6050" w:rsidR="00850F10" w:rsidRPr="00850F10" w:rsidRDefault="00850F10" w:rsidP="00850F10">
      <w:pPr>
        <w:pStyle w:val="DHHSbody"/>
        <w:rPr>
          <w:rFonts w:cs="Arial"/>
          <w:sz w:val="22"/>
          <w:szCs w:val="22"/>
        </w:rPr>
      </w:pPr>
      <w:r w:rsidRPr="00850F10">
        <w:rPr>
          <w:rFonts w:cs="Arial"/>
          <w:sz w:val="22"/>
          <w:szCs w:val="22"/>
        </w:rPr>
        <w:t xml:space="preserve">The only factor found to be significant in detection of </w:t>
      </w:r>
      <w:proofErr w:type="spellStart"/>
      <w:r w:rsidRPr="00850F10">
        <w:rPr>
          <w:rFonts w:cs="Arial"/>
          <w:sz w:val="22"/>
          <w:szCs w:val="22"/>
        </w:rPr>
        <w:t>HBcAb</w:t>
      </w:r>
      <w:proofErr w:type="spellEnd"/>
      <w:r w:rsidRPr="00850F10">
        <w:rPr>
          <w:rFonts w:cs="Arial"/>
          <w:sz w:val="22"/>
          <w:szCs w:val="22"/>
        </w:rPr>
        <w:t xml:space="preserve"> was time since IVI</w:t>
      </w:r>
      <w:r w:rsidR="004A37D2">
        <w:rPr>
          <w:rFonts w:cs="Arial"/>
          <w:sz w:val="22"/>
          <w:szCs w:val="22"/>
        </w:rPr>
        <w:t>g</w:t>
      </w:r>
      <w:r w:rsidRPr="00850F10">
        <w:rPr>
          <w:rFonts w:cs="Arial"/>
          <w:sz w:val="22"/>
          <w:szCs w:val="22"/>
        </w:rPr>
        <w:t xml:space="preserve"> dose, with the likelihood of a positive result reducing over time from 34</w:t>
      </w:r>
      <w:r w:rsidR="004A37D2">
        <w:rPr>
          <w:rFonts w:cs="Arial"/>
          <w:sz w:val="22"/>
          <w:szCs w:val="22"/>
        </w:rPr>
        <w:t xml:space="preserve"> per cent</w:t>
      </w:r>
      <w:r w:rsidR="004A37D2" w:rsidRPr="00850F10">
        <w:rPr>
          <w:rFonts w:cs="Arial"/>
          <w:sz w:val="22"/>
          <w:szCs w:val="22"/>
        </w:rPr>
        <w:t xml:space="preserve"> </w:t>
      </w:r>
      <w:r w:rsidRPr="00850F10">
        <w:rPr>
          <w:rFonts w:cs="Arial"/>
          <w:sz w:val="22"/>
          <w:szCs w:val="22"/>
        </w:rPr>
        <w:t xml:space="preserve">at </w:t>
      </w:r>
      <w:r w:rsidR="004A37D2">
        <w:rPr>
          <w:rFonts w:cs="Arial"/>
          <w:sz w:val="22"/>
          <w:szCs w:val="22"/>
        </w:rPr>
        <w:t>one</w:t>
      </w:r>
      <w:r w:rsidR="004A37D2" w:rsidRPr="00850F10">
        <w:rPr>
          <w:rFonts w:cs="Arial"/>
          <w:sz w:val="22"/>
          <w:szCs w:val="22"/>
        </w:rPr>
        <w:t xml:space="preserve"> </w:t>
      </w:r>
      <w:r w:rsidRPr="00850F10">
        <w:rPr>
          <w:rFonts w:cs="Arial"/>
          <w:sz w:val="22"/>
          <w:szCs w:val="22"/>
        </w:rPr>
        <w:t xml:space="preserve">week, to </w:t>
      </w:r>
      <w:r w:rsidR="004A37D2">
        <w:rPr>
          <w:rFonts w:cs="Arial"/>
          <w:sz w:val="22"/>
          <w:szCs w:val="22"/>
        </w:rPr>
        <w:t>four per cent</w:t>
      </w:r>
      <w:r w:rsidR="004A37D2" w:rsidRPr="00850F10">
        <w:rPr>
          <w:rFonts w:cs="Arial"/>
          <w:sz w:val="22"/>
          <w:szCs w:val="22"/>
        </w:rPr>
        <w:t xml:space="preserve"> </w:t>
      </w:r>
      <w:r w:rsidRPr="00850F10">
        <w:rPr>
          <w:rFonts w:cs="Arial"/>
          <w:sz w:val="22"/>
          <w:szCs w:val="22"/>
        </w:rPr>
        <w:t xml:space="preserve">at 12 weeks. </w:t>
      </w:r>
    </w:p>
    <w:p w14:paraId="7B64340B" w14:textId="77777777" w:rsidR="00850F10" w:rsidRPr="00850F10" w:rsidRDefault="00850F10" w:rsidP="00850F10">
      <w:pPr>
        <w:pStyle w:val="DHHSbody"/>
        <w:rPr>
          <w:rFonts w:cs="Arial"/>
          <w:sz w:val="22"/>
          <w:szCs w:val="22"/>
        </w:rPr>
      </w:pPr>
    </w:p>
    <w:p w14:paraId="4E2D9058" w14:textId="77777777" w:rsidR="00850F10" w:rsidRPr="00850F10" w:rsidRDefault="00850F10" w:rsidP="00850F10">
      <w:pPr>
        <w:pStyle w:val="DHHSbody"/>
        <w:rPr>
          <w:rFonts w:cs="Arial"/>
          <w:b/>
          <w:sz w:val="22"/>
          <w:szCs w:val="22"/>
        </w:rPr>
      </w:pPr>
      <w:r w:rsidRPr="00850F10">
        <w:rPr>
          <w:rFonts w:cs="Arial"/>
          <w:b/>
          <w:sz w:val="22"/>
          <w:szCs w:val="22"/>
        </w:rPr>
        <w:t>Summary and recommendations</w:t>
      </w:r>
    </w:p>
    <w:p w14:paraId="45074DAB" w14:textId="39BC855F" w:rsidR="00850F10" w:rsidRPr="00850F10" w:rsidRDefault="00850F10" w:rsidP="00850F10">
      <w:pPr>
        <w:pStyle w:val="DHHSbody"/>
        <w:numPr>
          <w:ilvl w:val="0"/>
          <w:numId w:val="26"/>
        </w:numPr>
        <w:rPr>
          <w:rFonts w:cs="Arial"/>
          <w:sz w:val="22"/>
          <w:szCs w:val="22"/>
        </w:rPr>
      </w:pPr>
      <w:r w:rsidRPr="00850F10">
        <w:rPr>
          <w:rFonts w:cs="Arial"/>
          <w:sz w:val="22"/>
          <w:szCs w:val="22"/>
        </w:rPr>
        <w:t xml:space="preserve">The risk of passive </w:t>
      </w:r>
      <w:proofErr w:type="spellStart"/>
      <w:r w:rsidRPr="00850F10">
        <w:rPr>
          <w:rFonts w:cs="Arial"/>
          <w:sz w:val="22"/>
          <w:szCs w:val="22"/>
        </w:rPr>
        <w:t>HBcAb</w:t>
      </w:r>
      <w:proofErr w:type="spellEnd"/>
      <w:r w:rsidRPr="00850F10">
        <w:rPr>
          <w:rFonts w:cs="Arial"/>
          <w:sz w:val="22"/>
          <w:szCs w:val="22"/>
        </w:rPr>
        <w:t xml:space="preserve"> transfer post IVI</w:t>
      </w:r>
      <w:r w:rsidR="004A37D2">
        <w:rPr>
          <w:rFonts w:cs="Arial"/>
          <w:sz w:val="22"/>
          <w:szCs w:val="22"/>
        </w:rPr>
        <w:t>g</w:t>
      </w:r>
      <w:r w:rsidRPr="00850F10">
        <w:rPr>
          <w:rFonts w:cs="Arial"/>
          <w:sz w:val="22"/>
          <w:szCs w:val="22"/>
        </w:rPr>
        <w:t xml:space="preserve"> therapy is estimated at 15</w:t>
      </w:r>
      <w:r w:rsidR="004A37D2">
        <w:rPr>
          <w:rFonts w:cs="Arial"/>
          <w:sz w:val="22"/>
          <w:szCs w:val="22"/>
        </w:rPr>
        <w:t xml:space="preserve"> per cent</w:t>
      </w:r>
    </w:p>
    <w:p w14:paraId="443B80D2" w14:textId="1055573F" w:rsidR="00850F10" w:rsidRPr="00850F10" w:rsidRDefault="00850F10" w:rsidP="00850F10">
      <w:pPr>
        <w:pStyle w:val="DHHSbody"/>
        <w:numPr>
          <w:ilvl w:val="0"/>
          <w:numId w:val="26"/>
        </w:numPr>
        <w:rPr>
          <w:rFonts w:cs="Arial"/>
          <w:sz w:val="22"/>
          <w:szCs w:val="22"/>
        </w:rPr>
      </w:pPr>
      <w:r w:rsidRPr="00850F10">
        <w:rPr>
          <w:rFonts w:cs="Arial"/>
          <w:sz w:val="22"/>
          <w:szCs w:val="22"/>
        </w:rPr>
        <w:t>Time since IVI</w:t>
      </w:r>
      <w:r w:rsidR="004A37D2">
        <w:rPr>
          <w:rFonts w:cs="Arial"/>
          <w:sz w:val="22"/>
          <w:szCs w:val="22"/>
        </w:rPr>
        <w:t>g</w:t>
      </w:r>
      <w:r w:rsidRPr="00850F10">
        <w:rPr>
          <w:rFonts w:cs="Arial"/>
          <w:sz w:val="22"/>
          <w:szCs w:val="22"/>
        </w:rPr>
        <w:t xml:space="preserve"> therapy significantly influences the likelihood of detecting passively transferred antibodies</w:t>
      </w:r>
    </w:p>
    <w:p w14:paraId="39C9E11D" w14:textId="7733360B" w:rsidR="00850F10" w:rsidRPr="00850F10" w:rsidRDefault="00850F10" w:rsidP="00850F10">
      <w:pPr>
        <w:pStyle w:val="DHHSbody"/>
        <w:numPr>
          <w:ilvl w:val="0"/>
          <w:numId w:val="26"/>
        </w:numPr>
        <w:rPr>
          <w:rFonts w:cs="Arial"/>
          <w:sz w:val="22"/>
          <w:szCs w:val="22"/>
        </w:rPr>
      </w:pPr>
      <w:r w:rsidRPr="00850F10">
        <w:rPr>
          <w:rFonts w:cs="Arial"/>
          <w:sz w:val="22"/>
          <w:szCs w:val="22"/>
        </w:rPr>
        <w:t>Correlation with pre-IVI</w:t>
      </w:r>
      <w:r w:rsidR="004A37D2">
        <w:rPr>
          <w:rFonts w:cs="Arial"/>
          <w:sz w:val="22"/>
          <w:szCs w:val="22"/>
        </w:rPr>
        <w:t>g</w:t>
      </w:r>
      <w:r w:rsidRPr="00850F10">
        <w:rPr>
          <w:rFonts w:cs="Arial"/>
          <w:sz w:val="22"/>
          <w:szCs w:val="22"/>
        </w:rPr>
        <w:t xml:space="preserve"> serology is recommended, however, where this is not available, waiting </w:t>
      </w:r>
      <w:r w:rsidR="004A37D2">
        <w:rPr>
          <w:rFonts w:cs="Arial"/>
          <w:sz w:val="22"/>
          <w:szCs w:val="22"/>
        </w:rPr>
        <w:t>three – four (</w:t>
      </w:r>
      <w:r w:rsidRPr="00850F10">
        <w:rPr>
          <w:rFonts w:cs="Arial"/>
          <w:sz w:val="22"/>
          <w:szCs w:val="22"/>
        </w:rPr>
        <w:t>3-4</w:t>
      </w:r>
      <w:r w:rsidR="004A37D2">
        <w:rPr>
          <w:rFonts w:cs="Arial"/>
          <w:sz w:val="22"/>
          <w:szCs w:val="22"/>
        </w:rPr>
        <w:t>)</w:t>
      </w:r>
      <w:r w:rsidRPr="00850F10">
        <w:rPr>
          <w:rFonts w:cs="Arial"/>
          <w:sz w:val="22"/>
          <w:szCs w:val="22"/>
        </w:rPr>
        <w:t xml:space="preserve"> months post IVI</w:t>
      </w:r>
      <w:r w:rsidR="004A37D2">
        <w:rPr>
          <w:rFonts w:cs="Arial"/>
          <w:sz w:val="22"/>
          <w:szCs w:val="22"/>
        </w:rPr>
        <w:t>g</w:t>
      </w:r>
      <w:r w:rsidRPr="00850F10">
        <w:rPr>
          <w:rFonts w:cs="Arial"/>
          <w:sz w:val="22"/>
          <w:szCs w:val="22"/>
        </w:rPr>
        <w:t xml:space="preserve"> therapy before retesting is recommended if clinically appropriate</w:t>
      </w:r>
    </w:p>
    <w:p w14:paraId="10CDF3CC" w14:textId="77777777" w:rsidR="00850F10" w:rsidRPr="00850F10" w:rsidRDefault="00850F10" w:rsidP="00850F10">
      <w:pPr>
        <w:pStyle w:val="DHHSbody"/>
        <w:numPr>
          <w:ilvl w:val="0"/>
          <w:numId w:val="26"/>
        </w:numPr>
        <w:rPr>
          <w:rFonts w:cs="Arial"/>
          <w:sz w:val="22"/>
          <w:szCs w:val="22"/>
        </w:rPr>
      </w:pPr>
      <w:r w:rsidRPr="00850F10">
        <w:rPr>
          <w:rFonts w:cs="Arial"/>
          <w:sz w:val="22"/>
          <w:szCs w:val="22"/>
        </w:rPr>
        <w:t>In cases where waiting is not possible, decisions need to be tailored to individuals based on risk of prior HBV exposure, risk of reactivation (rituximab therapy and haematopoietic stem cell transplant convey the highest risk), and risk of adverse effects from HBV prophylaxis</w:t>
      </w:r>
      <w:r w:rsidR="004A37D2">
        <w:rPr>
          <w:rFonts w:cs="Arial"/>
          <w:sz w:val="22"/>
          <w:szCs w:val="22"/>
        </w:rPr>
        <w:t>.</w:t>
      </w:r>
      <w:r w:rsidRPr="00850F10">
        <w:rPr>
          <w:rFonts w:cs="Arial"/>
          <w:sz w:val="22"/>
          <w:szCs w:val="22"/>
        </w:rPr>
        <w:t xml:space="preserve"> </w:t>
      </w:r>
    </w:p>
    <w:p w14:paraId="480E9FEB" w14:textId="77777777" w:rsidR="00850F10" w:rsidRPr="00850F10" w:rsidRDefault="00850F10" w:rsidP="00850F10">
      <w:pPr>
        <w:pStyle w:val="DHHSbody"/>
        <w:rPr>
          <w:rFonts w:cs="Arial"/>
          <w:sz w:val="22"/>
          <w:szCs w:val="22"/>
        </w:rPr>
      </w:pPr>
    </w:p>
    <w:p w14:paraId="7419C6CC" w14:textId="77777777" w:rsidR="00850F10" w:rsidRPr="00850F10" w:rsidRDefault="00850F10" w:rsidP="00850F10">
      <w:pPr>
        <w:pStyle w:val="DHHSbody"/>
        <w:rPr>
          <w:rFonts w:cs="Arial"/>
          <w:sz w:val="22"/>
          <w:szCs w:val="22"/>
        </w:rPr>
      </w:pPr>
    </w:p>
    <w:p w14:paraId="1BEC6471" w14:textId="77777777" w:rsidR="00850F10" w:rsidRPr="00850F10" w:rsidRDefault="00850F10" w:rsidP="00850F10">
      <w:pPr>
        <w:pStyle w:val="DHHSbody"/>
        <w:rPr>
          <w:rFonts w:cs="Arial"/>
          <w:b/>
          <w:sz w:val="22"/>
          <w:szCs w:val="22"/>
        </w:rPr>
      </w:pPr>
      <w:r w:rsidRPr="00850F10">
        <w:rPr>
          <w:rFonts w:cs="Arial"/>
          <w:b/>
          <w:sz w:val="22"/>
          <w:szCs w:val="22"/>
        </w:rPr>
        <w:t>References</w:t>
      </w:r>
    </w:p>
    <w:p w14:paraId="56D5FEEB" w14:textId="02AD34C4" w:rsidR="00850F10" w:rsidRPr="00850F10" w:rsidRDefault="00850F10" w:rsidP="00850F10">
      <w:pPr>
        <w:pStyle w:val="DHHSbody"/>
        <w:rPr>
          <w:rFonts w:cs="Arial"/>
          <w:sz w:val="22"/>
          <w:szCs w:val="22"/>
        </w:rPr>
      </w:pPr>
      <w:r w:rsidRPr="00850F10">
        <w:rPr>
          <w:rFonts w:cs="Arial"/>
          <w:sz w:val="22"/>
          <w:szCs w:val="22"/>
        </w:rPr>
        <w:t>Lu H et al.</w:t>
      </w:r>
      <w:r w:rsidRPr="00850F10">
        <w:rPr>
          <w:rFonts w:cs="Arial"/>
          <w:i/>
          <w:iCs/>
          <w:sz w:val="22"/>
          <w:szCs w:val="22"/>
        </w:rPr>
        <w:t> Passive transfer of anti-</w:t>
      </w:r>
      <w:proofErr w:type="spellStart"/>
      <w:r w:rsidRPr="00850F10">
        <w:rPr>
          <w:rFonts w:cs="Arial"/>
          <w:i/>
          <w:iCs/>
          <w:sz w:val="22"/>
          <w:szCs w:val="22"/>
        </w:rPr>
        <w:t>HBc</w:t>
      </w:r>
      <w:proofErr w:type="spellEnd"/>
      <w:r w:rsidRPr="00850F10">
        <w:rPr>
          <w:rFonts w:cs="Arial"/>
          <w:i/>
          <w:iCs/>
          <w:sz w:val="22"/>
          <w:szCs w:val="22"/>
        </w:rPr>
        <w:t xml:space="preserve"> after intravenous immunoglobulin administration in patients with cancer: a retrospective chart review. </w:t>
      </w:r>
      <w:r w:rsidRPr="00850F10">
        <w:rPr>
          <w:rFonts w:cs="Arial"/>
          <w:sz w:val="22"/>
          <w:szCs w:val="22"/>
        </w:rPr>
        <w:t>The Lancet Haematology 2018; 5: e474-e478. </w:t>
      </w:r>
      <w:hyperlink r:id="rId10" w:tgtFrame="_blank" w:history="1">
        <w:r w:rsidRPr="00850F10">
          <w:rPr>
            <w:rStyle w:val="Hyperlink"/>
            <w:rFonts w:cs="Arial"/>
            <w:sz w:val="22"/>
            <w:szCs w:val="22"/>
          </w:rPr>
          <w:t>https://www.sciencedirect.com/science/article/abs/pii/S2352302618301522?via%3Dihub</w:t>
        </w:r>
      </w:hyperlink>
      <w:r w:rsidRPr="00850F10">
        <w:rPr>
          <w:rFonts w:cs="Arial"/>
          <w:sz w:val="22"/>
          <w:szCs w:val="22"/>
        </w:rPr>
        <w:t> </w:t>
      </w:r>
    </w:p>
    <w:p w14:paraId="6AA15C3A" w14:textId="77777777" w:rsidR="00850F10" w:rsidRPr="00850F10" w:rsidRDefault="00850F10" w:rsidP="00850F10">
      <w:pPr>
        <w:pStyle w:val="DHHSbody"/>
        <w:rPr>
          <w:rFonts w:cs="Arial"/>
          <w:sz w:val="22"/>
          <w:szCs w:val="22"/>
        </w:rPr>
      </w:pPr>
      <w:r w:rsidRPr="00850F10">
        <w:rPr>
          <w:rFonts w:cs="Arial"/>
          <w:sz w:val="22"/>
          <w:szCs w:val="22"/>
        </w:rPr>
        <w:t>Bright PD et al. </w:t>
      </w:r>
      <w:r w:rsidRPr="00850F10">
        <w:rPr>
          <w:rFonts w:cs="Arial"/>
          <w:i/>
          <w:iCs/>
          <w:sz w:val="22"/>
          <w:szCs w:val="22"/>
        </w:rPr>
        <w:t>False interpretation of diagnostic serology tests for patients treated with pooled human immunoglobulin G infusion: a trap for the unwary. </w:t>
      </w:r>
      <w:r w:rsidRPr="00850F10">
        <w:rPr>
          <w:rFonts w:cs="Arial"/>
          <w:sz w:val="22"/>
          <w:szCs w:val="22"/>
        </w:rPr>
        <w:t>Clinical Medicine 2015; 15(2): 125-129. </w:t>
      </w:r>
      <w:hyperlink r:id="rId11" w:tgtFrame="_blank" w:history="1">
        <w:r w:rsidRPr="00850F10">
          <w:rPr>
            <w:rStyle w:val="Hyperlink"/>
            <w:rFonts w:cs="Arial"/>
            <w:sz w:val="22"/>
            <w:szCs w:val="22"/>
          </w:rPr>
          <w:t>https://www.rcpjournals.org/content/clinmedicine/15/2/125</w:t>
        </w:r>
      </w:hyperlink>
      <w:r w:rsidRPr="00850F10">
        <w:rPr>
          <w:rFonts w:cs="Arial"/>
          <w:sz w:val="22"/>
          <w:szCs w:val="22"/>
        </w:rPr>
        <w:t> </w:t>
      </w:r>
    </w:p>
    <w:p w14:paraId="4B5C1BA0" w14:textId="77777777" w:rsidR="00850F10" w:rsidRPr="00850F10" w:rsidRDefault="00850F10" w:rsidP="00850F10">
      <w:pPr>
        <w:pStyle w:val="DHHSbody"/>
        <w:rPr>
          <w:rFonts w:cs="Arial"/>
          <w:sz w:val="22"/>
          <w:szCs w:val="22"/>
        </w:rPr>
      </w:pPr>
      <w:r w:rsidRPr="00850F10">
        <w:rPr>
          <w:rFonts w:cs="Arial"/>
          <w:sz w:val="22"/>
          <w:szCs w:val="22"/>
        </w:rPr>
        <w:t>Hui EP.</w:t>
      </w:r>
      <w:r w:rsidRPr="00850F10">
        <w:rPr>
          <w:rFonts w:cs="Arial"/>
          <w:i/>
          <w:iCs/>
          <w:sz w:val="22"/>
          <w:szCs w:val="22"/>
        </w:rPr>
        <w:t> Immunoglobulin therapy and passive transfer of anti-</w:t>
      </w:r>
      <w:proofErr w:type="spellStart"/>
      <w:r w:rsidRPr="00850F10">
        <w:rPr>
          <w:rFonts w:cs="Arial"/>
          <w:i/>
          <w:iCs/>
          <w:sz w:val="22"/>
          <w:szCs w:val="22"/>
        </w:rPr>
        <w:t>HBc</w:t>
      </w:r>
      <w:proofErr w:type="spellEnd"/>
      <w:r w:rsidRPr="00850F10">
        <w:rPr>
          <w:rFonts w:cs="Arial"/>
          <w:i/>
          <w:iCs/>
          <w:sz w:val="22"/>
          <w:szCs w:val="22"/>
        </w:rPr>
        <w:t>: too often forgotten.</w:t>
      </w:r>
      <w:r w:rsidRPr="00850F10">
        <w:rPr>
          <w:rFonts w:cs="Arial"/>
          <w:sz w:val="22"/>
          <w:szCs w:val="22"/>
        </w:rPr>
        <w:t> The Lancet Haematology 2018</w:t>
      </w:r>
      <w:proofErr w:type="gramStart"/>
      <w:r w:rsidRPr="00850F10">
        <w:rPr>
          <w:rFonts w:cs="Arial"/>
          <w:sz w:val="22"/>
          <w:szCs w:val="22"/>
        </w:rPr>
        <w:t>;5:e437e438</w:t>
      </w:r>
      <w:proofErr w:type="gramEnd"/>
      <w:r w:rsidRPr="00850F10">
        <w:rPr>
          <w:rFonts w:cs="Arial"/>
          <w:sz w:val="22"/>
          <w:szCs w:val="22"/>
        </w:rPr>
        <w:t xml:space="preserve">. </w:t>
      </w:r>
      <w:hyperlink r:id="rId12" w:tgtFrame="_blank" w:history="1">
        <w:r w:rsidRPr="00850F10">
          <w:rPr>
            <w:rStyle w:val="Hyperlink"/>
            <w:rFonts w:cs="Arial"/>
            <w:sz w:val="22"/>
            <w:szCs w:val="22"/>
          </w:rPr>
          <w:t>https://www.sciencedirect.com/science/article/abs/pii/S2352302618301583</w:t>
        </w:r>
      </w:hyperlink>
      <w:r w:rsidRPr="00850F10">
        <w:rPr>
          <w:rFonts w:cs="Arial"/>
          <w:sz w:val="22"/>
          <w:szCs w:val="22"/>
        </w:rPr>
        <w:t> </w:t>
      </w:r>
    </w:p>
    <w:p w14:paraId="279C9AF3" w14:textId="77777777" w:rsidR="00850F10" w:rsidRPr="00850F10" w:rsidRDefault="00850F10" w:rsidP="00850F10">
      <w:pPr>
        <w:pStyle w:val="DHHSbody"/>
        <w:rPr>
          <w:rFonts w:cs="Arial"/>
          <w:sz w:val="22"/>
          <w:szCs w:val="22"/>
        </w:rPr>
      </w:pPr>
      <w:proofErr w:type="spellStart"/>
      <w:r w:rsidRPr="00850F10">
        <w:rPr>
          <w:rFonts w:cs="Arial"/>
          <w:sz w:val="22"/>
          <w:szCs w:val="22"/>
        </w:rPr>
        <w:t>Benwell</w:t>
      </w:r>
      <w:proofErr w:type="spellEnd"/>
      <w:r w:rsidRPr="00850F10">
        <w:rPr>
          <w:rFonts w:cs="Arial"/>
          <w:sz w:val="22"/>
          <w:szCs w:val="22"/>
        </w:rPr>
        <w:t xml:space="preserve"> N et al. </w:t>
      </w:r>
      <w:r w:rsidRPr="00850F10">
        <w:rPr>
          <w:rFonts w:cs="Arial"/>
          <w:i/>
          <w:iCs/>
          <w:sz w:val="22"/>
          <w:szCs w:val="22"/>
        </w:rPr>
        <w:t>False positive hepatitis B virus core and surface antibodies due to intravenous immunoglobulin.</w:t>
      </w:r>
      <w:r w:rsidRPr="00850F10">
        <w:rPr>
          <w:rFonts w:cs="Arial"/>
          <w:sz w:val="22"/>
          <w:szCs w:val="22"/>
        </w:rPr>
        <w:t xml:space="preserve"> Internal Medicine Journal 2017; 47: 119-120. </w:t>
      </w:r>
    </w:p>
    <w:p w14:paraId="3DF11D3E" w14:textId="77777777" w:rsidR="00850F10" w:rsidRPr="00850F10" w:rsidRDefault="00850F10" w:rsidP="00850F10">
      <w:pPr>
        <w:pStyle w:val="DHHSbody"/>
        <w:rPr>
          <w:rFonts w:cs="Arial"/>
          <w:sz w:val="22"/>
          <w:szCs w:val="22"/>
        </w:rPr>
      </w:pPr>
      <w:r w:rsidRPr="00850F10">
        <w:rPr>
          <w:rFonts w:cs="Arial"/>
          <w:sz w:val="22"/>
          <w:szCs w:val="22"/>
        </w:rPr>
        <w:t> </w:t>
      </w:r>
      <w:hyperlink r:id="rId13" w:tgtFrame="_blank" w:history="1">
        <w:r w:rsidRPr="00850F10">
          <w:rPr>
            <w:rStyle w:val="Hyperlink"/>
            <w:rFonts w:cs="Arial"/>
            <w:sz w:val="22"/>
            <w:szCs w:val="22"/>
          </w:rPr>
          <w:t>https://onlinelibrary.wiley.com/doi/abs/10.1111/imj.13314</w:t>
        </w:r>
      </w:hyperlink>
      <w:r w:rsidRPr="00850F10">
        <w:rPr>
          <w:rFonts w:cs="Arial"/>
          <w:sz w:val="22"/>
          <w:szCs w:val="22"/>
        </w:rPr>
        <w:t> </w:t>
      </w:r>
    </w:p>
    <w:p w14:paraId="58F91BC0" w14:textId="77777777" w:rsidR="00BE200E" w:rsidRDefault="00BE200E" w:rsidP="00BE200E">
      <w:pPr>
        <w:pStyle w:val="DHHSbody"/>
        <w:rPr>
          <w:rFonts w:cs="Arial"/>
          <w:sz w:val="22"/>
          <w:szCs w:val="22"/>
        </w:rPr>
      </w:pPr>
    </w:p>
    <w:p w14:paraId="490F64AA" w14:textId="2C5BCDF6" w:rsidR="00BE200E" w:rsidRPr="00BE200E" w:rsidRDefault="00BE200E" w:rsidP="00BE200E">
      <w:pPr>
        <w:pStyle w:val="DHHSbody"/>
        <w:rPr>
          <w:rFonts w:cs="Arial"/>
          <w:sz w:val="22"/>
          <w:szCs w:val="22"/>
        </w:rPr>
      </w:pPr>
      <w:r w:rsidRPr="00BE200E">
        <w:rPr>
          <w:rFonts w:cs="Arial"/>
          <w:sz w:val="22"/>
          <w:szCs w:val="22"/>
        </w:rPr>
        <w:t>Authorised and published by the Victorian Government, 1 Treasury Place, Melbourne.</w:t>
      </w:r>
    </w:p>
    <w:p w14:paraId="6E95A69F" w14:textId="77777777" w:rsidR="00BE200E" w:rsidRPr="00BE200E" w:rsidRDefault="00BE200E" w:rsidP="00BE200E">
      <w:pPr>
        <w:pStyle w:val="DHHSbody"/>
        <w:rPr>
          <w:rFonts w:cs="Arial"/>
          <w:sz w:val="22"/>
          <w:szCs w:val="22"/>
        </w:rPr>
      </w:pPr>
      <w:r w:rsidRPr="00BE200E">
        <w:rPr>
          <w:rFonts w:cs="Arial"/>
          <w:sz w:val="22"/>
          <w:szCs w:val="22"/>
        </w:rPr>
        <w:t>© State of Victoria, Australia, Department of Health and Human Services May 2020.</w:t>
      </w:r>
    </w:p>
    <w:p w14:paraId="7E260BEF" w14:textId="77777777" w:rsidR="00BE200E" w:rsidRPr="00BE200E" w:rsidRDefault="00BE200E" w:rsidP="00BE200E">
      <w:pPr>
        <w:pStyle w:val="DHHSbody"/>
        <w:rPr>
          <w:rFonts w:cs="Arial"/>
          <w:sz w:val="22"/>
          <w:szCs w:val="22"/>
        </w:rPr>
      </w:pPr>
      <w:r w:rsidRPr="00BE200E">
        <w:rPr>
          <w:rFonts w:cs="Arial"/>
          <w:sz w:val="22"/>
          <w:szCs w:val="22"/>
        </w:rPr>
        <w:t xml:space="preserve">To receive this publication in an accessible format phone 03 9694 0102, using the National Relay Service 13 36 77 if required, or email Blood Matters </w:t>
      </w:r>
      <w:hyperlink r:id="rId14" w:history="1">
        <w:r w:rsidRPr="00BE200E">
          <w:rPr>
            <w:rStyle w:val="Hyperlink"/>
            <w:rFonts w:cs="Arial"/>
            <w:sz w:val="22"/>
            <w:szCs w:val="22"/>
          </w:rPr>
          <w:t>bloodmatters@redcrossblood.org.au</w:t>
        </w:r>
      </w:hyperlink>
    </w:p>
    <w:p w14:paraId="65FB9981" w14:textId="77777777" w:rsidR="00850F10" w:rsidRPr="00850F10" w:rsidRDefault="00850F10" w:rsidP="00850F10">
      <w:pPr>
        <w:pStyle w:val="DHHSbody"/>
        <w:rPr>
          <w:rFonts w:cs="Arial"/>
          <w:sz w:val="22"/>
          <w:szCs w:val="22"/>
        </w:rPr>
      </w:pPr>
    </w:p>
    <w:p w14:paraId="6D147FBA" w14:textId="77777777" w:rsidR="00BE200E" w:rsidRPr="00BE200E" w:rsidRDefault="00BE200E" w:rsidP="00BE200E">
      <w:pPr>
        <w:pStyle w:val="DHHSbody"/>
        <w:rPr>
          <w:rFonts w:cs="Arial"/>
          <w:sz w:val="22"/>
          <w:szCs w:val="22"/>
        </w:rPr>
      </w:pPr>
      <w:r w:rsidRPr="00BE200E">
        <w:rPr>
          <w:rFonts w:cs="Arial"/>
          <w:b/>
          <w:bCs/>
          <w:sz w:val="22"/>
          <w:szCs w:val="22"/>
        </w:rPr>
        <w:lastRenderedPageBreak/>
        <w:t xml:space="preserve">ISSN </w:t>
      </w:r>
      <w:r w:rsidRPr="00BE200E">
        <w:rPr>
          <w:rFonts w:cs="Arial"/>
          <w:sz w:val="22"/>
          <w:szCs w:val="22"/>
        </w:rPr>
        <w:t>2652-6212</w:t>
      </w:r>
      <w:r w:rsidRPr="00BE200E">
        <w:rPr>
          <w:rFonts w:cs="Arial"/>
          <w:b/>
          <w:bCs/>
          <w:sz w:val="22"/>
          <w:szCs w:val="22"/>
        </w:rPr>
        <w:t xml:space="preserve"> - Online (pdf / word).</w:t>
      </w:r>
    </w:p>
    <w:p w14:paraId="003CDCBC" w14:textId="77777777" w:rsidR="00B2752E" w:rsidRPr="00850F10" w:rsidRDefault="00B2752E" w:rsidP="00850F10">
      <w:pPr>
        <w:pStyle w:val="DHHSbody"/>
        <w:rPr>
          <w:rFonts w:cs="Arial"/>
          <w:sz w:val="22"/>
          <w:szCs w:val="22"/>
        </w:rPr>
      </w:pPr>
    </w:p>
    <w:sectPr w:rsidR="00B2752E" w:rsidRPr="00850F10" w:rsidSect="00FD67C0">
      <w:headerReference w:type="default" r:id="rId15"/>
      <w:footerReference w:type="default" r:id="rId16"/>
      <w:type w:val="continuous"/>
      <w:pgSz w:w="11906" w:h="16838" w:code="9"/>
      <w:pgMar w:top="1418" w:right="851" w:bottom="1701"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AB51" w14:textId="77777777" w:rsidR="00AE343B" w:rsidRDefault="00AE343B">
      <w:r>
        <w:separator/>
      </w:r>
    </w:p>
  </w:endnote>
  <w:endnote w:type="continuationSeparator" w:id="0">
    <w:p w14:paraId="41596035" w14:textId="77777777" w:rsidR="00AE343B" w:rsidRDefault="00AE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6EBA" w14:textId="77777777" w:rsidR="009D70A4" w:rsidRPr="00F65AA9" w:rsidRDefault="00291613" w:rsidP="0051568D">
    <w:pPr>
      <w:pStyle w:val="DHHSfooter"/>
    </w:pPr>
    <w:r>
      <w:rPr>
        <w:noProof/>
        <w:lang w:eastAsia="en-AU"/>
      </w:rPr>
      <w:drawing>
        <wp:inline distT="0" distB="0" distL="0" distR="0" wp14:anchorId="23DE8BC5" wp14:editId="2BA4D664">
          <wp:extent cx="6407150" cy="899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75" cy="911193"/>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7E7A" w14:textId="77777777" w:rsidR="009D70A4" w:rsidRPr="00A11421" w:rsidRDefault="00FD67C0" w:rsidP="0051568D">
    <w:pPr>
      <w:pStyle w:val="DHHSfooter"/>
    </w:pPr>
    <w:r>
      <w:rPr>
        <w:noProof/>
        <w:lang w:eastAsia="en-AU"/>
      </w:rPr>
      <w:drawing>
        <wp:anchor distT="0" distB="0" distL="114300" distR="114300" simplePos="0" relativeHeight="251663360" behindDoc="1" locked="1" layoutInCell="1" allowOverlap="1" wp14:anchorId="6DC17B4A" wp14:editId="32A3B23B">
          <wp:simplePos x="0" y="0"/>
          <wp:positionH relativeFrom="page">
            <wp:posOffset>0</wp:posOffset>
          </wp:positionH>
          <wp:positionV relativeFrom="page">
            <wp:posOffset>9650095</wp:posOffset>
          </wp:positionV>
          <wp:extent cx="7560000" cy="1036800"/>
          <wp:effectExtent l="0" t="0" r="317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t="90286"/>
                  <a:stretch/>
                </pic:blipFill>
                <pic:spPr bwMode="auto">
                  <a:xfrm>
                    <a:off x="0" y="0"/>
                    <a:ext cx="75600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9AF88" w14:textId="77777777" w:rsidR="00AE343B" w:rsidRDefault="00AE343B" w:rsidP="002862F1">
      <w:pPr>
        <w:spacing w:before="120"/>
      </w:pPr>
      <w:r>
        <w:separator/>
      </w:r>
    </w:p>
  </w:footnote>
  <w:footnote w:type="continuationSeparator" w:id="0">
    <w:p w14:paraId="23087BE2" w14:textId="77777777" w:rsidR="00AE343B" w:rsidRDefault="00AE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4103" w14:textId="77777777" w:rsidR="001A46EA" w:rsidRDefault="001A46EA">
    <w:pPr>
      <w:pStyle w:val="Header"/>
    </w:pPr>
    <w:r>
      <w:rPr>
        <w:noProof/>
        <w:lang w:eastAsia="en-AU"/>
      </w:rPr>
      <w:drawing>
        <wp:anchor distT="0" distB="0" distL="114300" distR="114300" simplePos="0" relativeHeight="251661312" behindDoc="1" locked="1" layoutInCell="1" allowOverlap="1" wp14:anchorId="12A11C69" wp14:editId="49CBA0A4">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C39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BFD6F758"/>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96498D"/>
    <w:multiLevelType w:val="hybridMultilevel"/>
    <w:tmpl w:val="C5FE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B908A6"/>
    <w:multiLevelType w:val="hybridMultilevel"/>
    <w:tmpl w:val="FEF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9820D3F"/>
    <w:multiLevelType w:val="hybridMultilevel"/>
    <w:tmpl w:val="E632B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A345E8C"/>
    <w:multiLevelType w:val="hybridMultilevel"/>
    <w:tmpl w:val="B35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
  </w:num>
  <w:num w:numId="25">
    <w:abstractNumId w:val="14"/>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0"/>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357DC"/>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46EA"/>
    <w:rsid w:val="001B716B"/>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161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13FD"/>
    <w:rsid w:val="003E375C"/>
    <w:rsid w:val="003E4086"/>
    <w:rsid w:val="003F0445"/>
    <w:rsid w:val="003F0CF0"/>
    <w:rsid w:val="003F14B1"/>
    <w:rsid w:val="003F3289"/>
    <w:rsid w:val="004006F3"/>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7D2"/>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444D"/>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3821"/>
    <w:rsid w:val="00644B1F"/>
    <w:rsid w:val="00644B7E"/>
    <w:rsid w:val="006454E6"/>
    <w:rsid w:val="00645E20"/>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95D7A"/>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2F0"/>
    <w:rsid w:val="007346E4"/>
    <w:rsid w:val="00740B23"/>
    <w:rsid w:val="00740F22"/>
    <w:rsid w:val="00741F1A"/>
    <w:rsid w:val="007450F8"/>
    <w:rsid w:val="0074696E"/>
    <w:rsid w:val="00750135"/>
    <w:rsid w:val="00750EC2"/>
    <w:rsid w:val="00752B28"/>
    <w:rsid w:val="00754E36"/>
    <w:rsid w:val="00763139"/>
    <w:rsid w:val="00770F37"/>
    <w:rsid w:val="007711A0"/>
    <w:rsid w:val="00771372"/>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2525F"/>
    <w:rsid w:val="008338A2"/>
    <w:rsid w:val="00841AA9"/>
    <w:rsid w:val="00850F10"/>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0FF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69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26A"/>
    <w:rsid w:val="00AE3005"/>
    <w:rsid w:val="00AE343B"/>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00E"/>
    <w:rsid w:val="00BE28D2"/>
    <w:rsid w:val="00BE4A64"/>
    <w:rsid w:val="00BF557D"/>
    <w:rsid w:val="00BF7F58"/>
    <w:rsid w:val="00C01381"/>
    <w:rsid w:val="00C01AB1"/>
    <w:rsid w:val="00C04803"/>
    <w:rsid w:val="00C079B8"/>
    <w:rsid w:val="00C10037"/>
    <w:rsid w:val="00C123EA"/>
    <w:rsid w:val="00C12A49"/>
    <w:rsid w:val="00C133EE"/>
    <w:rsid w:val="00C149D0"/>
    <w:rsid w:val="00C26588"/>
    <w:rsid w:val="00C27DE9"/>
    <w:rsid w:val="00C33388"/>
    <w:rsid w:val="00C35484"/>
    <w:rsid w:val="00C3710F"/>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1B1"/>
    <w:rsid w:val="00D35BD6"/>
    <w:rsid w:val="00D361B5"/>
    <w:rsid w:val="00D36A65"/>
    <w:rsid w:val="00D37223"/>
    <w:rsid w:val="00D411A2"/>
    <w:rsid w:val="00D4606D"/>
    <w:rsid w:val="00D47385"/>
    <w:rsid w:val="00D50B9C"/>
    <w:rsid w:val="00D52D73"/>
    <w:rsid w:val="00D52E58"/>
    <w:rsid w:val="00D56B20"/>
    <w:rsid w:val="00D714CC"/>
    <w:rsid w:val="00D75EA7"/>
    <w:rsid w:val="00D81F21"/>
    <w:rsid w:val="00D95470"/>
    <w:rsid w:val="00DA2619"/>
    <w:rsid w:val="00DA4239"/>
    <w:rsid w:val="00DA7C84"/>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5DFD"/>
    <w:rsid w:val="00DE6028"/>
    <w:rsid w:val="00DE78A3"/>
    <w:rsid w:val="00DF1A71"/>
    <w:rsid w:val="00DF5240"/>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0B93"/>
    <w:rsid w:val="00FB4769"/>
    <w:rsid w:val="00FB4CDA"/>
    <w:rsid w:val="00FC0F81"/>
    <w:rsid w:val="00FC395C"/>
    <w:rsid w:val="00FD3766"/>
    <w:rsid w:val="00FD47C4"/>
    <w:rsid w:val="00FD67C0"/>
    <w:rsid w:val="00FE2DCF"/>
    <w:rsid w:val="00FE3FA7"/>
    <w:rsid w:val="00FF12C9"/>
    <w:rsid w:val="00FF2A4E"/>
    <w:rsid w:val="00FF2FCE"/>
    <w:rsid w:val="00FF378F"/>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33574DE"/>
  <w15:docId w15:val="{0692E36F-17C5-457D-9B45-44FCF20B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850F10"/>
    <w:rPr>
      <w:rFonts w:ascii="Tahoma" w:hAnsi="Tahoma" w:cs="Tahoma"/>
      <w:sz w:val="16"/>
      <w:szCs w:val="16"/>
    </w:rPr>
  </w:style>
  <w:style w:type="character" w:customStyle="1" w:styleId="BalloonTextChar">
    <w:name w:val="Balloon Text Char"/>
    <w:basedOn w:val="DefaultParagraphFont"/>
    <w:link w:val="BalloonText"/>
    <w:uiPriority w:val="99"/>
    <w:semiHidden/>
    <w:rsid w:val="00850F10"/>
    <w:rPr>
      <w:rFonts w:ascii="Tahoma" w:hAnsi="Tahoma" w:cs="Tahoma"/>
      <w:sz w:val="16"/>
      <w:szCs w:val="16"/>
      <w:lang w:eastAsia="en-US"/>
    </w:rPr>
  </w:style>
  <w:style w:type="character" w:styleId="CommentReference">
    <w:name w:val="annotation reference"/>
    <w:basedOn w:val="DefaultParagraphFont"/>
    <w:uiPriority w:val="99"/>
    <w:semiHidden/>
    <w:unhideWhenUsed/>
    <w:rsid w:val="008B0FFE"/>
    <w:rPr>
      <w:sz w:val="16"/>
      <w:szCs w:val="16"/>
    </w:rPr>
  </w:style>
  <w:style w:type="paragraph" w:styleId="CommentText">
    <w:name w:val="annotation text"/>
    <w:basedOn w:val="Normal"/>
    <w:link w:val="CommentTextChar"/>
    <w:uiPriority w:val="99"/>
    <w:semiHidden/>
    <w:unhideWhenUsed/>
    <w:rsid w:val="008B0FFE"/>
  </w:style>
  <w:style w:type="character" w:customStyle="1" w:styleId="CommentTextChar">
    <w:name w:val="Comment Text Char"/>
    <w:basedOn w:val="DefaultParagraphFont"/>
    <w:link w:val="CommentText"/>
    <w:uiPriority w:val="99"/>
    <w:semiHidden/>
    <w:rsid w:val="008B0FF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B0FFE"/>
    <w:rPr>
      <w:b/>
      <w:bCs/>
    </w:rPr>
  </w:style>
  <w:style w:type="character" w:customStyle="1" w:styleId="CommentSubjectChar">
    <w:name w:val="Comment Subject Char"/>
    <w:basedOn w:val="CommentTextChar"/>
    <w:link w:val="CommentSubject"/>
    <w:uiPriority w:val="99"/>
    <w:semiHidden/>
    <w:rsid w:val="008B0FFE"/>
    <w:rPr>
      <w:rFonts w:ascii="Cambria" w:hAnsi="Cambria"/>
      <w:b/>
      <w:bCs/>
      <w:lang w:eastAsia="en-US"/>
    </w:rPr>
  </w:style>
  <w:style w:type="character" w:customStyle="1" w:styleId="UnresolvedMention">
    <w:name w:val="Unresolved Mention"/>
    <w:basedOn w:val="DefaultParagraphFont"/>
    <w:uiPriority w:val="99"/>
    <w:semiHidden/>
    <w:unhideWhenUsed/>
    <w:rsid w:val="00BE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linelibrary.wiley.com/doi/abs/10.1111/imj.133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ciencedirect.com/science/article/abs/pii/S23523026183015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journals.org/content/clinmedicine/15/2/12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ciencedirect.com/science/article/abs/pii/S2352302618301522?via%3Dihu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loodmatters@redcrossbloo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6606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Akers, Chris (VIC)</dc:creator>
  <cp:lastModifiedBy>Linley Bielby</cp:lastModifiedBy>
  <cp:revision>2</cp:revision>
  <cp:lastPrinted>2017-07-07T00:32:00Z</cp:lastPrinted>
  <dcterms:created xsi:type="dcterms:W3CDTF">2020-12-21T00:07:00Z</dcterms:created>
  <dcterms:modified xsi:type="dcterms:W3CDTF">2020-12-21T00:07:00Z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