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06" w:type="dxa"/>
        <w:tblInd w:w="-142" w:type="dxa"/>
        <w:tblCellMar>
          <w:left w:w="0" w:type="dxa"/>
          <w:right w:w="0" w:type="dxa"/>
        </w:tblCellMar>
        <w:tblLook w:val="04A0" w:firstRow="1" w:lastRow="0" w:firstColumn="1" w:lastColumn="0" w:noHBand="0" w:noVBand="1"/>
      </w:tblPr>
      <w:tblGrid>
        <w:gridCol w:w="8506"/>
      </w:tblGrid>
      <w:tr w:rsidR="001817CD" w:rsidRPr="003072C6" w14:paraId="647B569B" w14:textId="77777777" w:rsidTr="00C20741">
        <w:trPr>
          <w:trHeight w:val="3988"/>
        </w:trPr>
        <w:tc>
          <w:tcPr>
            <w:tcW w:w="8506" w:type="dxa"/>
            <w:shd w:val="clear" w:color="auto" w:fill="auto"/>
          </w:tcPr>
          <w:p w14:paraId="32FD07D0" w14:textId="067D60D6" w:rsidR="00831C56" w:rsidRPr="00C20741" w:rsidRDefault="008732F2" w:rsidP="0048194B">
            <w:pPr>
              <w:pStyle w:val="DHHSreportmaintitlewhite"/>
              <w:rPr>
                <w:caps/>
                <w:sz w:val="48"/>
                <w:szCs w:val="48"/>
              </w:rPr>
            </w:pPr>
            <w:r w:rsidRPr="00C20741">
              <w:rPr>
                <w:sz w:val="48"/>
                <w:szCs w:val="48"/>
              </w:rPr>
              <w:t xml:space="preserve">Anaphylaxis notifications under the </w:t>
            </w:r>
            <w:r w:rsidRPr="00C20741">
              <w:rPr>
                <w:i/>
                <w:sz w:val="48"/>
                <w:szCs w:val="48"/>
              </w:rPr>
              <w:t>Public Health and Wellbeing Act 2008</w:t>
            </w:r>
            <w:r w:rsidR="00DF0E2A" w:rsidRPr="00C20741">
              <w:rPr>
                <w:noProof/>
                <w:sz w:val="48"/>
                <w:szCs w:val="48"/>
                <w:lang w:eastAsia="en-AU"/>
              </w:rPr>
              <w:drawing>
                <wp:anchor distT="0" distB="0" distL="114300" distR="114300" simplePos="0" relativeHeight="251657216" behindDoc="1" locked="1" layoutInCell="0" allowOverlap="1" wp14:anchorId="111A0CEC" wp14:editId="25C7AD52">
                  <wp:simplePos x="0" y="0"/>
                  <wp:positionH relativeFrom="page">
                    <wp:posOffset>0</wp:posOffset>
                  </wp:positionH>
                  <wp:positionV relativeFrom="page">
                    <wp:posOffset>0</wp:posOffset>
                  </wp:positionV>
                  <wp:extent cx="7563485" cy="10700385"/>
                  <wp:effectExtent l="0" t="0" r="0" b="5715"/>
                  <wp:wrapNone/>
                  <wp:docPr id="100" name="Picture 100"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Victoria State Government Department of Health and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0741">
              <w:rPr>
                <w:sz w:val="48"/>
                <w:szCs w:val="48"/>
              </w:rPr>
              <w:t xml:space="preserve"> </w:t>
            </w:r>
          </w:p>
          <w:p w14:paraId="30218ADC" w14:textId="77777777" w:rsidR="00831C56" w:rsidRDefault="00831C56" w:rsidP="00E91933">
            <w:pPr>
              <w:pStyle w:val="DHHSreportsubtitlewhite"/>
            </w:pPr>
          </w:p>
          <w:p w14:paraId="11D8DAAA" w14:textId="4E50B509" w:rsidR="008732F2" w:rsidRDefault="008732F2" w:rsidP="00E91933">
            <w:pPr>
              <w:pStyle w:val="DHHSreportsubtitlewhite"/>
              <w:rPr>
                <w:i/>
                <w:sz w:val="32"/>
                <w:szCs w:val="32"/>
              </w:rPr>
            </w:pPr>
            <w:r>
              <w:rPr>
                <w:i/>
                <w:sz w:val="32"/>
                <w:szCs w:val="32"/>
              </w:rPr>
              <w:t xml:space="preserve">A </w:t>
            </w:r>
            <w:r w:rsidR="00BF273F">
              <w:rPr>
                <w:i/>
                <w:sz w:val="32"/>
                <w:szCs w:val="32"/>
              </w:rPr>
              <w:t>G</w:t>
            </w:r>
            <w:r>
              <w:rPr>
                <w:i/>
                <w:sz w:val="32"/>
                <w:szCs w:val="32"/>
              </w:rPr>
              <w:t>uide for Victorian hospitals</w:t>
            </w:r>
          </w:p>
          <w:p w14:paraId="47495CD6" w14:textId="652CA671" w:rsidR="00444D82" w:rsidRPr="003072C6" w:rsidRDefault="00444D82" w:rsidP="00E91933">
            <w:pPr>
              <w:pStyle w:val="DHHSreportsubtitlewhite"/>
            </w:pPr>
          </w:p>
        </w:tc>
      </w:tr>
      <w:tr w:rsidR="001817CD" w:rsidRPr="003072C6" w14:paraId="71ECF148" w14:textId="77777777" w:rsidTr="00C20741">
        <w:trPr>
          <w:trHeight w:val="4664"/>
        </w:trPr>
        <w:tc>
          <w:tcPr>
            <w:tcW w:w="8506" w:type="dxa"/>
            <w:shd w:val="clear" w:color="auto" w:fill="auto"/>
          </w:tcPr>
          <w:p w14:paraId="6AB6627B" w14:textId="77777777" w:rsidR="00BC01C1" w:rsidRPr="003072C6" w:rsidRDefault="00BC01C1" w:rsidP="004F3441">
            <w:pPr>
              <w:pStyle w:val="Coverinstructions"/>
            </w:pPr>
          </w:p>
        </w:tc>
      </w:tr>
    </w:tbl>
    <w:p w14:paraId="29F146E0" w14:textId="77777777" w:rsidR="0069374A" w:rsidRPr="003072C6" w:rsidRDefault="0069374A" w:rsidP="00C2657D">
      <w:pPr>
        <w:pStyle w:val="DHHSbodynospace"/>
        <w:ind w:left="-454"/>
      </w:pPr>
    </w:p>
    <w:p w14:paraId="2838D29F" w14:textId="77777777" w:rsidR="00C51B1C" w:rsidRDefault="00C51B1C" w:rsidP="00CA6D4E">
      <w:pPr>
        <w:pStyle w:val="DHHSbodynospace"/>
        <w:sectPr w:rsidR="00C51B1C" w:rsidSect="00A55989">
          <w:footerReference w:type="default" r:id="rId9"/>
          <w:type w:val="oddPage"/>
          <w:pgSz w:w="11906" w:h="16838"/>
          <w:pgMar w:top="3969" w:right="1304" w:bottom="1134" w:left="1304" w:header="454" w:footer="567" w:gutter="0"/>
          <w:cols w:space="720"/>
          <w:docGrid w:linePitch="360"/>
        </w:sectPr>
      </w:pPr>
    </w:p>
    <w:p w14:paraId="26F4F009" w14:textId="77777777" w:rsidR="003401D3" w:rsidRDefault="00DF0E2A" w:rsidP="003401D3">
      <w:pPr>
        <w:pStyle w:val="DHHSbodynospace"/>
        <w:tabs>
          <w:tab w:val="left" w:pos="734"/>
        </w:tabs>
      </w:pPr>
      <w:r>
        <w:rPr>
          <w:noProof/>
          <w:lang w:eastAsia="en-AU"/>
        </w:rPr>
        <w:lastRenderedPageBreak/>
        <mc:AlternateContent>
          <mc:Choice Requires="wps">
            <w:drawing>
              <wp:anchor distT="0" distB="0" distL="114300" distR="114300" simplePos="0" relativeHeight="251656192" behindDoc="0" locked="0" layoutInCell="1" allowOverlap="1" wp14:anchorId="3AA57F30" wp14:editId="7850E4DF">
                <wp:simplePos x="0" y="0"/>
                <wp:positionH relativeFrom="column">
                  <wp:posOffset>4572000</wp:posOffset>
                </wp:positionH>
                <wp:positionV relativeFrom="paragraph">
                  <wp:posOffset>10172700</wp:posOffset>
                </wp:positionV>
                <wp:extent cx="2514600" cy="342900"/>
                <wp:effectExtent l="0" t="0" r="0" b="0"/>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11EF4" w14:textId="77777777" w:rsidR="00A163D8" w:rsidRDefault="00A163D8"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57F30" id="_x0000_t202" coordsize="21600,21600" o:spt="202" path="m,l,21600r21600,l21600,xe">
                <v:stroke joinstyle="miter"/>
                <v:path gradientshapeok="t" o:connecttype="rect"/>
              </v:shapetype>
              <v:shape id="Text Box 43" o:spid="_x0000_s1026" type="#_x0000_t202" style="position:absolute;margin-left:5in;margin-top:801pt;width:198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AztAIAALs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DkrxAztAIAALsFAAAO&#10;AAAAAAAAAAAAAAAAAC4CAABkcnMvZTJvRG9jLnhtbFBLAQItABQABgAIAAAAIQBYhRto3AAAAA4B&#10;AAAPAAAAAAAAAAAAAAAAAA4FAABkcnMvZG93bnJldi54bWxQSwUGAAAAAAQABADzAAAAFwYAAAAA&#10;" filled="f" stroked="f">
                <v:textbox>
                  <w:txbxContent>
                    <w:p w14:paraId="1E711EF4" w14:textId="77777777" w:rsidR="00A163D8" w:rsidRDefault="00A163D8" w:rsidP="00AC0C3B">
                      <w:pPr>
                        <w:jc w:val="right"/>
                      </w:pPr>
                      <w:r w:rsidRPr="000147AF">
                        <w:rPr>
                          <w:rFonts w:ascii="Arial" w:hAnsi="Arial" w:cs="Arial"/>
                          <w:color w:val="808080"/>
                          <w:sz w:val="22"/>
                          <w:szCs w:val="22"/>
                        </w:rPr>
                        <w:t>Department of Health</w:t>
                      </w:r>
                    </w:p>
                  </w:txbxContent>
                </v:textbox>
              </v:shape>
            </w:pict>
          </mc:Fallback>
        </mc:AlternateContent>
      </w:r>
      <w:r w:rsidR="003401D3">
        <w:tab/>
      </w:r>
    </w:p>
    <w:p w14:paraId="1DA94DAE" w14:textId="77777777" w:rsidR="003401D3" w:rsidRDefault="003401D3">
      <w:pPr>
        <w:rPr>
          <w:rFonts w:ascii="Arial" w:eastAsia="Times" w:hAnsi="Arial"/>
        </w:rPr>
      </w:pPr>
    </w:p>
    <w:p w14:paraId="0315DFD6" w14:textId="77777777" w:rsidR="003401D3" w:rsidRDefault="003401D3">
      <w:pPr>
        <w:rPr>
          <w:rFonts w:ascii="Arial" w:eastAsia="Times" w:hAnsi="Arial"/>
        </w:rPr>
      </w:pPr>
    </w:p>
    <w:p w14:paraId="7938BD20" w14:textId="77777777" w:rsidR="00AC0C3B" w:rsidRPr="003072C6" w:rsidRDefault="00AC0C3B" w:rsidP="003401D3">
      <w:pPr>
        <w:pStyle w:val="DHHSbodynospace"/>
        <w:tabs>
          <w:tab w:val="left" w:pos="734"/>
        </w:tabs>
      </w:pPr>
    </w:p>
    <w:tbl>
      <w:tblPr>
        <w:tblW w:w="0" w:type="auto"/>
        <w:tblInd w:w="1701" w:type="dxa"/>
        <w:tblCellMar>
          <w:left w:w="0" w:type="dxa"/>
          <w:right w:w="0" w:type="dxa"/>
        </w:tblCellMar>
        <w:tblLook w:val="04A0" w:firstRow="1" w:lastRow="0" w:firstColumn="1" w:lastColumn="0" w:noHBand="0" w:noVBand="1"/>
      </w:tblPr>
      <w:tblGrid>
        <w:gridCol w:w="7597"/>
      </w:tblGrid>
      <w:tr w:rsidR="00DE24E6" w:rsidRPr="003072C6" w14:paraId="06B159F3" w14:textId="77777777" w:rsidTr="00CA6D4E">
        <w:trPr>
          <w:trHeight w:val="7402"/>
        </w:trPr>
        <w:tc>
          <w:tcPr>
            <w:tcW w:w="9298" w:type="dxa"/>
            <w:shd w:val="clear" w:color="auto" w:fill="auto"/>
            <w:vAlign w:val="center"/>
          </w:tcPr>
          <w:p w14:paraId="10BC7129" w14:textId="77777777" w:rsidR="00F95649" w:rsidRDefault="00F95649" w:rsidP="00831C56">
            <w:pPr>
              <w:pStyle w:val="DHHSreportmaintitle"/>
              <w:rPr>
                <w:lang w:val="en-US"/>
              </w:rPr>
            </w:pPr>
          </w:p>
          <w:p w14:paraId="284DF81B" w14:textId="77777777" w:rsidR="00F95649" w:rsidRDefault="00F95649" w:rsidP="00831C56">
            <w:pPr>
              <w:pStyle w:val="DHHSreportmaintitle"/>
              <w:rPr>
                <w:lang w:val="en-US"/>
              </w:rPr>
            </w:pPr>
          </w:p>
          <w:p w14:paraId="5233DEDA" w14:textId="77777777" w:rsidR="00F95649" w:rsidRDefault="00F95649" w:rsidP="00831C56">
            <w:pPr>
              <w:pStyle w:val="DHHSreportmaintitle"/>
              <w:rPr>
                <w:lang w:val="en-US"/>
              </w:rPr>
            </w:pPr>
          </w:p>
          <w:p w14:paraId="2AF93022" w14:textId="77777777" w:rsidR="00F95649" w:rsidRDefault="00F95649" w:rsidP="00831C56">
            <w:pPr>
              <w:pStyle w:val="DHHSreportmaintitle"/>
              <w:rPr>
                <w:lang w:val="en-US"/>
              </w:rPr>
            </w:pPr>
          </w:p>
          <w:p w14:paraId="34B84126" w14:textId="77777777" w:rsidR="00F95649" w:rsidRDefault="00F95649" w:rsidP="00831C56">
            <w:pPr>
              <w:pStyle w:val="DHHSreportmaintitle"/>
              <w:rPr>
                <w:lang w:val="en-US"/>
              </w:rPr>
            </w:pPr>
          </w:p>
          <w:p w14:paraId="1BA81C82" w14:textId="77777777" w:rsidR="00F95649" w:rsidRDefault="00F95649" w:rsidP="00831C56">
            <w:pPr>
              <w:pStyle w:val="DHHSreportmaintitle"/>
              <w:rPr>
                <w:lang w:val="en-US"/>
              </w:rPr>
            </w:pPr>
          </w:p>
          <w:p w14:paraId="1B5A6891" w14:textId="77777777" w:rsidR="00F95649" w:rsidRDefault="00F95649" w:rsidP="00831C56">
            <w:pPr>
              <w:pStyle w:val="DHHSreportmaintitle"/>
              <w:rPr>
                <w:lang w:val="en-US"/>
              </w:rPr>
            </w:pPr>
          </w:p>
          <w:p w14:paraId="766A4522" w14:textId="77777777" w:rsidR="00F95649" w:rsidRDefault="00F95649" w:rsidP="00831C56">
            <w:pPr>
              <w:pStyle w:val="DHHSreportmaintitle"/>
              <w:rPr>
                <w:lang w:val="en-US"/>
              </w:rPr>
            </w:pPr>
          </w:p>
          <w:p w14:paraId="65EB2DF9" w14:textId="77777777" w:rsidR="00F95649" w:rsidRDefault="00F95649" w:rsidP="00831C56">
            <w:pPr>
              <w:pStyle w:val="DHHSreportmaintitle"/>
              <w:rPr>
                <w:lang w:val="en-US"/>
              </w:rPr>
            </w:pPr>
          </w:p>
          <w:p w14:paraId="0A4F96C8" w14:textId="77777777" w:rsidR="00F95649" w:rsidRDefault="00F95649" w:rsidP="00831C56">
            <w:pPr>
              <w:pStyle w:val="DHHSreportmaintitle"/>
              <w:rPr>
                <w:lang w:val="en-US"/>
              </w:rPr>
            </w:pPr>
          </w:p>
          <w:p w14:paraId="2A582AA8" w14:textId="77777777" w:rsidR="00F95649" w:rsidRDefault="00F95649" w:rsidP="00831C56">
            <w:pPr>
              <w:pStyle w:val="DHHSreportmaintitle"/>
              <w:rPr>
                <w:lang w:val="en-US"/>
              </w:rPr>
            </w:pPr>
          </w:p>
          <w:p w14:paraId="13694B1F" w14:textId="77777777" w:rsidR="00F95649" w:rsidRDefault="00F95649" w:rsidP="00831C56">
            <w:pPr>
              <w:pStyle w:val="DHHSreportmaintitle"/>
              <w:rPr>
                <w:lang w:val="en-US"/>
              </w:rPr>
            </w:pPr>
          </w:p>
          <w:p w14:paraId="4973A0CE" w14:textId="77777777" w:rsidR="00F95649" w:rsidRDefault="00F95649" w:rsidP="00831C56">
            <w:pPr>
              <w:pStyle w:val="DHHSreportmaintitle"/>
              <w:rPr>
                <w:lang w:val="en-US"/>
              </w:rPr>
            </w:pPr>
          </w:p>
          <w:p w14:paraId="73ECCFAE" w14:textId="77777777" w:rsidR="00F95649" w:rsidRDefault="00F95649" w:rsidP="00831C56">
            <w:pPr>
              <w:pStyle w:val="DHHSreportmaintitle"/>
              <w:rPr>
                <w:lang w:val="en-US"/>
              </w:rPr>
            </w:pPr>
          </w:p>
          <w:p w14:paraId="5EE84609" w14:textId="77777777" w:rsidR="00F95649" w:rsidRDefault="00F95649" w:rsidP="00831C56">
            <w:pPr>
              <w:pStyle w:val="DHHSreportmaintitle"/>
              <w:rPr>
                <w:lang w:val="en-US"/>
              </w:rPr>
            </w:pPr>
          </w:p>
          <w:p w14:paraId="0FD3C2FB" w14:textId="77777777" w:rsidR="00F95649" w:rsidRDefault="00F95649" w:rsidP="00831C56">
            <w:pPr>
              <w:pStyle w:val="DHHSreportmaintitle"/>
              <w:rPr>
                <w:lang w:val="en-US"/>
              </w:rPr>
            </w:pPr>
          </w:p>
          <w:p w14:paraId="49EBC663" w14:textId="77777777" w:rsidR="008732F2" w:rsidRDefault="008732F2" w:rsidP="00831C56">
            <w:pPr>
              <w:pStyle w:val="DHHSreportmaintitle"/>
              <w:rPr>
                <w:lang w:val="en-US"/>
              </w:rPr>
            </w:pPr>
            <w:r>
              <w:rPr>
                <w:lang w:val="en-US"/>
              </w:rPr>
              <w:t xml:space="preserve">Anaphylaxis notifications under the </w:t>
            </w:r>
            <w:r w:rsidRPr="00E04308">
              <w:rPr>
                <w:i/>
                <w:lang w:val="en-US"/>
              </w:rPr>
              <w:t>Public Health and Wellbeing Act 2008</w:t>
            </w:r>
          </w:p>
          <w:p w14:paraId="7526AE6F" w14:textId="51E36774" w:rsidR="00831C56" w:rsidRPr="00831C56" w:rsidRDefault="00831C56" w:rsidP="00831C56">
            <w:pPr>
              <w:pStyle w:val="DHHSreportmaintitle"/>
              <w:rPr>
                <w:lang w:val="en-US"/>
              </w:rPr>
            </w:pPr>
          </w:p>
          <w:p w14:paraId="67FEDCCC" w14:textId="77777777" w:rsidR="00F53CFD" w:rsidRPr="00636934" w:rsidRDefault="00F53CFD" w:rsidP="00636934">
            <w:pPr>
              <w:pStyle w:val="DHHSreportmaintitle"/>
            </w:pPr>
          </w:p>
          <w:p w14:paraId="37695D58" w14:textId="37C983A3" w:rsidR="008732F2" w:rsidRPr="00DB3A12" w:rsidRDefault="008732F2" w:rsidP="00831C56">
            <w:pPr>
              <w:pStyle w:val="DHHSreportsubtitle"/>
              <w:rPr>
                <w:i/>
              </w:rPr>
            </w:pPr>
            <w:r w:rsidRPr="00DB3A12">
              <w:rPr>
                <w:i/>
              </w:rPr>
              <w:t xml:space="preserve">A </w:t>
            </w:r>
            <w:r w:rsidR="00BF273F">
              <w:rPr>
                <w:i/>
              </w:rPr>
              <w:t>G</w:t>
            </w:r>
            <w:r w:rsidRPr="00DB3A12">
              <w:rPr>
                <w:i/>
              </w:rPr>
              <w:t>uide for Victorian hospitals</w:t>
            </w:r>
          </w:p>
          <w:p w14:paraId="602ECDA3" w14:textId="1C04AF13" w:rsidR="00831C56" w:rsidRPr="00831C56" w:rsidRDefault="00831C56" w:rsidP="00831C56">
            <w:pPr>
              <w:pStyle w:val="DHHSreportsubtitle"/>
              <w:rPr>
                <w:i/>
              </w:rPr>
            </w:pPr>
            <w:r w:rsidRPr="00831C56">
              <w:t xml:space="preserve"> </w:t>
            </w:r>
          </w:p>
          <w:p w14:paraId="7E93C9CB" w14:textId="77777777" w:rsidR="00BB47D7" w:rsidRPr="003072C6" w:rsidRDefault="00BB47D7" w:rsidP="00630937">
            <w:pPr>
              <w:pStyle w:val="DHHSreportsubtitle"/>
            </w:pPr>
          </w:p>
        </w:tc>
      </w:tr>
      <w:tr w:rsidR="009906C7" w:rsidRPr="003072C6" w14:paraId="5D65A63B" w14:textId="77777777" w:rsidTr="009906C7">
        <w:tc>
          <w:tcPr>
            <w:tcW w:w="9298" w:type="dxa"/>
            <w:shd w:val="clear" w:color="auto" w:fill="auto"/>
            <w:vAlign w:val="center"/>
          </w:tcPr>
          <w:p w14:paraId="5CD473A7" w14:textId="77777777" w:rsidR="009906C7" w:rsidRPr="003072C6" w:rsidRDefault="009906C7" w:rsidP="009906C7">
            <w:pPr>
              <w:pStyle w:val="DHHSbody"/>
            </w:pPr>
          </w:p>
        </w:tc>
      </w:tr>
    </w:tbl>
    <w:p w14:paraId="1FA71A19" w14:textId="77777777" w:rsidR="00CA6D4E" w:rsidRPr="003072C6" w:rsidRDefault="00CA6D4E" w:rsidP="00CA6D4E">
      <w:pPr>
        <w:pStyle w:val="DHHSbodynospace"/>
      </w:pPr>
    </w:p>
    <w:p w14:paraId="68A103CD" w14:textId="77777777" w:rsidR="00AC0C3B" w:rsidRPr="003072C6" w:rsidRDefault="00C81BA6" w:rsidP="00CA6D4E">
      <w:pPr>
        <w:pStyle w:val="DHHSbodynospace"/>
      </w:pPr>
      <w:r w:rsidRPr="003072C6">
        <w:br w:type="page"/>
      </w:r>
    </w:p>
    <w:p w14:paraId="4A51F444" w14:textId="77777777" w:rsidR="00E05923" w:rsidRDefault="00E05923" w:rsidP="00B13241">
      <w:pPr>
        <w:pStyle w:val="DHHSTOCheadingreport"/>
      </w:pPr>
    </w:p>
    <w:p w14:paraId="48C5F625" w14:textId="77777777" w:rsidR="00E05923" w:rsidRDefault="00E05923" w:rsidP="00B13241">
      <w:pPr>
        <w:pStyle w:val="DHHSTOCheadingreport"/>
      </w:pPr>
    </w:p>
    <w:p w14:paraId="022657EF" w14:textId="77777777" w:rsidR="00E05923" w:rsidRDefault="00E05923" w:rsidP="00B13241">
      <w:pPr>
        <w:pStyle w:val="DHHSTOCheadingreport"/>
      </w:pPr>
    </w:p>
    <w:p w14:paraId="14A035EE" w14:textId="77777777" w:rsidR="00E05923" w:rsidRDefault="00E05923" w:rsidP="00B13241">
      <w:pPr>
        <w:pStyle w:val="DHHSTOCheadingreport"/>
      </w:pPr>
    </w:p>
    <w:p w14:paraId="1DFA9CD5" w14:textId="77777777" w:rsidR="00E05923" w:rsidRDefault="00E05923" w:rsidP="00E05923">
      <w:pPr>
        <w:spacing w:after="200" w:line="300" w:lineRule="atLeast"/>
        <w:rPr>
          <w:rFonts w:ascii="Arial" w:eastAsia="Times" w:hAnsi="Arial"/>
          <w:sz w:val="24"/>
          <w:szCs w:val="19"/>
        </w:rPr>
      </w:pPr>
    </w:p>
    <w:p w14:paraId="114271A2" w14:textId="77777777" w:rsidR="00E05923" w:rsidRDefault="00E05923" w:rsidP="00E05923">
      <w:pPr>
        <w:spacing w:after="200" w:line="300" w:lineRule="atLeast"/>
        <w:rPr>
          <w:rFonts w:ascii="Arial" w:eastAsia="Times" w:hAnsi="Arial"/>
          <w:sz w:val="24"/>
          <w:szCs w:val="19"/>
        </w:rPr>
      </w:pPr>
    </w:p>
    <w:p w14:paraId="5EF6CAC8" w14:textId="77777777" w:rsidR="00E05923" w:rsidRDefault="00E05923" w:rsidP="00E05923">
      <w:pPr>
        <w:spacing w:after="200" w:line="300" w:lineRule="atLeast"/>
        <w:rPr>
          <w:rFonts w:ascii="Arial" w:eastAsia="Times" w:hAnsi="Arial"/>
          <w:sz w:val="24"/>
          <w:szCs w:val="19"/>
        </w:rPr>
      </w:pPr>
    </w:p>
    <w:p w14:paraId="4DC95D6C" w14:textId="77777777" w:rsidR="00E05923" w:rsidRDefault="00E05923" w:rsidP="00E05923">
      <w:pPr>
        <w:spacing w:after="200" w:line="300" w:lineRule="atLeast"/>
        <w:rPr>
          <w:rFonts w:ascii="Arial" w:eastAsia="Times" w:hAnsi="Arial"/>
          <w:sz w:val="24"/>
          <w:szCs w:val="19"/>
        </w:rPr>
      </w:pPr>
    </w:p>
    <w:p w14:paraId="61C96AB0" w14:textId="77777777" w:rsidR="00E05923" w:rsidRDefault="00E05923" w:rsidP="00E05923">
      <w:pPr>
        <w:spacing w:after="200" w:line="300" w:lineRule="atLeast"/>
        <w:rPr>
          <w:rFonts w:ascii="Arial" w:eastAsia="Times" w:hAnsi="Arial"/>
          <w:sz w:val="24"/>
          <w:szCs w:val="19"/>
        </w:rPr>
      </w:pPr>
    </w:p>
    <w:p w14:paraId="5D549B4C" w14:textId="77777777" w:rsidR="00E05923" w:rsidRDefault="00E05923" w:rsidP="00E05923">
      <w:pPr>
        <w:spacing w:after="200" w:line="300" w:lineRule="atLeast"/>
        <w:rPr>
          <w:rFonts w:ascii="Arial" w:eastAsia="Times" w:hAnsi="Arial"/>
          <w:sz w:val="24"/>
          <w:szCs w:val="19"/>
        </w:rPr>
      </w:pPr>
    </w:p>
    <w:p w14:paraId="70BCB397" w14:textId="77777777" w:rsidR="00E05923" w:rsidRDefault="00E05923" w:rsidP="00E05923">
      <w:pPr>
        <w:spacing w:after="200" w:line="300" w:lineRule="atLeast"/>
        <w:rPr>
          <w:rFonts w:ascii="Arial" w:eastAsia="Times" w:hAnsi="Arial"/>
          <w:sz w:val="24"/>
          <w:szCs w:val="19"/>
        </w:rPr>
      </w:pPr>
    </w:p>
    <w:p w14:paraId="2141C444" w14:textId="77777777" w:rsidR="00E05923" w:rsidRDefault="00E05923" w:rsidP="00E05923">
      <w:pPr>
        <w:spacing w:after="200" w:line="300" w:lineRule="atLeast"/>
        <w:rPr>
          <w:rFonts w:ascii="Arial" w:eastAsia="Times" w:hAnsi="Arial"/>
          <w:sz w:val="24"/>
          <w:szCs w:val="19"/>
        </w:rPr>
      </w:pPr>
    </w:p>
    <w:p w14:paraId="6705FDAF" w14:textId="7BB0C0DD" w:rsidR="00E05923" w:rsidRDefault="00E05923" w:rsidP="00E05923">
      <w:pPr>
        <w:spacing w:after="200" w:line="300" w:lineRule="atLeast"/>
        <w:rPr>
          <w:rFonts w:ascii="Arial" w:eastAsia="Times" w:hAnsi="Arial"/>
          <w:sz w:val="24"/>
          <w:szCs w:val="19"/>
        </w:rPr>
      </w:pPr>
    </w:p>
    <w:p w14:paraId="46E3C9BB" w14:textId="2BBEF70F" w:rsidR="00E05923" w:rsidRDefault="00E05923" w:rsidP="00E05923">
      <w:pPr>
        <w:spacing w:after="200" w:line="300" w:lineRule="atLeast"/>
        <w:rPr>
          <w:rFonts w:ascii="Arial" w:eastAsia="Times" w:hAnsi="Arial"/>
          <w:sz w:val="24"/>
          <w:szCs w:val="19"/>
        </w:rPr>
      </w:pPr>
    </w:p>
    <w:p w14:paraId="5818B20B" w14:textId="467347A8" w:rsidR="00E05923" w:rsidRDefault="00E05923" w:rsidP="00E05923">
      <w:pPr>
        <w:spacing w:after="200" w:line="300" w:lineRule="atLeast"/>
        <w:rPr>
          <w:rFonts w:ascii="Arial" w:eastAsia="Times" w:hAnsi="Arial"/>
          <w:sz w:val="24"/>
          <w:szCs w:val="19"/>
        </w:rPr>
      </w:pPr>
    </w:p>
    <w:p w14:paraId="4F90D4F1" w14:textId="02460463" w:rsidR="00E05923" w:rsidRDefault="00E05923" w:rsidP="00E05923">
      <w:pPr>
        <w:spacing w:after="200" w:line="300" w:lineRule="atLeast"/>
        <w:rPr>
          <w:rFonts w:ascii="Arial" w:eastAsia="Times" w:hAnsi="Arial"/>
          <w:sz w:val="24"/>
          <w:szCs w:val="19"/>
        </w:rPr>
      </w:pPr>
    </w:p>
    <w:p w14:paraId="5322ED7B" w14:textId="7DFD6545" w:rsidR="00E05923" w:rsidRDefault="00E05923" w:rsidP="00E05923">
      <w:pPr>
        <w:spacing w:after="200" w:line="300" w:lineRule="atLeast"/>
        <w:rPr>
          <w:rFonts w:ascii="Arial" w:eastAsia="Times" w:hAnsi="Arial"/>
          <w:sz w:val="24"/>
          <w:szCs w:val="19"/>
        </w:rPr>
      </w:pPr>
    </w:p>
    <w:p w14:paraId="4D1E59BC" w14:textId="77777777" w:rsidR="00E05923" w:rsidRDefault="00E05923" w:rsidP="00E05923">
      <w:pPr>
        <w:spacing w:after="200" w:line="300" w:lineRule="atLeast"/>
        <w:rPr>
          <w:rFonts w:ascii="Arial" w:eastAsia="Times" w:hAnsi="Arial"/>
          <w:sz w:val="24"/>
          <w:szCs w:val="19"/>
        </w:rPr>
      </w:pPr>
    </w:p>
    <w:p w14:paraId="40F1EB28" w14:textId="28FC3622" w:rsidR="00E05923" w:rsidRPr="00D74E65" w:rsidRDefault="00E05923" w:rsidP="00E05923">
      <w:pPr>
        <w:spacing w:after="200" w:line="300" w:lineRule="atLeast"/>
        <w:rPr>
          <w:rFonts w:ascii="Arial" w:eastAsia="Times" w:hAnsi="Arial"/>
          <w:sz w:val="22"/>
          <w:szCs w:val="19"/>
        </w:rPr>
      </w:pPr>
      <w:r w:rsidRPr="00D74E65">
        <w:rPr>
          <w:rFonts w:ascii="Arial" w:eastAsia="Times" w:hAnsi="Arial"/>
          <w:sz w:val="22"/>
          <w:szCs w:val="19"/>
        </w:rPr>
        <w:t xml:space="preserve">To receive this publication in an accessible format phone 1300 364 352, using the National Relay Service 13 36 77 if required, or email </w:t>
      </w:r>
      <w:hyperlink r:id="rId10" w:history="1">
        <w:r w:rsidRPr="00D74E65">
          <w:rPr>
            <w:rStyle w:val="Hyperlink"/>
            <w:rFonts w:ascii="Arial" w:eastAsia="Times" w:hAnsi="Arial"/>
            <w:sz w:val="22"/>
            <w:szCs w:val="19"/>
          </w:rPr>
          <w:t>Food Safety Unit</w:t>
        </w:r>
      </w:hyperlink>
      <w:r w:rsidRPr="00D74E65">
        <w:rPr>
          <w:rFonts w:ascii="Arial" w:eastAsia="Times" w:hAnsi="Arial"/>
          <w:sz w:val="22"/>
          <w:szCs w:val="19"/>
        </w:rPr>
        <w:t xml:space="preserve"> </w:t>
      </w:r>
      <w:r w:rsidR="001B79E6">
        <w:rPr>
          <w:rFonts w:ascii="Arial" w:eastAsia="Times" w:hAnsi="Arial"/>
          <w:sz w:val="22"/>
          <w:szCs w:val="19"/>
        </w:rPr>
        <w:t>&lt;</w:t>
      </w:r>
      <w:r w:rsidRPr="00D74E65">
        <w:rPr>
          <w:rFonts w:ascii="Arial" w:eastAsia="Times" w:hAnsi="Arial"/>
          <w:sz w:val="22"/>
          <w:szCs w:val="19"/>
        </w:rPr>
        <w:t>foodsafety@dhhs.vic.gov.au</w:t>
      </w:r>
      <w:r w:rsidR="001B79E6">
        <w:rPr>
          <w:rFonts w:ascii="Arial" w:eastAsia="Times" w:hAnsi="Arial"/>
          <w:sz w:val="22"/>
          <w:szCs w:val="19"/>
        </w:rPr>
        <w:t>&gt;</w:t>
      </w:r>
      <w:bookmarkStart w:id="0" w:name="_GoBack"/>
      <w:bookmarkEnd w:id="0"/>
    </w:p>
    <w:p w14:paraId="1BD73546" w14:textId="77777777" w:rsidR="00E05923" w:rsidRPr="00605B5B" w:rsidRDefault="00E05923" w:rsidP="00E05923">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14:paraId="2A238CCE" w14:textId="39EE07DF" w:rsidR="00E05923" w:rsidRPr="00605B5B" w:rsidRDefault="00E05923" w:rsidP="00E05923">
      <w:pPr>
        <w:spacing w:after="120" w:line="270" w:lineRule="atLeast"/>
        <w:rPr>
          <w:rFonts w:ascii="Arial" w:eastAsia="Times" w:hAnsi="Arial"/>
        </w:rPr>
      </w:pPr>
      <w:r w:rsidRPr="00605B5B">
        <w:rPr>
          <w:rFonts w:ascii="Arial" w:eastAsia="Times" w:hAnsi="Arial"/>
        </w:rPr>
        <w:t xml:space="preserve">© State of Victoria, Department of Health </w:t>
      </w:r>
      <w:r>
        <w:rPr>
          <w:rFonts w:ascii="Arial" w:eastAsia="Times" w:hAnsi="Arial"/>
        </w:rPr>
        <w:t>and</w:t>
      </w:r>
      <w:r w:rsidRPr="00605B5B">
        <w:rPr>
          <w:rFonts w:ascii="Arial" w:eastAsia="Times" w:hAnsi="Arial"/>
        </w:rPr>
        <w:t xml:space="preserve"> Human Services</w:t>
      </w:r>
      <w:r w:rsidRPr="00605B5B">
        <w:rPr>
          <w:rFonts w:ascii="Arial" w:eastAsia="Times" w:hAnsi="Arial"/>
          <w:color w:val="008950"/>
        </w:rPr>
        <w:t xml:space="preserve"> </w:t>
      </w:r>
      <w:r w:rsidRPr="00D74E65">
        <w:rPr>
          <w:rFonts w:ascii="Arial" w:eastAsia="Times" w:hAnsi="Arial"/>
        </w:rPr>
        <w:t>July 2019</w:t>
      </w:r>
      <w:r w:rsidRPr="00605B5B">
        <w:rPr>
          <w:rFonts w:ascii="Arial" w:eastAsia="Times" w:hAnsi="Arial"/>
        </w:rPr>
        <w:t>.</w:t>
      </w:r>
    </w:p>
    <w:p w14:paraId="3C182DED" w14:textId="0494363F" w:rsidR="00E05923" w:rsidRPr="00605B5B" w:rsidRDefault="00E05923" w:rsidP="00E05923">
      <w:pPr>
        <w:spacing w:after="120" w:line="270" w:lineRule="atLeast"/>
        <w:rPr>
          <w:rFonts w:ascii="Arial" w:eastAsia="Times" w:hAnsi="Arial"/>
        </w:rPr>
      </w:pPr>
      <w:r>
        <w:rPr>
          <w:rFonts w:ascii="Arial" w:hAnsi="Arial" w:cs="Arial"/>
          <w:b/>
          <w:bCs/>
          <w:color w:val="000000"/>
        </w:rPr>
        <w:t xml:space="preserve">ISBN </w:t>
      </w:r>
      <w:r>
        <w:rPr>
          <w:rFonts w:ascii="Arial" w:hAnsi="Arial" w:cs="Arial"/>
          <w:color w:val="000000"/>
        </w:rPr>
        <w:t>978-1-76069-212-4</w:t>
      </w:r>
    </w:p>
    <w:p w14:paraId="06A6AA94" w14:textId="13E24ACC" w:rsidR="00E05923" w:rsidRDefault="00E05923" w:rsidP="00E05923">
      <w:pPr>
        <w:spacing w:after="120" w:line="270" w:lineRule="atLeast"/>
        <w:rPr>
          <w:rFonts w:ascii="Arial" w:eastAsia="Times" w:hAnsi="Arial"/>
          <w:szCs w:val="19"/>
        </w:rPr>
      </w:pPr>
      <w:r w:rsidRPr="00605B5B">
        <w:rPr>
          <w:rFonts w:ascii="Arial" w:eastAsia="Times" w:hAnsi="Arial"/>
          <w:szCs w:val="19"/>
        </w:rPr>
        <w:t xml:space="preserve">Available at </w:t>
      </w:r>
      <w:hyperlink r:id="rId11" w:history="1">
        <w:r>
          <w:rPr>
            <w:rStyle w:val="Hyperlink"/>
            <w:rFonts w:ascii="Arial" w:eastAsia="Times" w:hAnsi="Arial"/>
            <w:szCs w:val="19"/>
          </w:rPr>
          <w:t>Hospital Guide Anaphylaxis Notifications</w:t>
        </w:r>
      </w:hyperlink>
      <w:r>
        <w:rPr>
          <w:rFonts w:ascii="Arial" w:eastAsia="Times" w:hAnsi="Arial"/>
          <w:szCs w:val="19"/>
        </w:rPr>
        <w:t xml:space="preserve"> &lt;</w:t>
      </w:r>
      <w:r w:rsidRPr="00E05923">
        <w:rPr>
          <w:rFonts w:ascii="Arial" w:eastAsia="Times" w:hAnsi="Arial"/>
          <w:szCs w:val="19"/>
        </w:rPr>
        <w:t>https://www2.health.vic.gov.au/about/publications/policiesandguidelines/anaphylaxis-notifications-guidance</w:t>
      </w:r>
      <w:r>
        <w:rPr>
          <w:rFonts w:ascii="Arial" w:eastAsia="Times" w:hAnsi="Arial"/>
          <w:szCs w:val="19"/>
        </w:rPr>
        <w:t>&gt;</w:t>
      </w:r>
    </w:p>
    <w:p w14:paraId="4B3F7631" w14:textId="77777777" w:rsidR="00E05923" w:rsidRPr="00605B5B" w:rsidRDefault="00E05923" w:rsidP="00E05923">
      <w:pPr>
        <w:spacing w:after="120" w:line="270" w:lineRule="atLeast"/>
        <w:rPr>
          <w:rFonts w:ascii="Arial" w:eastAsia="Times" w:hAnsi="Arial"/>
          <w:szCs w:val="19"/>
        </w:rPr>
      </w:pPr>
    </w:p>
    <w:p w14:paraId="090D0EF3" w14:textId="79C7AE5B" w:rsidR="00AC0C3B" w:rsidRPr="00636934" w:rsidRDefault="00AC1705" w:rsidP="00B13241">
      <w:pPr>
        <w:pStyle w:val="DHHSTOCheadingreport"/>
      </w:pPr>
      <w:r>
        <w:lastRenderedPageBreak/>
        <w:t>C</w:t>
      </w:r>
      <w:r w:rsidR="00AC0C3B" w:rsidRPr="00636934">
        <w:t>ontents</w:t>
      </w:r>
    </w:p>
    <w:p w14:paraId="11F72CAA" w14:textId="7EED71AE" w:rsidR="00D74BA4"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11941602" w:history="1">
        <w:r w:rsidR="00D74BA4" w:rsidRPr="000340FE">
          <w:rPr>
            <w:rStyle w:val="Hyperlink"/>
          </w:rPr>
          <w:t>Purpose of document</w:t>
        </w:r>
        <w:r w:rsidR="00D74BA4">
          <w:rPr>
            <w:webHidden/>
          </w:rPr>
          <w:tab/>
        </w:r>
        <w:r w:rsidR="00D74BA4">
          <w:rPr>
            <w:webHidden/>
          </w:rPr>
          <w:fldChar w:fldCharType="begin"/>
        </w:r>
        <w:r w:rsidR="00D74BA4">
          <w:rPr>
            <w:webHidden/>
          </w:rPr>
          <w:instrText xml:space="preserve"> PAGEREF _Toc11941602 \h </w:instrText>
        </w:r>
        <w:r w:rsidR="00D74BA4">
          <w:rPr>
            <w:webHidden/>
          </w:rPr>
        </w:r>
        <w:r w:rsidR="00D74BA4">
          <w:rPr>
            <w:webHidden/>
          </w:rPr>
          <w:fldChar w:fldCharType="separate"/>
        </w:r>
        <w:r w:rsidR="00D74BA4">
          <w:rPr>
            <w:webHidden/>
          </w:rPr>
          <w:t>5</w:t>
        </w:r>
        <w:r w:rsidR="00D74BA4">
          <w:rPr>
            <w:webHidden/>
          </w:rPr>
          <w:fldChar w:fldCharType="end"/>
        </w:r>
      </w:hyperlink>
    </w:p>
    <w:p w14:paraId="52792D81" w14:textId="33569E2A" w:rsidR="00D74BA4" w:rsidRDefault="00A163D8">
      <w:pPr>
        <w:pStyle w:val="TOC1"/>
        <w:rPr>
          <w:rFonts w:asciiTheme="minorHAnsi" w:eastAsiaTheme="minorEastAsia" w:hAnsiTheme="minorHAnsi" w:cstheme="minorBidi"/>
          <w:b w:val="0"/>
          <w:sz w:val="22"/>
          <w:szCs w:val="22"/>
          <w:lang w:eastAsia="en-AU"/>
        </w:rPr>
      </w:pPr>
      <w:hyperlink w:anchor="_Toc11941603" w:history="1">
        <w:r w:rsidR="00D74BA4" w:rsidRPr="000340FE">
          <w:rPr>
            <w:rStyle w:val="Hyperlink"/>
          </w:rPr>
          <w:t>Background</w:t>
        </w:r>
        <w:r w:rsidR="00D74BA4">
          <w:rPr>
            <w:webHidden/>
          </w:rPr>
          <w:tab/>
        </w:r>
        <w:r w:rsidR="00D74BA4">
          <w:rPr>
            <w:webHidden/>
          </w:rPr>
          <w:fldChar w:fldCharType="begin"/>
        </w:r>
        <w:r w:rsidR="00D74BA4">
          <w:rPr>
            <w:webHidden/>
          </w:rPr>
          <w:instrText xml:space="preserve"> PAGEREF _Toc11941603 \h </w:instrText>
        </w:r>
        <w:r w:rsidR="00D74BA4">
          <w:rPr>
            <w:webHidden/>
          </w:rPr>
        </w:r>
        <w:r w:rsidR="00D74BA4">
          <w:rPr>
            <w:webHidden/>
          </w:rPr>
          <w:fldChar w:fldCharType="separate"/>
        </w:r>
        <w:r w:rsidR="00D74BA4">
          <w:rPr>
            <w:webHidden/>
          </w:rPr>
          <w:t>5</w:t>
        </w:r>
        <w:r w:rsidR="00D74BA4">
          <w:rPr>
            <w:webHidden/>
          </w:rPr>
          <w:fldChar w:fldCharType="end"/>
        </w:r>
      </w:hyperlink>
    </w:p>
    <w:p w14:paraId="0DD38D1A" w14:textId="0AFF7BB8" w:rsidR="00D74BA4" w:rsidRDefault="00A163D8">
      <w:pPr>
        <w:pStyle w:val="TOC1"/>
        <w:rPr>
          <w:rFonts w:asciiTheme="minorHAnsi" w:eastAsiaTheme="minorEastAsia" w:hAnsiTheme="minorHAnsi" w:cstheme="minorBidi"/>
          <w:b w:val="0"/>
          <w:sz w:val="22"/>
          <w:szCs w:val="22"/>
          <w:lang w:eastAsia="en-AU"/>
        </w:rPr>
      </w:pPr>
      <w:hyperlink w:anchor="_Toc11941604" w:history="1">
        <w:r w:rsidR="00D74BA4" w:rsidRPr="000340FE">
          <w:rPr>
            <w:rStyle w:val="Hyperlink"/>
          </w:rPr>
          <w:t>Purpose of notifying anaphylaxis presentations</w:t>
        </w:r>
        <w:r w:rsidR="00D74BA4">
          <w:rPr>
            <w:webHidden/>
          </w:rPr>
          <w:tab/>
        </w:r>
        <w:r w:rsidR="00D74BA4">
          <w:rPr>
            <w:webHidden/>
          </w:rPr>
          <w:fldChar w:fldCharType="begin"/>
        </w:r>
        <w:r w:rsidR="00D74BA4">
          <w:rPr>
            <w:webHidden/>
          </w:rPr>
          <w:instrText xml:space="preserve"> PAGEREF _Toc11941604 \h </w:instrText>
        </w:r>
        <w:r w:rsidR="00D74BA4">
          <w:rPr>
            <w:webHidden/>
          </w:rPr>
        </w:r>
        <w:r w:rsidR="00D74BA4">
          <w:rPr>
            <w:webHidden/>
          </w:rPr>
          <w:fldChar w:fldCharType="separate"/>
        </w:r>
        <w:r w:rsidR="00D74BA4">
          <w:rPr>
            <w:webHidden/>
          </w:rPr>
          <w:t>6</w:t>
        </w:r>
        <w:r w:rsidR="00D74BA4">
          <w:rPr>
            <w:webHidden/>
          </w:rPr>
          <w:fldChar w:fldCharType="end"/>
        </w:r>
      </w:hyperlink>
    </w:p>
    <w:p w14:paraId="07D8CCC1" w14:textId="19A150F0" w:rsidR="00D74BA4" w:rsidRDefault="00A163D8">
      <w:pPr>
        <w:pStyle w:val="TOC1"/>
        <w:rPr>
          <w:rFonts w:asciiTheme="minorHAnsi" w:eastAsiaTheme="minorEastAsia" w:hAnsiTheme="minorHAnsi" w:cstheme="minorBidi"/>
          <w:b w:val="0"/>
          <w:sz w:val="22"/>
          <w:szCs w:val="22"/>
          <w:lang w:eastAsia="en-AU"/>
        </w:rPr>
      </w:pPr>
      <w:hyperlink w:anchor="_Toc11941605" w:history="1">
        <w:r w:rsidR="00D74BA4" w:rsidRPr="000340FE">
          <w:rPr>
            <w:rStyle w:val="Hyperlink"/>
          </w:rPr>
          <w:t>Understanding the Act: your requirement to notify</w:t>
        </w:r>
        <w:r w:rsidR="00D74BA4">
          <w:rPr>
            <w:webHidden/>
          </w:rPr>
          <w:tab/>
        </w:r>
        <w:r w:rsidR="00D74BA4">
          <w:rPr>
            <w:webHidden/>
          </w:rPr>
          <w:fldChar w:fldCharType="begin"/>
        </w:r>
        <w:r w:rsidR="00D74BA4">
          <w:rPr>
            <w:webHidden/>
          </w:rPr>
          <w:instrText xml:space="preserve"> PAGEREF _Toc11941605 \h </w:instrText>
        </w:r>
        <w:r w:rsidR="00D74BA4">
          <w:rPr>
            <w:webHidden/>
          </w:rPr>
        </w:r>
        <w:r w:rsidR="00D74BA4">
          <w:rPr>
            <w:webHidden/>
          </w:rPr>
          <w:fldChar w:fldCharType="separate"/>
        </w:r>
        <w:r w:rsidR="00D74BA4">
          <w:rPr>
            <w:webHidden/>
          </w:rPr>
          <w:t>6</w:t>
        </w:r>
        <w:r w:rsidR="00D74BA4">
          <w:rPr>
            <w:webHidden/>
          </w:rPr>
          <w:fldChar w:fldCharType="end"/>
        </w:r>
      </w:hyperlink>
    </w:p>
    <w:p w14:paraId="2333C555" w14:textId="767DB805" w:rsidR="00D74BA4" w:rsidRDefault="00A163D8">
      <w:pPr>
        <w:pStyle w:val="TOC1"/>
        <w:rPr>
          <w:rFonts w:asciiTheme="minorHAnsi" w:eastAsiaTheme="minorEastAsia" w:hAnsiTheme="minorHAnsi" w:cstheme="minorBidi"/>
          <w:b w:val="0"/>
          <w:sz w:val="22"/>
          <w:szCs w:val="22"/>
          <w:lang w:eastAsia="en-AU"/>
        </w:rPr>
      </w:pPr>
      <w:hyperlink w:anchor="_Toc11941606" w:history="1">
        <w:r w:rsidR="00D74BA4" w:rsidRPr="000340FE">
          <w:rPr>
            <w:rStyle w:val="Hyperlink"/>
          </w:rPr>
          <w:t>What to notify under the scheme?</w:t>
        </w:r>
        <w:r w:rsidR="00D74BA4">
          <w:rPr>
            <w:webHidden/>
          </w:rPr>
          <w:tab/>
        </w:r>
        <w:r w:rsidR="00D74BA4">
          <w:rPr>
            <w:webHidden/>
          </w:rPr>
          <w:fldChar w:fldCharType="begin"/>
        </w:r>
        <w:r w:rsidR="00D74BA4">
          <w:rPr>
            <w:webHidden/>
          </w:rPr>
          <w:instrText xml:space="preserve"> PAGEREF _Toc11941606 \h </w:instrText>
        </w:r>
        <w:r w:rsidR="00D74BA4">
          <w:rPr>
            <w:webHidden/>
          </w:rPr>
        </w:r>
        <w:r w:rsidR="00D74BA4">
          <w:rPr>
            <w:webHidden/>
          </w:rPr>
          <w:fldChar w:fldCharType="separate"/>
        </w:r>
        <w:r w:rsidR="00D74BA4">
          <w:rPr>
            <w:webHidden/>
          </w:rPr>
          <w:t>7</w:t>
        </w:r>
        <w:r w:rsidR="00D74BA4">
          <w:rPr>
            <w:webHidden/>
          </w:rPr>
          <w:fldChar w:fldCharType="end"/>
        </w:r>
      </w:hyperlink>
    </w:p>
    <w:p w14:paraId="142610B8" w14:textId="484BB504" w:rsidR="00D74BA4" w:rsidRDefault="00A163D8">
      <w:pPr>
        <w:pStyle w:val="TOC2"/>
        <w:rPr>
          <w:rFonts w:asciiTheme="minorHAnsi" w:eastAsiaTheme="minorEastAsia" w:hAnsiTheme="minorHAnsi" w:cstheme="minorBidi"/>
          <w:sz w:val="22"/>
          <w:szCs w:val="22"/>
          <w:lang w:eastAsia="en-AU"/>
        </w:rPr>
      </w:pPr>
      <w:hyperlink w:anchor="_Toc11941607" w:history="1">
        <w:r w:rsidR="00D74BA4" w:rsidRPr="000340FE">
          <w:rPr>
            <w:rStyle w:val="Hyperlink"/>
          </w:rPr>
          <w:t>What does not need to be notified under the scheme?</w:t>
        </w:r>
        <w:r w:rsidR="00D74BA4">
          <w:rPr>
            <w:webHidden/>
          </w:rPr>
          <w:tab/>
        </w:r>
        <w:r w:rsidR="00D74BA4">
          <w:rPr>
            <w:webHidden/>
          </w:rPr>
          <w:fldChar w:fldCharType="begin"/>
        </w:r>
        <w:r w:rsidR="00D74BA4">
          <w:rPr>
            <w:webHidden/>
          </w:rPr>
          <w:instrText xml:space="preserve"> PAGEREF _Toc11941607 \h </w:instrText>
        </w:r>
        <w:r w:rsidR="00D74BA4">
          <w:rPr>
            <w:webHidden/>
          </w:rPr>
        </w:r>
        <w:r w:rsidR="00D74BA4">
          <w:rPr>
            <w:webHidden/>
          </w:rPr>
          <w:fldChar w:fldCharType="separate"/>
        </w:r>
        <w:r w:rsidR="00D74BA4">
          <w:rPr>
            <w:webHidden/>
          </w:rPr>
          <w:t>8</w:t>
        </w:r>
        <w:r w:rsidR="00D74BA4">
          <w:rPr>
            <w:webHidden/>
          </w:rPr>
          <w:fldChar w:fldCharType="end"/>
        </w:r>
      </w:hyperlink>
    </w:p>
    <w:p w14:paraId="135C1739" w14:textId="3CA77F54" w:rsidR="00D74BA4" w:rsidRDefault="00A163D8">
      <w:pPr>
        <w:pStyle w:val="TOC1"/>
        <w:rPr>
          <w:rFonts w:asciiTheme="minorHAnsi" w:eastAsiaTheme="minorEastAsia" w:hAnsiTheme="minorHAnsi" w:cstheme="minorBidi"/>
          <w:b w:val="0"/>
          <w:sz w:val="22"/>
          <w:szCs w:val="22"/>
          <w:lang w:eastAsia="en-AU"/>
        </w:rPr>
      </w:pPr>
      <w:hyperlink w:anchor="_Toc11941608" w:history="1">
        <w:r w:rsidR="00D74BA4" w:rsidRPr="000340FE">
          <w:rPr>
            <w:rStyle w:val="Hyperlink"/>
          </w:rPr>
          <w:t>Understanding the regulations</w:t>
        </w:r>
        <w:r w:rsidR="00D74BA4">
          <w:rPr>
            <w:webHidden/>
          </w:rPr>
          <w:tab/>
        </w:r>
        <w:r w:rsidR="00D74BA4">
          <w:rPr>
            <w:webHidden/>
          </w:rPr>
          <w:fldChar w:fldCharType="begin"/>
        </w:r>
        <w:r w:rsidR="00D74BA4">
          <w:rPr>
            <w:webHidden/>
          </w:rPr>
          <w:instrText xml:space="preserve"> PAGEREF _Toc11941608 \h </w:instrText>
        </w:r>
        <w:r w:rsidR="00D74BA4">
          <w:rPr>
            <w:webHidden/>
          </w:rPr>
        </w:r>
        <w:r w:rsidR="00D74BA4">
          <w:rPr>
            <w:webHidden/>
          </w:rPr>
          <w:fldChar w:fldCharType="separate"/>
        </w:r>
        <w:r w:rsidR="00D74BA4">
          <w:rPr>
            <w:webHidden/>
          </w:rPr>
          <w:t>9</w:t>
        </w:r>
        <w:r w:rsidR="00D74BA4">
          <w:rPr>
            <w:webHidden/>
          </w:rPr>
          <w:fldChar w:fldCharType="end"/>
        </w:r>
      </w:hyperlink>
    </w:p>
    <w:p w14:paraId="4EF397E9" w14:textId="12A3662E" w:rsidR="00D74BA4" w:rsidRDefault="00A163D8">
      <w:pPr>
        <w:pStyle w:val="TOC2"/>
        <w:rPr>
          <w:rFonts w:asciiTheme="minorHAnsi" w:eastAsiaTheme="minorEastAsia" w:hAnsiTheme="minorHAnsi" w:cstheme="minorBidi"/>
          <w:sz w:val="22"/>
          <w:szCs w:val="22"/>
          <w:lang w:eastAsia="en-AU"/>
        </w:rPr>
      </w:pPr>
      <w:hyperlink w:anchor="_Toc11941609" w:history="1">
        <w:r w:rsidR="00D74BA4" w:rsidRPr="000340FE">
          <w:rPr>
            <w:rStyle w:val="Hyperlink"/>
          </w:rPr>
          <w:t>When to notify</w:t>
        </w:r>
        <w:r w:rsidR="00D74BA4">
          <w:rPr>
            <w:webHidden/>
          </w:rPr>
          <w:tab/>
        </w:r>
        <w:r w:rsidR="00D74BA4">
          <w:rPr>
            <w:webHidden/>
          </w:rPr>
          <w:fldChar w:fldCharType="begin"/>
        </w:r>
        <w:r w:rsidR="00D74BA4">
          <w:rPr>
            <w:webHidden/>
          </w:rPr>
          <w:instrText xml:space="preserve"> PAGEREF _Toc11941609 \h </w:instrText>
        </w:r>
        <w:r w:rsidR="00D74BA4">
          <w:rPr>
            <w:webHidden/>
          </w:rPr>
        </w:r>
        <w:r w:rsidR="00D74BA4">
          <w:rPr>
            <w:webHidden/>
          </w:rPr>
          <w:fldChar w:fldCharType="separate"/>
        </w:r>
        <w:r w:rsidR="00D74BA4">
          <w:rPr>
            <w:webHidden/>
          </w:rPr>
          <w:t>9</w:t>
        </w:r>
        <w:r w:rsidR="00D74BA4">
          <w:rPr>
            <w:webHidden/>
          </w:rPr>
          <w:fldChar w:fldCharType="end"/>
        </w:r>
      </w:hyperlink>
    </w:p>
    <w:p w14:paraId="721793F1" w14:textId="750088C8" w:rsidR="00D74BA4" w:rsidRDefault="00A163D8">
      <w:pPr>
        <w:pStyle w:val="TOC2"/>
        <w:rPr>
          <w:rFonts w:asciiTheme="minorHAnsi" w:eastAsiaTheme="minorEastAsia" w:hAnsiTheme="minorHAnsi" w:cstheme="minorBidi"/>
          <w:sz w:val="22"/>
          <w:szCs w:val="22"/>
          <w:lang w:eastAsia="en-AU"/>
        </w:rPr>
      </w:pPr>
      <w:hyperlink w:anchor="_Toc11941610" w:history="1">
        <w:r w:rsidR="00D74BA4" w:rsidRPr="000340FE">
          <w:rPr>
            <w:rStyle w:val="Hyperlink"/>
          </w:rPr>
          <w:t>How to notify</w:t>
        </w:r>
        <w:r w:rsidR="00D74BA4">
          <w:rPr>
            <w:webHidden/>
          </w:rPr>
          <w:tab/>
        </w:r>
        <w:r w:rsidR="00D74BA4">
          <w:rPr>
            <w:webHidden/>
          </w:rPr>
          <w:fldChar w:fldCharType="begin"/>
        </w:r>
        <w:r w:rsidR="00D74BA4">
          <w:rPr>
            <w:webHidden/>
          </w:rPr>
          <w:instrText xml:space="preserve"> PAGEREF _Toc11941610 \h </w:instrText>
        </w:r>
        <w:r w:rsidR="00D74BA4">
          <w:rPr>
            <w:webHidden/>
          </w:rPr>
        </w:r>
        <w:r w:rsidR="00D74BA4">
          <w:rPr>
            <w:webHidden/>
          </w:rPr>
          <w:fldChar w:fldCharType="separate"/>
        </w:r>
        <w:r w:rsidR="00D74BA4">
          <w:rPr>
            <w:webHidden/>
          </w:rPr>
          <w:t>9</w:t>
        </w:r>
        <w:r w:rsidR="00D74BA4">
          <w:rPr>
            <w:webHidden/>
          </w:rPr>
          <w:fldChar w:fldCharType="end"/>
        </w:r>
      </w:hyperlink>
    </w:p>
    <w:p w14:paraId="0D937DA3" w14:textId="659C81BC" w:rsidR="00D74BA4" w:rsidRDefault="00A163D8">
      <w:pPr>
        <w:pStyle w:val="TOC2"/>
        <w:rPr>
          <w:rFonts w:asciiTheme="minorHAnsi" w:eastAsiaTheme="minorEastAsia" w:hAnsiTheme="minorHAnsi" w:cstheme="minorBidi"/>
          <w:sz w:val="22"/>
          <w:szCs w:val="22"/>
          <w:lang w:eastAsia="en-AU"/>
        </w:rPr>
      </w:pPr>
      <w:hyperlink w:anchor="_Toc11941611" w:history="1">
        <w:r w:rsidR="00D74BA4" w:rsidRPr="000340FE">
          <w:rPr>
            <w:rStyle w:val="Hyperlink"/>
          </w:rPr>
          <w:t>Notification details</w:t>
        </w:r>
        <w:r w:rsidR="00D74BA4">
          <w:rPr>
            <w:webHidden/>
          </w:rPr>
          <w:tab/>
        </w:r>
        <w:r w:rsidR="00D74BA4">
          <w:rPr>
            <w:webHidden/>
          </w:rPr>
          <w:fldChar w:fldCharType="begin"/>
        </w:r>
        <w:r w:rsidR="00D74BA4">
          <w:rPr>
            <w:webHidden/>
          </w:rPr>
          <w:instrText xml:space="preserve"> PAGEREF _Toc11941611 \h </w:instrText>
        </w:r>
        <w:r w:rsidR="00D74BA4">
          <w:rPr>
            <w:webHidden/>
          </w:rPr>
        </w:r>
        <w:r w:rsidR="00D74BA4">
          <w:rPr>
            <w:webHidden/>
          </w:rPr>
          <w:fldChar w:fldCharType="separate"/>
        </w:r>
        <w:r w:rsidR="00D74BA4">
          <w:rPr>
            <w:webHidden/>
          </w:rPr>
          <w:t>10</w:t>
        </w:r>
        <w:r w:rsidR="00D74BA4">
          <w:rPr>
            <w:webHidden/>
          </w:rPr>
          <w:fldChar w:fldCharType="end"/>
        </w:r>
      </w:hyperlink>
    </w:p>
    <w:p w14:paraId="6E479E12" w14:textId="144CF0ED" w:rsidR="00D74BA4" w:rsidRDefault="00A163D8">
      <w:pPr>
        <w:pStyle w:val="TOC1"/>
        <w:rPr>
          <w:rFonts w:asciiTheme="minorHAnsi" w:eastAsiaTheme="minorEastAsia" w:hAnsiTheme="minorHAnsi" w:cstheme="minorBidi"/>
          <w:b w:val="0"/>
          <w:sz w:val="22"/>
          <w:szCs w:val="22"/>
          <w:lang w:eastAsia="en-AU"/>
        </w:rPr>
      </w:pPr>
      <w:hyperlink w:anchor="_Toc11941612" w:history="1">
        <w:r w:rsidR="00D74BA4" w:rsidRPr="000340FE">
          <w:rPr>
            <w:rStyle w:val="Hyperlink"/>
          </w:rPr>
          <w:t>Departmental response</w:t>
        </w:r>
        <w:r w:rsidR="00D74BA4">
          <w:rPr>
            <w:webHidden/>
          </w:rPr>
          <w:tab/>
        </w:r>
        <w:r w:rsidR="00D74BA4">
          <w:rPr>
            <w:webHidden/>
          </w:rPr>
          <w:fldChar w:fldCharType="begin"/>
        </w:r>
        <w:r w:rsidR="00D74BA4">
          <w:rPr>
            <w:webHidden/>
          </w:rPr>
          <w:instrText xml:space="preserve"> PAGEREF _Toc11941612 \h </w:instrText>
        </w:r>
        <w:r w:rsidR="00D74BA4">
          <w:rPr>
            <w:webHidden/>
          </w:rPr>
        </w:r>
        <w:r w:rsidR="00D74BA4">
          <w:rPr>
            <w:webHidden/>
          </w:rPr>
          <w:fldChar w:fldCharType="separate"/>
        </w:r>
        <w:r w:rsidR="00D74BA4">
          <w:rPr>
            <w:webHidden/>
          </w:rPr>
          <w:t>13</w:t>
        </w:r>
        <w:r w:rsidR="00D74BA4">
          <w:rPr>
            <w:webHidden/>
          </w:rPr>
          <w:fldChar w:fldCharType="end"/>
        </w:r>
      </w:hyperlink>
    </w:p>
    <w:p w14:paraId="4C87F9CC" w14:textId="6DA20731" w:rsidR="00D74BA4" w:rsidRDefault="00A163D8">
      <w:pPr>
        <w:pStyle w:val="TOC2"/>
        <w:rPr>
          <w:rFonts w:asciiTheme="minorHAnsi" w:eastAsiaTheme="minorEastAsia" w:hAnsiTheme="minorHAnsi" w:cstheme="minorBidi"/>
          <w:sz w:val="22"/>
          <w:szCs w:val="22"/>
          <w:lang w:eastAsia="en-AU"/>
        </w:rPr>
      </w:pPr>
      <w:hyperlink w:anchor="_Toc11941613" w:history="1">
        <w:r w:rsidR="00D74BA4" w:rsidRPr="000340FE">
          <w:rPr>
            <w:rStyle w:val="Hyperlink"/>
          </w:rPr>
          <w:t>Anaphylaxis due to food</w:t>
        </w:r>
        <w:r w:rsidR="00D74BA4">
          <w:rPr>
            <w:webHidden/>
          </w:rPr>
          <w:tab/>
        </w:r>
        <w:r w:rsidR="00D74BA4">
          <w:rPr>
            <w:webHidden/>
          </w:rPr>
          <w:fldChar w:fldCharType="begin"/>
        </w:r>
        <w:r w:rsidR="00D74BA4">
          <w:rPr>
            <w:webHidden/>
          </w:rPr>
          <w:instrText xml:space="preserve"> PAGEREF _Toc11941613 \h </w:instrText>
        </w:r>
        <w:r w:rsidR="00D74BA4">
          <w:rPr>
            <w:webHidden/>
          </w:rPr>
        </w:r>
        <w:r w:rsidR="00D74BA4">
          <w:rPr>
            <w:webHidden/>
          </w:rPr>
          <w:fldChar w:fldCharType="separate"/>
        </w:r>
        <w:r w:rsidR="00D74BA4">
          <w:rPr>
            <w:webHidden/>
          </w:rPr>
          <w:t>13</w:t>
        </w:r>
        <w:r w:rsidR="00D74BA4">
          <w:rPr>
            <w:webHidden/>
          </w:rPr>
          <w:fldChar w:fldCharType="end"/>
        </w:r>
      </w:hyperlink>
    </w:p>
    <w:p w14:paraId="1786D842" w14:textId="2C09606B" w:rsidR="00D74BA4" w:rsidRDefault="00A163D8">
      <w:pPr>
        <w:pStyle w:val="TOC2"/>
        <w:rPr>
          <w:rFonts w:asciiTheme="minorHAnsi" w:eastAsiaTheme="minorEastAsia" w:hAnsiTheme="minorHAnsi" w:cstheme="minorBidi"/>
          <w:sz w:val="22"/>
          <w:szCs w:val="22"/>
          <w:lang w:eastAsia="en-AU"/>
        </w:rPr>
      </w:pPr>
      <w:hyperlink w:anchor="_Toc11941614" w:history="1">
        <w:r w:rsidR="00D74BA4" w:rsidRPr="000340FE">
          <w:rPr>
            <w:rStyle w:val="Hyperlink"/>
          </w:rPr>
          <w:t>Anaphylaxis due to drugs, blood-derived products and vaccination</w:t>
        </w:r>
        <w:r w:rsidR="00D74BA4">
          <w:rPr>
            <w:webHidden/>
          </w:rPr>
          <w:tab/>
        </w:r>
        <w:r w:rsidR="00D74BA4">
          <w:rPr>
            <w:webHidden/>
          </w:rPr>
          <w:fldChar w:fldCharType="begin"/>
        </w:r>
        <w:r w:rsidR="00D74BA4">
          <w:rPr>
            <w:webHidden/>
          </w:rPr>
          <w:instrText xml:space="preserve"> PAGEREF _Toc11941614 \h </w:instrText>
        </w:r>
        <w:r w:rsidR="00D74BA4">
          <w:rPr>
            <w:webHidden/>
          </w:rPr>
        </w:r>
        <w:r w:rsidR="00D74BA4">
          <w:rPr>
            <w:webHidden/>
          </w:rPr>
          <w:fldChar w:fldCharType="separate"/>
        </w:r>
        <w:r w:rsidR="00D74BA4">
          <w:rPr>
            <w:webHidden/>
          </w:rPr>
          <w:t>13</w:t>
        </w:r>
        <w:r w:rsidR="00D74BA4">
          <w:rPr>
            <w:webHidden/>
          </w:rPr>
          <w:fldChar w:fldCharType="end"/>
        </w:r>
      </w:hyperlink>
    </w:p>
    <w:p w14:paraId="2B232AF4" w14:textId="0F237E41" w:rsidR="00D74BA4" w:rsidRDefault="00A163D8">
      <w:pPr>
        <w:pStyle w:val="TOC2"/>
        <w:rPr>
          <w:rFonts w:asciiTheme="minorHAnsi" w:eastAsiaTheme="minorEastAsia" w:hAnsiTheme="minorHAnsi" w:cstheme="minorBidi"/>
          <w:sz w:val="22"/>
          <w:szCs w:val="22"/>
          <w:lang w:eastAsia="en-AU"/>
        </w:rPr>
      </w:pPr>
      <w:hyperlink w:anchor="_Toc11941615" w:history="1">
        <w:r w:rsidR="00D74BA4" w:rsidRPr="000340FE">
          <w:rPr>
            <w:rStyle w:val="Hyperlink"/>
          </w:rPr>
          <w:t>Anaphylaxis due to insect venom</w:t>
        </w:r>
        <w:r w:rsidR="00D74BA4">
          <w:rPr>
            <w:webHidden/>
          </w:rPr>
          <w:tab/>
        </w:r>
        <w:r w:rsidR="00D74BA4">
          <w:rPr>
            <w:webHidden/>
          </w:rPr>
          <w:fldChar w:fldCharType="begin"/>
        </w:r>
        <w:r w:rsidR="00D74BA4">
          <w:rPr>
            <w:webHidden/>
          </w:rPr>
          <w:instrText xml:space="preserve"> PAGEREF _Toc11941615 \h </w:instrText>
        </w:r>
        <w:r w:rsidR="00D74BA4">
          <w:rPr>
            <w:webHidden/>
          </w:rPr>
        </w:r>
        <w:r w:rsidR="00D74BA4">
          <w:rPr>
            <w:webHidden/>
          </w:rPr>
          <w:fldChar w:fldCharType="separate"/>
        </w:r>
        <w:r w:rsidR="00D74BA4">
          <w:rPr>
            <w:webHidden/>
          </w:rPr>
          <w:t>13</w:t>
        </w:r>
        <w:r w:rsidR="00D74BA4">
          <w:rPr>
            <w:webHidden/>
          </w:rPr>
          <w:fldChar w:fldCharType="end"/>
        </w:r>
      </w:hyperlink>
    </w:p>
    <w:p w14:paraId="7F339759" w14:textId="19248E09" w:rsidR="00D74BA4" w:rsidRDefault="00A163D8">
      <w:pPr>
        <w:pStyle w:val="TOC2"/>
        <w:rPr>
          <w:rFonts w:asciiTheme="minorHAnsi" w:eastAsiaTheme="minorEastAsia" w:hAnsiTheme="minorHAnsi" w:cstheme="minorBidi"/>
          <w:sz w:val="22"/>
          <w:szCs w:val="22"/>
          <w:lang w:eastAsia="en-AU"/>
        </w:rPr>
      </w:pPr>
      <w:hyperlink w:anchor="_Toc11941616" w:history="1">
        <w:r w:rsidR="00D74BA4" w:rsidRPr="000340FE">
          <w:rPr>
            <w:rStyle w:val="Hyperlink"/>
          </w:rPr>
          <w:t>Data storage, analysis and reporting</w:t>
        </w:r>
        <w:r w:rsidR="00D74BA4">
          <w:rPr>
            <w:webHidden/>
          </w:rPr>
          <w:tab/>
        </w:r>
        <w:r w:rsidR="00D74BA4">
          <w:rPr>
            <w:webHidden/>
          </w:rPr>
          <w:fldChar w:fldCharType="begin"/>
        </w:r>
        <w:r w:rsidR="00D74BA4">
          <w:rPr>
            <w:webHidden/>
          </w:rPr>
          <w:instrText xml:space="preserve"> PAGEREF _Toc11941616 \h </w:instrText>
        </w:r>
        <w:r w:rsidR="00D74BA4">
          <w:rPr>
            <w:webHidden/>
          </w:rPr>
        </w:r>
        <w:r w:rsidR="00D74BA4">
          <w:rPr>
            <w:webHidden/>
          </w:rPr>
          <w:fldChar w:fldCharType="separate"/>
        </w:r>
        <w:r w:rsidR="00D74BA4">
          <w:rPr>
            <w:webHidden/>
          </w:rPr>
          <w:t>13</w:t>
        </w:r>
        <w:r w:rsidR="00D74BA4">
          <w:rPr>
            <w:webHidden/>
          </w:rPr>
          <w:fldChar w:fldCharType="end"/>
        </w:r>
      </w:hyperlink>
    </w:p>
    <w:p w14:paraId="794220D2" w14:textId="0984740E" w:rsidR="00D74BA4" w:rsidRDefault="00A163D8">
      <w:pPr>
        <w:pStyle w:val="TOC1"/>
        <w:rPr>
          <w:rFonts w:asciiTheme="minorHAnsi" w:eastAsiaTheme="minorEastAsia" w:hAnsiTheme="minorHAnsi" w:cstheme="minorBidi"/>
          <w:b w:val="0"/>
          <w:sz w:val="22"/>
          <w:szCs w:val="22"/>
          <w:lang w:eastAsia="en-AU"/>
        </w:rPr>
      </w:pPr>
      <w:hyperlink w:anchor="_Toc11941617" w:history="1">
        <w:r w:rsidR="00D74BA4" w:rsidRPr="000340FE">
          <w:rPr>
            <w:rStyle w:val="Hyperlink"/>
          </w:rPr>
          <w:t>Further assistance</w:t>
        </w:r>
        <w:r w:rsidR="00D74BA4">
          <w:rPr>
            <w:webHidden/>
          </w:rPr>
          <w:tab/>
        </w:r>
        <w:r w:rsidR="00D74BA4">
          <w:rPr>
            <w:webHidden/>
          </w:rPr>
          <w:fldChar w:fldCharType="begin"/>
        </w:r>
        <w:r w:rsidR="00D74BA4">
          <w:rPr>
            <w:webHidden/>
          </w:rPr>
          <w:instrText xml:space="preserve"> PAGEREF _Toc11941617 \h </w:instrText>
        </w:r>
        <w:r w:rsidR="00D74BA4">
          <w:rPr>
            <w:webHidden/>
          </w:rPr>
        </w:r>
        <w:r w:rsidR="00D74BA4">
          <w:rPr>
            <w:webHidden/>
          </w:rPr>
          <w:fldChar w:fldCharType="separate"/>
        </w:r>
        <w:r w:rsidR="00D74BA4">
          <w:rPr>
            <w:webHidden/>
          </w:rPr>
          <w:t>14</w:t>
        </w:r>
        <w:r w:rsidR="00D74BA4">
          <w:rPr>
            <w:webHidden/>
          </w:rPr>
          <w:fldChar w:fldCharType="end"/>
        </w:r>
      </w:hyperlink>
    </w:p>
    <w:p w14:paraId="78F22347" w14:textId="6754F982" w:rsidR="00D74BA4" w:rsidRDefault="00A163D8">
      <w:pPr>
        <w:pStyle w:val="TOC1"/>
        <w:rPr>
          <w:rFonts w:asciiTheme="minorHAnsi" w:eastAsiaTheme="minorEastAsia" w:hAnsiTheme="minorHAnsi" w:cstheme="minorBidi"/>
          <w:b w:val="0"/>
          <w:sz w:val="22"/>
          <w:szCs w:val="22"/>
          <w:lang w:eastAsia="en-AU"/>
        </w:rPr>
      </w:pPr>
      <w:hyperlink w:anchor="_Toc11941618" w:history="1">
        <w:r w:rsidR="00D74BA4" w:rsidRPr="000340FE">
          <w:rPr>
            <w:rStyle w:val="Hyperlink"/>
          </w:rPr>
          <w:t>Appendices</w:t>
        </w:r>
        <w:r w:rsidR="00D74BA4">
          <w:rPr>
            <w:webHidden/>
          </w:rPr>
          <w:tab/>
        </w:r>
        <w:r w:rsidR="00D74BA4">
          <w:rPr>
            <w:webHidden/>
          </w:rPr>
          <w:fldChar w:fldCharType="begin"/>
        </w:r>
        <w:r w:rsidR="00D74BA4">
          <w:rPr>
            <w:webHidden/>
          </w:rPr>
          <w:instrText xml:space="preserve"> PAGEREF _Toc11941618 \h </w:instrText>
        </w:r>
        <w:r w:rsidR="00D74BA4">
          <w:rPr>
            <w:webHidden/>
          </w:rPr>
        </w:r>
        <w:r w:rsidR="00D74BA4">
          <w:rPr>
            <w:webHidden/>
          </w:rPr>
          <w:fldChar w:fldCharType="separate"/>
        </w:r>
        <w:r w:rsidR="00D74BA4">
          <w:rPr>
            <w:webHidden/>
          </w:rPr>
          <w:t>15</w:t>
        </w:r>
        <w:r w:rsidR="00D74BA4">
          <w:rPr>
            <w:webHidden/>
          </w:rPr>
          <w:fldChar w:fldCharType="end"/>
        </w:r>
      </w:hyperlink>
    </w:p>
    <w:p w14:paraId="7C4058E5" w14:textId="046864E1" w:rsidR="00D74BA4" w:rsidRDefault="00A163D8">
      <w:pPr>
        <w:pStyle w:val="TOC2"/>
        <w:rPr>
          <w:rFonts w:asciiTheme="minorHAnsi" w:eastAsiaTheme="minorEastAsia" w:hAnsiTheme="minorHAnsi" w:cstheme="minorBidi"/>
          <w:sz w:val="22"/>
          <w:szCs w:val="22"/>
          <w:lang w:eastAsia="en-AU"/>
        </w:rPr>
      </w:pPr>
      <w:hyperlink w:anchor="_Toc11941619" w:history="1">
        <w:r w:rsidR="00D74BA4" w:rsidRPr="000340FE">
          <w:rPr>
            <w:rStyle w:val="Hyperlink"/>
          </w:rPr>
          <w:t xml:space="preserve">Appendix 1 – </w:t>
        </w:r>
        <w:r w:rsidR="00D74BA4" w:rsidRPr="000340FE">
          <w:rPr>
            <w:rStyle w:val="Hyperlink"/>
            <w:i/>
          </w:rPr>
          <w:t>Public Health and Wellbeing Act 2008</w:t>
        </w:r>
        <w:r w:rsidR="00D74BA4">
          <w:rPr>
            <w:webHidden/>
          </w:rPr>
          <w:tab/>
        </w:r>
        <w:r w:rsidR="00D74BA4">
          <w:rPr>
            <w:webHidden/>
          </w:rPr>
          <w:fldChar w:fldCharType="begin"/>
        </w:r>
        <w:r w:rsidR="00D74BA4">
          <w:rPr>
            <w:webHidden/>
          </w:rPr>
          <w:instrText xml:space="preserve"> PAGEREF _Toc11941619 \h </w:instrText>
        </w:r>
        <w:r w:rsidR="00D74BA4">
          <w:rPr>
            <w:webHidden/>
          </w:rPr>
        </w:r>
        <w:r w:rsidR="00D74BA4">
          <w:rPr>
            <w:webHidden/>
          </w:rPr>
          <w:fldChar w:fldCharType="separate"/>
        </w:r>
        <w:r w:rsidR="00D74BA4">
          <w:rPr>
            <w:webHidden/>
          </w:rPr>
          <w:t>15</w:t>
        </w:r>
        <w:r w:rsidR="00D74BA4">
          <w:rPr>
            <w:webHidden/>
          </w:rPr>
          <w:fldChar w:fldCharType="end"/>
        </w:r>
      </w:hyperlink>
    </w:p>
    <w:p w14:paraId="4B9F3E01" w14:textId="0FB85595" w:rsidR="00D74BA4" w:rsidRDefault="00A163D8">
      <w:pPr>
        <w:pStyle w:val="TOC2"/>
        <w:rPr>
          <w:rFonts w:asciiTheme="minorHAnsi" w:eastAsiaTheme="minorEastAsia" w:hAnsiTheme="minorHAnsi" w:cstheme="minorBidi"/>
          <w:sz w:val="22"/>
          <w:szCs w:val="22"/>
          <w:lang w:eastAsia="en-AU"/>
        </w:rPr>
      </w:pPr>
      <w:hyperlink w:anchor="_Toc11941620" w:history="1">
        <w:r w:rsidR="00D74BA4" w:rsidRPr="000340FE">
          <w:rPr>
            <w:rStyle w:val="Hyperlink"/>
          </w:rPr>
          <w:t>Appendix 2 – Public Health and Wellbeing Regulations 2009</w:t>
        </w:r>
        <w:r w:rsidR="00D74BA4">
          <w:rPr>
            <w:webHidden/>
          </w:rPr>
          <w:tab/>
        </w:r>
        <w:r w:rsidR="00D74BA4">
          <w:rPr>
            <w:webHidden/>
          </w:rPr>
          <w:fldChar w:fldCharType="begin"/>
        </w:r>
        <w:r w:rsidR="00D74BA4">
          <w:rPr>
            <w:webHidden/>
          </w:rPr>
          <w:instrText xml:space="preserve"> PAGEREF _Toc11941620 \h </w:instrText>
        </w:r>
        <w:r w:rsidR="00D74BA4">
          <w:rPr>
            <w:webHidden/>
          </w:rPr>
        </w:r>
        <w:r w:rsidR="00D74BA4">
          <w:rPr>
            <w:webHidden/>
          </w:rPr>
          <w:fldChar w:fldCharType="separate"/>
        </w:r>
        <w:r w:rsidR="00D74BA4">
          <w:rPr>
            <w:webHidden/>
          </w:rPr>
          <w:t>16</w:t>
        </w:r>
        <w:r w:rsidR="00D74BA4">
          <w:rPr>
            <w:webHidden/>
          </w:rPr>
          <w:fldChar w:fldCharType="end"/>
        </w:r>
      </w:hyperlink>
    </w:p>
    <w:p w14:paraId="371A8D19" w14:textId="50EC6024" w:rsidR="00D74BA4" w:rsidRDefault="00A163D8">
      <w:pPr>
        <w:pStyle w:val="TOC2"/>
        <w:rPr>
          <w:rFonts w:asciiTheme="minorHAnsi" w:eastAsiaTheme="minorEastAsia" w:hAnsiTheme="minorHAnsi" w:cstheme="minorBidi"/>
          <w:sz w:val="22"/>
          <w:szCs w:val="22"/>
          <w:lang w:eastAsia="en-AU"/>
        </w:rPr>
      </w:pPr>
      <w:hyperlink w:anchor="_Toc11941621" w:history="1">
        <w:r w:rsidR="00D74BA4" w:rsidRPr="000340FE">
          <w:rPr>
            <w:rStyle w:val="Hyperlink"/>
          </w:rPr>
          <w:t>Appendix 3 – Statutory definitions of ‘food’ and ‘package’</w:t>
        </w:r>
        <w:r w:rsidR="00D74BA4">
          <w:rPr>
            <w:webHidden/>
          </w:rPr>
          <w:tab/>
        </w:r>
        <w:r w:rsidR="00D74BA4">
          <w:rPr>
            <w:webHidden/>
          </w:rPr>
          <w:fldChar w:fldCharType="begin"/>
        </w:r>
        <w:r w:rsidR="00D74BA4">
          <w:rPr>
            <w:webHidden/>
          </w:rPr>
          <w:instrText xml:space="preserve"> PAGEREF _Toc11941621 \h </w:instrText>
        </w:r>
        <w:r w:rsidR="00D74BA4">
          <w:rPr>
            <w:webHidden/>
          </w:rPr>
        </w:r>
        <w:r w:rsidR="00D74BA4">
          <w:rPr>
            <w:webHidden/>
          </w:rPr>
          <w:fldChar w:fldCharType="separate"/>
        </w:r>
        <w:r w:rsidR="00D74BA4">
          <w:rPr>
            <w:webHidden/>
          </w:rPr>
          <w:t>18</w:t>
        </w:r>
        <w:r w:rsidR="00D74BA4">
          <w:rPr>
            <w:webHidden/>
          </w:rPr>
          <w:fldChar w:fldCharType="end"/>
        </w:r>
      </w:hyperlink>
    </w:p>
    <w:p w14:paraId="10A3BEAB" w14:textId="141D52E2" w:rsidR="00D74BA4" w:rsidRDefault="00A163D8">
      <w:pPr>
        <w:pStyle w:val="TOC2"/>
        <w:rPr>
          <w:rFonts w:asciiTheme="minorHAnsi" w:eastAsiaTheme="minorEastAsia" w:hAnsiTheme="minorHAnsi" w:cstheme="minorBidi"/>
          <w:sz w:val="22"/>
          <w:szCs w:val="22"/>
          <w:lang w:eastAsia="en-AU"/>
        </w:rPr>
      </w:pPr>
      <w:hyperlink w:anchor="_Toc11941622" w:history="1">
        <w:r w:rsidR="00D74BA4" w:rsidRPr="000340FE">
          <w:rPr>
            <w:rStyle w:val="Hyperlink"/>
          </w:rPr>
          <w:t>Appendix 4 – Questions and answers</w:t>
        </w:r>
        <w:r w:rsidR="00D74BA4">
          <w:rPr>
            <w:webHidden/>
          </w:rPr>
          <w:tab/>
        </w:r>
        <w:r w:rsidR="00D74BA4">
          <w:rPr>
            <w:webHidden/>
          </w:rPr>
          <w:fldChar w:fldCharType="begin"/>
        </w:r>
        <w:r w:rsidR="00D74BA4">
          <w:rPr>
            <w:webHidden/>
          </w:rPr>
          <w:instrText xml:space="preserve"> PAGEREF _Toc11941622 \h </w:instrText>
        </w:r>
        <w:r w:rsidR="00D74BA4">
          <w:rPr>
            <w:webHidden/>
          </w:rPr>
        </w:r>
        <w:r w:rsidR="00D74BA4">
          <w:rPr>
            <w:webHidden/>
          </w:rPr>
          <w:fldChar w:fldCharType="separate"/>
        </w:r>
        <w:r w:rsidR="00D74BA4">
          <w:rPr>
            <w:webHidden/>
          </w:rPr>
          <w:t>19</w:t>
        </w:r>
        <w:r w:rsidR="00D74BA4">
          <w:rPr>
            <w:webHidden/>
          </w:rPr>
          <w:fldChar w:fldCharType="end"/>
        </w:r>
      </w:hyperlink>
    </w:p>
    <w:p w14:paraId="44BCAB4B" w14:textId="4584C7F0" w:rsidR="00AC0C3B" w:rsidRPr="003072C6" w:rsidRDefault="00E15DA9" w:rsidP="00831C56">
      <w:pPr>
        <w:pStyle w:val="TOC2"/>
        <w:rPr>
          <w:noProof w:val="0"/>
        </w:rPr>
        <w:sectPr w:rsidR="00AC0C3B" w:rsidRPr="003072C6" w:rsidSect="00C51B1C">
          <w:pgSz w:w="11906" w:h="16838"/>
          <w:pgMar w:top="1701" w:right="1304" w:bottom="1134" w:left="1304" w:header="454" w:footer="567" w:gutter="0"/>
          <w:cols w:space="720"/>
          <w:docGrid w:linePitch="360"/>
        </w:sectPr>
      </w:pPr>
      <w:r w:rsidRPr="003072C6">
        <w:rPr>
          <w:noProof w:val="0"/>
        </w:rPr>
        <w:fldChar w:fldCharType="end"/>
      </w:r>
    </w:p>
    <w:p w14:paraId="15044812" w14:textId="77777777" w:rsidR="00831C56" w:rsidRPr="00796D85" w:rsidRDefault="00831C56" w:rsidP="00831C56">
      <w:pPr>
        <w:pStyle w:val="Heading1"/>
      </w:pPr>
      <w:bookmarkStart w:id="1" w:name="_Toc11941602"/>
      <w:r w:rsidRPr="00616B99">
        <w:lastRenderedPageBreak/>
        <w:t>Purpose of document</w:t>
      </w:r>
      <w:bookmarkEnd w:id="1"/>
    </w:p>
    <w:p w14:paraId="22405E8F" w14:textId="705A7D95" w:rsidR="00B01DCD" w:rsidRDefault="00527638" w:rsidP="0093712D">
      <w:pPr>
        <w:pStyle w:val="DHHSbody"/>
      </w:pPr>
      <w:r>
        <w:t xml:space="preserve">A 2018 amendment to the </w:t>
      </w:r>
      <w:r w:rsidR="0041242A" w:rsidRPr="00265BE8">
        <w:t>Victorian</w:t>
      </w:r>
      <w:r w:rsidR="0041242A" w:rsidRPr="009E3A54">
        <w:t xml:space="preserve"> </w:t>
      </w:r>
      <w:r w:rsidR="0041242A" w:rsidRPr="009E3A54">
        <w:rPr>
          <w:i/>
        </w:rPr>
        <w:t>Public Health and Wellbeing Act</w:t>
      </w:r>
      <w:r w:rsidR="0041242A" w:rsidRPr="009E3A54">
        <w:t xml:space="preserve"> </w:t>
      </w:r>
      <w:r w:rsidR="0041242A" w:rsidRPr="009E3A54">
        <w:rPr>
          <w:i/>
        </w:rPr>
        <w:t>2008</w:t>
      </w:r>
      <w:r w:rsidR="0041242A" w:rsidRPr="009E3A54">
        <w:t xml:space="preserve"> </w:t>
      </w:r>
      <w:r w:rsidR="0041242A">
        <w:t>(the Act)</w:t>
      </w:r>
      <w:r>
        <w:t xml:space="preserve"> </w:t>
      </w:r>
      <w:r w:rsidR="00766523" w:rsidRPr="009E3A54">
        <w:t>introduce</w:t>
      </w:r>
      <w:r w:rsidR="00766523">
        <w:t>d</w:t>
      </w:r>
      <w:r w:rsidR="00766523" w:rsidRPr="009E3A54">
        <w:t xml:space="preserve"> </w:t>
      </w:r>
      <w:r w:rsidRPr="009E3A54">
        <w:t xml:space="preserve">a requirement </w:t>
      </w:r>
      <w:r>
        <w:t xml:space="preserve">for Victorian hospitals to notify </w:t>
      </w:r>
      <w:r w:rsidRPr="009E3A54">
        <w:t xml:space="preserve">the </w:t>
      </w:r>
      <w:r w:rsidR="0041242A">
        <w:t>D</w:t>
      </w:r>
      <w:r w:rsidR="0041242A" w:rsidRPr="009E3A54">
        <w:t>epartment</w:t>
      </w:r>
      <w:r w:rsidR="0041242A">
        <w:t xml:space="preserve"> of Health and Human Services (the department)</w:t>
      </w:r>
      <w:r w:rsidR="0041242A" w:rsidRPr="009E3A54">
        <w:t xml:space="preserve"> </w:t>
      </w:r>
      <w:r w:rsidR="0041242A">
        <w:t xml:space="preserve">when </w:t>
      </w:r>
      <w:r>
        <w:t>a person presents for treatment for anaphylaxis</w:t>
      </w:r>
      <w:r w:rsidRPr="009E3A54">
        <w:t>.</w:t>
      </w:r>
      <w:r>
        <w:t xml:space="preserve"> </w:t>
      </w:r>
    </w:p>
    <w:p w14:paraId="23509681" w14:textId="1B93D6B7" w:rsidR="00330076" w:rsidRDefault="0041242A" w:rsidP="0093712D">
      <w:pPr>
        <w:pStyle w:val="DHHSbody"/>
      </w:pPr>
      <w:r w:rsidRPr="009E3A54">
        <w:t>Th</w:t>
      </w:r>
      <w:r>
        <w:t xml:space="preserve">is </w:t>
      </w:r>
      <w:r w:rsidR="00CF2188">
        <w:t>guidance</w:t>
      </w:r>
      <w:r w:rsidR="007D2570">
        <w:t xml:space="preserve"> </w:t>
      </w:r>
      <w:r w:rsidR="007D2570" w:rsidRPr="009E3A54">
        <w:t xml:space="preserve">document </w:t>
      </w:r>
      <w:r w:rsidR="0001170C">
        <w:t xml:space="preserve">aims to provide Victorian hospitals with the information they require </w:t>
      </w:r>
      <w:r>
        <w:t xml:space="preserve">to meet their statutory obligations </w:t>
      </w:r>
      <w:r w:rsidR="0001170C">
        <w:t xml:space="preserve">and </w:t>
      </w:r>
      <w:r w:rsidR="00D5679E" w:rsidRPr="009E3A54">
        <w:t>the proc</w:t>
      </w:r>
      <w:r w:rsidR="00B61D26">
        <w:t xml:space="preserve">ess that </w:t>
      </w:r>
      <w:r w:rsidR="007D3513">
        <w:t>must</w:t>
      </w:r>
      <w:r w:rsidR="00B61D26">
        <w:t xml:space="preserve"> be followed to</w:t>
      </w:r>
      <w:r w:rsidR="00D5679E">
        <w:t xml:space="preserve"> </w:t>
      </w:r>
      <w:r w:rsidR="007D2570">
        <w:t>submit a</w:t>
      </w:r>
      <w:r w:rsidR="00D605E0">
        <w:t xml:space="preserve"> notification of an </w:t>
      </w:r>
      <w:r w:rsidR="007D2570">
        <w:t xml:space="preserve">anaphylaxis </w:t>
      </w:r>
      <w:r w:rsidR="00D605E0">
        <w:t>presentation</w:t>
      </w:r>
      <w:r w:rsidR="007D2570">
        <w:t xml:space="preserve"> to the department</w:t>
      </w:r>
      <w:r w:rsidR="00B61D26">
        <w:t>,</w:t>
      </w:r>
      <w:r w:rsidR="007D2570">
        <w:t xml:space="preserve"> in accordance </w:t>
      </w:r>
      <w:r w:rsidR="00FE69D6">
        <w:t xml:space="preserve">with the Public Health and Wellbeing Regulations 2009 </w:t>
      </w:r>
      <w:r w:rsidR="00165812">
        <w:t>(the Regulations</w:t>
      </w:r>
      <w:r w:rsidR="00101995">
        <w:t>)</w:t>
      </w:r>
      <w:r w:rsidR="00330076">
        <w:t xml:space="preserve">. </w:t>
      </w:r>
    </w:p>
    <w:p w14:paraId="6C55665F" w14:textId="7BEE7602" w:rsidR="00B84E71" w:rsidRDefault="007B3419" w:rsidP="0093712D">
      <w:pPr>
        <w:pStyle w:val="DHHSbody"/>
      </w:pPr>
      <w:r>
        <w:t xml:space="preserve">Copies of the relevant </w:t>
      </w:r>
      <w:r w:rsidR="00311B74">
        <w:t>content in the Act and Regulations</w:t>
      </w:r>
      <w:r w:rsidR="00B84E71" w:rsidRPr="00330076">
        <w:t xml:space="preserve"> </w:t>
      </w:r>
      <w:r w:rsidR="009D1A70">
        <w:t>are</w:t>
      </w:r>
      <w:r w:rsidR="00B84E71" w:rsidRPr="00330076">
        <w:t xml:space="preserve"> provided at Appendix </w:t>
      </w:r>
      <w:r w:rsidR="009D1A70">
        <w:t xml:space="preserve">1 and </w:t>
      </w:r>
      <w:r w:rsidR="00B84E71" w:rsidRPr="00330076">
        <w:t>2</w:t>
      </w:r>
      <w:r w:rsidR="009D1A70">
        <w:t>, respectively</w:t>
      </w:r>
      <w:r w:rsidR="00B84E71" w:rsidRPr="00330076">
        <w:t>.</w:t>
      </w:r>
      <w:r w:rsidR="00D53DCD">
        <w:t xml:space="preserve"> </w:t>
      </w:r>
      <w:r w:rsidR="00D53DCD" w:rsidRPr="00D53DCD">
        <w:t xml:space="preserve">The legislation can be found online at </w:t>
      </w:r>
      <w:hyperlink r:id="rId12" w:history="1">
        <w:r w:rsidR="00D74E65">
          <w:rPr>
            <w:rStyle w:val="Hyperlink"/>
          </w:rPr>
          <w:t>Victorian Legislation and Parliamentary Documents</w:t>
        </w:r>
      </w:hyperlink>
      <w:r w:rsidR="00D74E65">
        <w:rPr>
          <w:rStyle w:val="Hyperlink"/>
        </w:rPr>
        <w:t xml:space="preserve"> </w:t>
      </w:r>
      <w:r w:rsidR="00D74E65" w:rsidRPr="00D74E65">
        <w:rPr>
          <w:rStyle w:val="Hyperlink"/>
          <w:color w:val="auto"/>
        </w:rPr>
        <w:t>&lt;www.leg</w:t>
      </w:r>
      <w:r w:rsidR="00D74E65" w:rsidRPr="00D74E65">
        <w:rPr>
          <w:rStyle w:val="Hyperlink"/>
          <w:color w:val="auto"/>
        </w:rPr>
        <w:t>i</w:t>
      </w:r>
      <w:r w:rsidR="00D74E65" w:rsidRPr="00D74E65">
        <w:rPr>
          <w:rStyle w:val="Hyperlink"/>
          <w:color w:val="auto"/>
        </w:rPr>
        <w:t>slation.vic.gov.au&gt;</w:t>
      </w:r>
    </w:p>
    <w:p w14:paraId="52866206" w14:textId="77777777" w:rsidR="00FA1079" w:rsidRDefault="00FA1079" w:rsidP="00FA1079">
      <w:pPr>
        <w:pStyle w:val="Heading1"/>
      </w:pPr>
      <w:bookmarkStart w:id="2" w:name="_Toc11941603"/>
      <w:r w:rsidRPr="00D3455D">
        <w:t>Background</w:t>
      </w:r>
      <w:bookmarkEnd w:id="2"/>
    </w:p>
    <w:p w14:paraId="086B53A7" w14:textId="65A05067" w:rsidR="00FA1079" w:rsidRPr="007D3513" w:rsidRDefault="00856B97" w:rsidP="0093712D">
      <w:pPr>
        <w:pStyle w:val="DHHSbody"/>
      </w:pPr>
      <w:r>
        <w:t>L</w:t>
      </w:r>
      <w:r w:rsidR="00FA1079" w:rsidRPr="007D3513">
        <w:t xml:space="preserve">egislative amendments </w:t>
      </w:r>
      <w:r>
        <w:t xml:space="preserve">to require </w:t>
      </w:r>
      <w:r w:rsidR="0041242A">
        <w:t xml:space="preserve">notification of anaphylaxis </w:t>
      </w:r>
      <w:r w:rsidR="00FA1079" w:rsidRPr="007D3513">
        <w:t>were introduced by the Minister for Health, the Hon Jill Hennessy MP, in response to a Victorian Coronial report regarding the death of a 10-year-old Victoria</w:t>
      </w:r>
      <w:r w:rsidR="0093712D">
        <w:t>n</w:t>
      </w:r>
      <w:r w:rsidR="00FA1079" w:rsidRPr="007D3513">
        <w:t xml:space="preserve"> boy in 2013. The boy was allergic to dairy products and drank a can of imported coconut drink which failed to declare the presence of milk as an ingredient on its label, in breach of Australian food labelling law.</w:t>
      </w:r>
    </w:p>
    <w:p w14:paraId="21868BD9" w14:textId="2BBB01E3" w:rsidR="00D53DCD" w:rsidRDefault="00FA1079" w:rsidP="00FF0815">
      <w:pPr>
        <w:pStyle w:val="DHHSbody"/>
      </w:pPr>
      <w:r w:rsidRPr="007D3513">
        <w:t xml:space="preserve">Without adequate warning of the contents of the drink, the boy’s parents unwittingly gave the drink to their son, who, shortly after consuming it, suffered an anaphylactic reaction </w:t>
      </w:r>
      <w:r w:rsidR="0093712D">
        <w:t>that</w:t>
      </w:r>
      <w:r w:rsidRPr="007D3513">
        <w:t xml:space="preserve"> ultimately claimed his life. At the time, the responding hospital was not required to and did not notify the department of the suspicions that this beverage was the likely cause of the boy’s anaphylactic reaction. As a result, the product remained in the marketplace for six weeks before being recalled from the shelves, putting other </w:t>
      </w:r>
      <w:r w:rsidR="00CA2C81">
        <w:t>milk</w:t>
      </w:r>
      <w:r w:rsidRPr="007D3513">
        <w:t>-allergic consumers at risk.</w:t>
      </w:r>
    </w:p>
    <w:p w14:paraId="19D3DFE3" w14:textId="6DF9540E" w:rsidR="003135BD" w:rsidRPr="003135BD" w:rsidRDefault="003135BD" w:rsidP="00515E59">
      <w:pPr>
        <w:pStyle w:val="Heading3"/>
        <w:rPr>
          <w:rFonts w:cs="Arial"/>
          <w:sz w:val="22"/>
          <w:szCs w:val="22"/>
        </w:rPr>
      </w:pPr>
      <w:r>
        <w:t>Further information</w:t>
      </w:r>
    </w:p>
    <w:p w14:paraId="48AD3F51" w14:textId="54FDAF8A" w:rsidR="00C816D6" w:rsidRDefault="003135BD" w:rsidP="0093712D">
      <w:pPr>
        <w:pStyle w:val="DHHSbody"/>
      </w:pPr>
      <w:r w:rsidRPr="0093712D">
        <w:t xml:space="preserve">More information on the background to this scheme as </w:t>
      </w:r>
      <w:r w:rsidR="0093712D">
        <w:t>well as a link to the Coronial f</w:t>
      </w:r>
      <w:r w:rsidRPr="0093712D">
        <w:t>indings can be found on the department’s anaphy</w:t>
      </w:r>
      <w:r w:rsidR="0093712D">
        <w:t>laxis notifications website</w:t>
      </w:r>
      <w:r w:rsidRPr="0093712D">
        <w:t xml:space="preserve"> at: </w:t>
      </w:r>
      <w:hyperlink r:id="rId13" w:history="1">
        <w:r w:rsidR="00D74E65">
          <w:rPr>
            <w:rStyle w:val="Hyperlink"/>
          </w:rPr>
          <w:t>Anaphylaxis Notificatio</w:t>
        </w:r>
        <w:r w:rsidR="00D74E65">
          <w:rPr>
            <w:rStyle w:val="Hyperlink"/>
          </w:rPr>
          <w:t>n</w:t>
        </w:r>
        <w:r w:rsidR="00D74E65">
          <w:rPr>
            <w:rStyle w:val="Hyperlink"/>
          </w:rPr>
          <w:t>s</w:t>
        </w:r>
      </w:hyperlink>
      <w:r w:rsidR="00D74E65">
        <w:rPr>
          <w:rStyle w:val="Hyperlink"/>
        </w:rPr>
        <w:t xml:space="preserve"> </w:t>
      </w:r>
      <w:r w:rsidR="00D74E65" w:rsidRPr="00D74E65">
        <w:rPr>
          <w:rStyle w:val="Hyperlink"/>
          <w:color w:val="auto"/>
        </w:rPr>
        <w:t>&lt;https://www2.health.vic.gov.au/public-</w:t>
      </w:r>
      <w:r w:rsidR="00D74E65" w:rsidRPr="00D74E65">
        <w:rPr>
          <w:rStyle w:val="Hyperlink"/>
          <w:color w:val="auto"/>
        </w:rPr>
        <w:t>h</w:t>
      </w:r>
      <w:r w:rsidR="00D74E65" w:rsidRPr="00D74E65">
        <w:rPr>
          <w:rStyle w:val="Hyperlink"/>
          <w:color w:val="auto"/>
        </w:rPr>
        <w:t>ealth/anaphylaxis-notifications&gt;</w:t>
      </w:r>
    </w:p>
    <w:p w14:paraId="40443203" w14:textId="77777777" w:rsidR="00CA2C81" w:rsidRPr="0093712D" w:rsidRDefault="00CA2C81" w:rsidP="0093712D">
      <w:pPr>
        <w:pStyle w:val="DHHSbody"/>
      </w:pPr>
    </w:p>
    <w:p w14:paraId="234588BE" w14:textId="77777777" w:rsidR="00FF0815" w:rsidRDefault="00FF0815" w:rsidP="00CE3DFE">
      <w:pPr>
        <w:pStyle w:val="DHHSbody"/>
      </w:pPr>
    </w:p>
    <w:p w14:paraId="02A94111" w14:textId="77777777" w:rsidR="0093712D" w:rsidRDefault="0093712D" w:rsidP="00E04308">
      <w:pPr>
        <w:pStyle w:val="Heading1"/>
        <w:sectPr w:rsidR="0093712D" w:rsidSect="00D91F6D">
          <w:headerReference w:type="even" r:id="rId14"/>
          <w:headerReference w:type="default" r:id="rId15"/>
          <w:footerReference w:type="even" r:id="rId16"/>
          <w:footerReference w:type="default" r:id="rId17"/>
          <w:footerReference w:type="first" r:id="rId18"/>
          <w:pgSz w:w="11906" w:h="16838"/>
          <w:pgMar w:top="1701" w:right="1304" w:bottom="1134" w:left="1304" w:header="454" w:footer="567" w:gutter="0"/>
          <w:cols w:space="720"/>
          <w:docGrid w:linePitch="360"/>
        </w:sectPr>
      </w:pPr>
    </w:p>
    <w:p w14:paraId="199FCFE9" w14:textId="1F89C076" w:rsidR="00735AB6" w:rsidRPr="00D3455D" w:rsidRDefault="00735AB6" w:rsidP="0048194B">
      <w:pPr>
        <w:pStyle w:val="Heading1"/>
      </w:pPr>
      <w:bookmarkStart w:id="3" w:name="_Toc11941604"/>
      <w:r w:rsidRPr="0048194B">
        <w:lastRenderedPageBreak/>
        <w:t>Purpose</w:t>
      </w:r>
      <w:r w:rsidRPr="00D3455D">
        <w:t xml:space="preserve"> of notifying anaphylaxis presentations</w:t>
      </w:r>
      <w:bookmarkEnd w:id="3"/>
    </w:p>
    <w:p w14:paraId="1CC46E65" w14:textId="178BB8BC" w:rsidR="00735AB6" w:rsidRPr="00DA5D9A" w:rsidRDefault="00735AB6" w:rsidP="0093712D">
      <w:pPr>
        <w:pStyle w:val="DHHSbody"/>
      </w:pPr>
      <w:r w:rsidRPr="00DA5D9A">
        <w:t xml:space="preserve">The primary purpose of the anaphylaxis notification </w:t>
      </w:r>
      <w:r w:rsidR="000C4682" w:rsidRPr="00DA5D9A">
        <w:t>scheme</w:t>
      </w:r>
      <w:r w:rsidRPr="00DA5D9A">
        <w:t xml:space="preserve"> is to </w:t>
      </w:r>
      <w:r w:rsidRPr="00AF22AF">
        <w:rPr>
          <w:b/>
        </w:rPr>
        <w:t xml:space="preserve">allow </w:t>
      </w:r>
      <w:r w:rsidRPr="00AF22AF">
        <w:rPr>
          <w:b/>
          <w:lang w:val="en"/>
        </w:rPr>
        <w:t xml:space="preserve">the department </w:t>
      </w:r>
      <w:r w:rsidRPr="00AF22AF">
        <w:rPr>
          <w:b/>
        </w:rPr>
        <w:t>to take swift action where a notification reveals a broader public health risk</w:t>
      </w:r>
      <w:r w:rsidRPr="00DA5D9A">
        <w:t xml:space="preserve">, such as </w:t>
      </w:r>
      <w:r w:rsidR="00407A15">
        <w:t>a food which contains an allergen but does not declare it on the label</w:t>
      </w:r>
      <w:r w:rsidR="0041242A">
        <w:t xml:space="preserve"> or poor allergen management at a food business</w:t>
      </w:r>
      <w:r w:rsidR="00407A15">
        <w:t>.</w:t>
      </w:r>
      <w:r w:rsidRPr="00DA5D9A">
        <w:t xml:space="preserve"> </w:t>
      </w:r>
      <w:r w:rsidR="00407A15">
        <w:t>A</w:t>
      </w:r>
      <w:r w:rsidRPr="00DA5D9A">
        <w:t>ction may include a food recall to remove an offending food product from the marketplace</w:t>
      </w:r>
      <w:r w:rsidR="00AF75C8">
        <w:t xml:space="preserve"> or addressing poor allergen management in food businesses</w:t>
      </w:r>
      <w:r w:rsidRPr="00DA5D9A">
        <w:t>.</w:t>
      </w:r>
    </w:p>
    <w:p w14:paraId="36CBDFF3" w14:textId="1953EF2F" w:rsidR="00735AB6" w:rsidRPr="00DA5D9A" w:rsidRDefault="00407A15" w:rsidP="0093712D">
      <w:pPr>
        <w:pStyle w:val="DHHSbody"/>
      </w:pPr>
      <w:r>
        <w:t>P</w:t>
      </w:r>
      <w:r w:rsidR="00735AB6" w:rsidRPr="00DA5D9A">
        <w:t>resentations to hospitals of anaphylaxis, where t</w:t>
      </w:r>
      <w:r w:rsidR="006B0F6D">
        <w:t xml:space="preserve">he suspected cause is a </w:t>
      </w:r>
      <w:r w:rsidR="00735AB6" w:rsidRPr="00DA5D9A">
        <w:t xml:space="preserve">packaged food, are </w:t>
      </w:r>
      <w:r>
        <w:t xml:space="preserve">considered </w:t>
      </w:r>
      <w:r w:rsidR="00735AB6" w:rsidRPr="00DA5D9A">
        <w:t>the highest priority</w:t>
      </w:r>
      <w:r>
        <w:t xml:space="preserve"> and</w:t>
      </w:r>
      <w:r w:rsidR="00735AB6" w:rsidRPr="00DA5D9A">
        <w:t xml:space="preserve"> the Regulations require these to be notified immediately.</w:t>
      </w:r>
      <w:r w:rsidR="00AF75C8">
        <w:t xml:space="preserve"> </w:t>
      </w:r>
      <w:r w:rsidR="00F11507">
        <w:t>For</w:t>
      </w:r>
      <w:r w:rsidR="00AF75C8">
        <w:t xml:space="preserve"> anaphylaxis notifications, the department considers this to be as soon as practicable, but within 24 hours.</w:t>
      </w:r>
    </w:p>
    <w:p w14:paraId="3545CCC6" w14:textId="76C650AC" w:rsidR="00735AB6" w:rsidRDefault="00735AB6" w:rsidP="0093712D">
      <w:pPr>
        <w:pStyle w:val="DHHSbody"/>
        <w:rPr>
          <w:lang w:val="en"/>
        </w:rPr>
      </w:pPr>
      <w:r w:rsidRPr="009E3A54">
        <w:rPr>
          <w:lang w:val="en"/>
        </w:rPr>
        <w:t>In addition, data collected will enable the department to better understand the burden of anaphylaxis in Victoria and</w:t>
      </w:r>
      <w:r>
        <w:rPr>
          <w:lang w:val="en"/>
        </w:rPr>
        <w:t xml:space="preserve">, where possible, </w:t>
      </w:r>
      <w:r w:rsidRPr="009E3A54">
        <w:rPr>
          <w:lang w:val="en"/>
        </w:rPr>
        <w:t>inform public health policy,</w:t>
      </w:r>
      <w:r w:rsidR="0041242A">
        <w:rPr>
          <w:lang w:val="en"/>
        </w:rPr>
        <w:t xml:space="preserve"> service provision,</w:t>
      </w:r>
      <w:r w:rsidRPr="009E3A54">
        <w:rPr>
          <w:lang w:val="en"/>
        </w:rPr>
        <w:t xml:space="preserve"> interventions and research.</w:t>
      </w:r>
    </w:p>
    <w:p w14:paraId="0DF7991D" w14:textId="08412B72" w:rsidR="00C36D75" w:rsidRPr="00EE7036" w:rsidRDefault="000E547E" w:rsidP="001E7155">
      <w:pPr>
        <w:pStyle w:val="Heading1"/>
        <w:spacing w:before="360"/>
      </w:pPr>
      <w:bookmarkStart w:id="4" w:name="_Toc11941605"/>
      <w:r>
        <w:t>U</w:t>
      </w:r>
      <w:r w:rsidR="007B4B0D">
        <w:t>nderstanding the Act</w:t>
      </w:r>
      <w:r>
        <w:t>:</w:t>
      </w:r>
      <w:r w:rsidRPr="000E547E">
        <w:t xml:space="preserve"> </w:t>
      </w:r>
      <w:r>
        <w:t>y</w:t>
      </w:r>
      <w:r w:rsidRPr="00EE7036">
        <w:t>our requirement to notify</w:t>
      </w:r>
      <w:bookmarkEnd w:id="4"/>
    </w:p>
    <w:p w14:paraId="5FD66B78" w14:textId="766B317B" w:rsidR="00AE7F3B" w:rsidRPr="0093712D" w:rsidRDefault="00814D98" w:rsidP="0093712D">
      <w:pPr>
        <w:pStyle w:val="DHHSbody"/>
      </w:pPr>
      <w:r>
        <w:t>It is</w:t>
      </w:r>
      <w:r w:rsidR="00AE7F3B" w:rsidRPr="0093712D">
        <w:t xml:space="preserve"> </w:t>
      </w:r>
      <w:r w:rsidR="00AE7F3B" w:rsidRPr="0093712D">
        <w:rPr>
          <w:b/>
        </w:rPr>
        <w:t xml:space="preserve">mandatory for </w:t>
      </w:r>
      <w:r w:rsidR="0041242A">
        <w:rPr>
          <w:b/>
        </w:rPr>
        <w:t xml:space="preserve">Victorian </w:t>
      </w:r>
      <w:r w:rsidR="00AE7F3B" w:rsidRPr="0093712D">
        <w:rPr>
          <w:b/>
        </w:rPr>
        <w:t>public and private hospitals to report a</w:t>
      </w:r>
      <w:r w:rsidR="006B0F6D">
        <w:rPr>
          <w:b/>
        </w:rPr>
        <w:t>ll</w:t>
      </w:r>
      <w:r w:rsidR="00AE7F3B" w:rsidRPr="0093712D">
        <w:rPr>
          <w:b/>
        </w:rPr>
        <w:t xml:space="preserve"> case</w:t>
      </w:r>
      <w:r w:rsidR="006B0F6D">
        <w:rPr>
          <w:b/>
        </w:rPr>
        <w:t>s</w:t>
      </w:r>
      <w:r w:rsidR="00AE7F3B" w:rsidRPr="0093712D">
        <w:rPr>
          <w:b/>
        </w:rPr>
        <w:t xml:space="preserve"> of anaphylaxis presenting for treatment</w:t>
      </w:r>
      <w:r w:rsidR="00AE7F3B" w:rsidRPr="0093712D">
        <w:t xml:space="preserve"> to the </w:t>
      </w:r>
      <w:r w:rsidR="0041242A">
        <w:t>department</w:t>
      </w:r>
      <w:r w:rsidR="00AE7F3B" w:rsidRPr="0093712D">
        <w:t>.</w:t>
      </w:r>
    </w:p>
    <w:p w14:paraId="06BDF5FF" w14:textId="1BBD222D" w:rsidR="00C96E81" w:rsidRPr="0093712D" w:rsidRDefault="00C96E81" w:rsidP="0093712D">
      <w:pPr>
        <w:pStyle w:val="DHHSbody"/>
      </w:pPr>
      <w:r w:rsidRPr="0093712D">
        <w:t>It is vital that hospitals familiarise themselves with the legislative requirements, and the</w:t>
      </w:r>
      <w:r w:rsidR="002125B2" w:rsidRPr="0093712D">
        <w:t>ir</w:t>
      </w:r>
      <w:r w:rsidRPr="0093712D">
        <w:t xml:space="preserve"> obligations</w:t>
      </w:r>
      <w:r w:rsidR="00AF22AF" w:rsidRPr="0093712D">
        <w:t>,</w:t>
      </w:r>
      <w:r w:rsidRPr="0093712D">
        <w:t xml:space="preserve"> as anaphylaxis reporting bodies. </w:t>
      </w:r>
    </w:p>
    <w:p w14:paraId="3C038DAC" w14:textId="69C4C955" w:rsidR="009F0CCE" w:rsidRPr="0093712D" w:rsidRDefault="0041242A" w:rsidP="0093712D">
      <w:pPr>
        <w:pStyle w:val="DHHSbody"/>
      </w:pPr>
      <w:r>
        <w:t>T</w:t>
      </w:r>
      <w:r w:rsidR="00145BBB" w:rsidRPr="0093712D">
        <w:t>he</w:t>
      </w:r>
      <w:r w:rsidR="002125B2" w:rsidRPr="0093712D">
        <w:t xml:space="preserve"> </w:t>
      </w:r>
      <w:r w:rsidR="002125B2" w:rsidRPr="0093712D">
        <w:rPr>
          <w:i/>
        </w:rPr>
        <w:t>Public</w:t>
      </w:r>
      <w:r w:rsidR="00145BBB" w:rsidRPr="0093712D">
        <w:rPr>
          <w:i/>
        </w:rPr>
        <w:t xml:space="preserve"> Health and Well Being Act 2008</w:t>
      </w:r>
      <w:r w:rsidR="002125B2" w:rsidRPr="0093712D">
        <w:t xml:space="preserve"> </w:t>
      </w:r>
      <w:r w:rsidR="00AF22AF" w:rsidRPr="0093712D">
        <w:t>(Appendix 1)</w:t>
      </w:r>
      <w:r w:rsidR="009133BC" w:rsidRPr="0093712D">
        <w:t xml:space="preserve"> places the onus to </w:t>
      </w:r>
      <w:r w:rsidR="00AF22AF" w:rsidRPr="0093712D">
        <w:t>notify</w:t>
      </w:r>
      <w:r w:rsidR="009133BC" w:rsidRPr="0093712D">
        <w:t xml:space="preserve"> on an </w:t>
      </w:r>
      <w:r w:rsidR="009133BC" w:rsidRPr="0093712D">
        <w:rPr>
          <w:b/>
        </w:rPr>
        <w:t>anap</w:t>
      </w:r>
      <w:r w:rsidR="00AF22AF" w:rsidRPr="0093712D">
        <w:rPr>
          <w:b/>
        </w:rPr>
        <w:t>hylaxis reporting body</w:t>
      </w:r>
      <w:r w:rsidR="00AF22AF" w:rsidRPr="0093712D">
        <w:t>,</w:t>
      </w:r>
      <w:r w:rsidR="009133BC" w:rsidRPr="0093712D">
        <w:t xml:space="preserve"> defined as</w:t>
      </w:r>
      <w:r w:rsidR="009F0CCE" w:rsidRPr="0093712D">
        <w:t>:</w:t>
      </w:r>
    </w:p>
    <w:p w14:paraId="623AA18C" w14:textId="7541E380" w:rsidR="009F0CCE" w:rsidRDefault="0093712D" w:rsidP="0093712D">
      <w:pPr>
        <w:pStyle w:val="DHHSbullet1"/>
      </w:pPr>
      <w:r>
        <w:t>a public hospital</w:t>
      </w:r>
      <w:r w:rsidR="00170B26">
        <w:t>,</w:t>
      </w:r>
    </w:p>
    <w:p w14:paraId="291CCA35" w14:textId="7BC19CEF" w:rsidR="009F0CCE" w:rsidRDefault="0093712D" w:rsidP="0093712D">
      <w:pPr>
        <w:pStyle w:val="DHHSbullet1"/>
      </w:pPr>
      <w:r>
        <w:t>a denominational hospital</w:t>
      </w:r>
      <w:r w:rsidR="00170B26">
        <w:t>,</w:t>
      </w:r>
    </w:p>
    <w:p w14:paraId="602A486C" w14:textId="4DAE6B31" w:rsidR="009F0CCE" w:rsidRDefault="0093712D" w:rsidP="0093712D">
      <w:pPr>
        <w:pStyle w:val="DHHSbullet1"/>
      </w:pPr>
      <w:r>
        <w:t>a private hospital</w:t>
      </w:r>
      <w:r w:rsidR="00170B26">
        <w:t>,</w:t>
      </w:r>
    </w:p>
    <w:p w14:paraId="30FEB60E" w14:textId="0BE85044" w:rsidR="009F0CCE" w:rsidRDefault="0093712D" w:rsidP="0093712D">
      <w:pPr>
        <w:pStyle w:val="DHHSbullet1"/>
      </w:pPr>
      <w:r>
        <w:t>a multi-purpose service</w:t>
      </w:r>
      <w:r w:rsidR="00170B26">
        <w:t>,</w:t>
      </w:r>
      <w:r>
        <w:t xml:space="preserve"> or</w:t>
      </w:r>
    </w:p>
    <w:p w14:paraId="595CA375" w14:textId="2778A218" w:rsidR="009F0CCE" w:rsidRDefault="009133BC" w:rsidP="0093712D">
      <w:pPr>
        <w:pStyle w:val="DHHSbullet1lastline"/>
      </w:pPr>
      <w:r>
        <w:t>a privately-operated hospital with</w:t>
      </w:r>
      <w:r w:rsidR="009F0CCE">
        <w:t>in</w:t>
      </w:r>
      <w:r>
        <w:t xml:space="preserve"> the meaning of the </w:t>
      </w:r>
      <w:r w:rsidRPr="0093712D">
        <w:rPr>
          <w:i/>
        </w:rPr>
        <w:t>Health Services Act 1988</w:t>
      </w:r>
      <w:r>
        <w:t xml:space="preserve">. </w:t>
      </w:r>
    </w:p>
    <w:p w14:paraId="6F07FFB6" w14:textId="36F3B1F6" w:rsidR="009F0CCE" w:rsidRDefault="00AF22AF" w:rsidP="009F0CCE">
      <w:pPr>
        <w:pStyle w:val="DHHSbody"/>
      </w:pPr>
      <w:r>
        <w:t>N</w:t>
      </w:r>
      <w:r w:rsidR="009133BC">
        <w:t>otification to the department</w:t>
      </w:r>
      <w:r>
        <w:t xml:space="preserve"> </w:t>
      </w:r>
      <w:r w:rsidR="009133BC">
        <w:t xml:space="preserve">is required </w:t>
      </w:r>
      <w:r w:rsidR="009133BC" w:rsidRPr="00AF22AF">
        <w:rPr>
          <w:b/>
        </w:rPr>
        <w:t>if a registered medical practitioner employed at, or otherwise engaged by the anaphylaxis reporting body, has reasonable grounds to believe that a person presenting for treatment at the anaphylaxis reporting body has anaphylaxis</w:t>
      </w:r>
      <w:r w:rsidR="00CE3DFE">
        <w:t xml:space="preserve"> (section 130B(1))</w:t>
      </w:r>
      <w:r w:rsidR="009133BC">
        <w:t xml:space="preserve">. </w:t>
      </w:r>
      <w:r w:rsidR="00407A15">
        <w:t xml:space="preserve">Note, the legislation permits other clinical staff to notify cases of anaphylaxis if a registered medical practitioner is overseeing the care of the patient. In situations where a registered medical practitioner is not involved in managing patients presenting to the hospital (for example in nurse-led urgent care settings), clinical staff are still encouraged to </w:t>
      </w:r>
      <w:r w:rsidR="00287D95" w:rsidRPr="00287D95">
        <w:t xml:space="preserve">notify the Secretary of any cases of anaphylaxis to ensure that any </w:t>
      </w:r>
      <w:r w:rsidR="00766523">
        <w:t>mislabelled</w:t>
      </w:r>
      <w:r w:rsidR="00287D95" w:rsidRPr="00287D95">
        <w:t xml:space="preserve"> food </w:t>
      </w:r>
      <w:r w:rsidR="004A47BE">
        <w:t xml:space="preserve">does not remain in the marketplace placing other allergic consumers at risk. </w:t>
      </w:r>
    </w:p>
    <w:p w14:paraId="1CDC2A2D" w14:textId="093DEFEB" w:rsidR="00EA4F24" w:rsidRDefault="009133BC" w:rsidP="009133BC">
      <w:pPr>
        <w:pStyle w:val="DHHSbody"/>
      </w:pPr>
      <w:r>
        <w:t xml:space="preserve">Notifications must be </w:t>
      </w:r>
      <w:r w:rsidRPr="005C05DA">
        <w:rPr>
          <w:b/>
        </w:rPr>
        <w:t xml:space="preserve">submitted in accordance with the </w:t>
      </w:r>
      <w:r w:rsidR="007C7BC6" w:rsidRPr="005C05DA">
        <w:rPr>
          <w:b/>
        </w:rPr>
        <w:t>Regulations</w:t>
      </w:r>
      <w:r w:rsidR="005C05DA">
        <w:t>, which</w:t>
      </w:r>
      <w:r w:rsidR="005C05DA" w:rsidRPr="005C05DA">
        <w:t xml:space="preserve"> prescribe </w:t>
      </w:r>
      <w:r w:rsidR="00F11507">
        <w:t>when and how</w:t>
      </w:r>
      <w:r w:rsidR="005C05DA" w:rsidRPr="005C05DA">
        <w:t xml:space="preserve"> a notification for anaphylaxis should be made and the details that need to be included</w:t>
      </w:r>
      <w:r w:rsidR="005C05DA">
        <w:t xml:space="preserve"> (see</w:t>
      </w:r>
      <w:r w:rsidR="00C42442">
        <w:t xml:space="preserve"> section</w:t>
      </w:r>
      <w:r w:rsidR="005C05DA">
        <w:t xml:space="preserve"> below, and appendix 2</w:t>
      </w:r>
      <w:r w:rsidR="00CE3DFE">
        <w:t>)</w:t>
      </w:r>
      <w:r w:rsidR="007C7BC6">
        <w:t>.</w:t>
      </w:r>
    </w:p>
    <w:p w14:paraId="34D2F325" w14:textId="4B663508" w:rsidR="007C7BC6" w:rsidRPr="009E3A54" w:rsidRDefault="009133BC" w:rsidP="007C7BC6">
      <w:pPr>
        <w:pStyle w:val="DHHSbody"/>
      </w:pPr>
      <w:r>
        <w:lastRenderedPageBreak/>
        <w:t xml:space="preserve">The Act also requires the </w:t>
      </w:r>
      <w:r w:rsidRPr="002125B2">
        <w:rPr>
          <w:b/>
        </w:rPr>
        <w:t xml:space="preserve">person in charge of </w:t>
      </w:r>
      <w:r w:rsidRPr="00145BBB">
        <w:rPr>
          <w:b/>
        </w:rPr>
        <w:t>the anaphylaxis reporting body</w:t>
      </w:r>
      <w:r w:rsidR="007C7BC6" w:rsidRPr="002125B2">
        <w:t xml:space="preserve"> </w:t>
      </w:r>
      <w:r w:rsidRPr="002125B2">
        <w:t>to implement processes to ensure that it complies</w:t>
      </w:r>
      <w:r>
        <w:t xml:space="preserve"> with the requirement to notify.</w:t>
      </w:r>
      <w:r w:rsidR="007C7BC6">
        <w:t xml:space="preserve"> </w:t>
      </w:r>
      <w:r w:rsidR="007C7BC6" w:rsidRPr="009E3A54">
        <w:t>For the purposes of anaphylaxis notification</w:t>
      </w:r>
      <w:r w:rsidR="004A47BE">
        <w:t xml:space="preserve">, </w:t>
      </w:r>
      <w:r w:rsidR="00B37A5C">
        <w:t>the person in charge of a</w:t>
      </w:r>
      <w:r w:rsidR="007C7BC6" w:rsidRPr="009E3A54">
        <w:t>:</w:t>
      </w:r>
    </w:p>
    <w:p w14:paraId="1BC69DAC" w14:textId="6AB3CAC5" w:rsidR="007C7BC6" w:rsidRPr="009E3A54" w:rsidRDefault="007C7BC6" w:rsidP="0093712D">
      <w:pPr>
        <w:pStyle w:val="DHHSbullet1"/>
      </w:pPr>
      <w:r w:rsidRPr="009E3A54">
        <w:t xml:space="preserve">public hospital, denominational hospital, multi-purpose services </w:t>
      </w:r>
      <w:r>
        <w:t xml:space="preserve">or privately-operated hospital </w:t>
      </w:r>
      <w:r w:rsidRPr="009E3A54">
        <w:t xml:space="preserve">is the Chief Executive Officer, and </w:t>
      </w:r>
    </w:p>
    <w:p w14:paraId="2D9B910C" w14:textId="2DD62F09" w:rsidR="007C7BC6" w:rsidRDefault="007C7BC6" w:rsidP="0093712D">
      <w:pPr>
        <w:pStyle w:val="DHHSbullet1lastline"/>
      </w:pPr>
      <w:r w:rsidRPr="009E3A54">
        <w:t>private hospital is the proprietor of the private hospital.</w:t>
      </w:r>
    </w:p>
    <w:p w14:paraId="0610955B" w14:textId="3A775D15" w:rsidR="00C96E81" w:rsidRDefault="00C96E81" w:rsidP="007B4B0D">
      <w:pPr>
        <w:pStyle w:val="Heading1"/>
      </w:pPr>
      <w:bookmarkStart w:id="5" w:name="_Toc11941606"/>
      <w:r w:rsidRPr="00AF3477">
        <w:t>What to notify</w:t>
      </w:r>
      <w:r w:rsidR="003F3DC8">
        <w:t xml:space="preserve"> under the scheme?</w:t>
      </w:r>
      <w:bookmarkEnd w:id="5"/>
    </w:p>
    <w:p w14:paraId="50219F05" w14:textId="2829AF16" w:rsidR="00E21579" w:rsidRDefault="004A47BE" w:rsidP="00BF273F">
      <w:pPr>
        <w:pStyle w:val="DHHSbody"/>
      </w:pPr>
      <w:r>
        <w:t>H</w:t>
      </w:r>
      <w:r w:rsidR="00C96E81" w:rsidRPr="00AF3477">
        <w:t xml:space="preserve">ospitals are required to </w:t>
      </w:r>
      <w:r w:rsidR="001D199E">
        <w:t xml:space="preserve">report </w:t>
      </w:r>
      <w:r w:rsidR="00C96E81" w:rsidRPr="00AF3477">
        <w:t xml:space="preserve">to the department </w:t>
      </w:r>
      <w:r w:rsidR="001D199E">
        <w:rPr>
          <w:b/>
        </w:rPr>
        <w:t xml:space="preserve">all </w:t>
      </w:r>
      <w:r w:rsidR="001D199E" w:rsidRPr="001D199E">
        <w:rPr>
          <w:b/>
        </w:rPr>
        <w:t xml:space="preserve">cases </w:t>
      </w:r>
      <w:r w:rsidR="00696C5E">
        <w:rPr>
          <w:b/>
        </w:rPr>
        <w:t>presenting to the hospital</w:t>
      </w:r>
      <w:r w:rsidR="00696C5E" w:rsidRPr="001D199E">
        <w:rPr>
          <w:b/>
        </w:rPr>
        <w:t xml:space="preserve"> </w:t>
      </w:r>
      <w:r w:rsidR="001D199E" w:rsidRPr="001D199E">
        <w:rPr>
          <w:b/>
        </w:rPr>
        <w:t>with anaphylaxis</w:t>
      </w:r>
      <w:r w:rsidR="00696C5E">
        <w:rPr>
          <w:b/>
        </w:rPr>
        <w:t xml:space="preserve"> </w:t>
      </w:r>
      <w:r w:rsidR="001D199E" w:rsidRPr="001D199E">
        <w:rPr>
          <w:b/>
        </w:rPr>
        <w:t>to any allergen, known or unknown</w:t>
      </w:r>
      <w:r w:rsidR="00766523">
        <w:rPr>
          <w:b/>
        </w:rPr>
        <w:t>.</w:t>
      </w:r>
    </w:p>
    <w:tbl>
      <w:tblPr>
        <w:tblStyle w:val="TableGrid"/>
        <w:tblW w:w="0" w:type="auto"/>
        <w:jc w:val="center"/>
        <w:tblInd w:w="0" w:type="dxa"/>
        <w:tblLook w:val="04A0" w:firstRow="1" w:lastRow="0" w:firstColumn="1" w:lastColumn="0" w:noHBand="0" w:noVBand="1"/>
      </w:tblPr>
      <w:tblGrid>
        <w:gridCol w:w="9406"/>
      </w:tblGrid>
      <w:tr w:rsidR="00CF65B9" w14:paraId="2604ACBF" w14:textId="77777777" w:rsidTr="00BF273F">
        <w:trPr>
          <w:jc w:val="center"/>
        </w:trPr>
        <w:tc>
          <w:tcPr>
            <w:tcW w:w="9406" w:type="dxa"/>
          </w:tcPr>
          <w:p w14:paraId="243AB96A" w14:textId="77777777" w:rsidR="00E21579" w:rsidRDefault="00E21579" w:rsidP="00BF273F">
            <w:pPr>
              <w:pStyle w:val="Heading3"/>
              <w:spacing w:before="0"/>
              <w:outlineLvl w:val="2"/>
            </w:pPr>
            <w:r>
              <w:t>Definition of a</w:t>
            </w:r>
            <w:r w:rsidRPr="00D3455D">
              <w:t>naphylaxis</w:t>
            </w:r>
            <w:r>
              <w:t xml:space="preserve"> </w:t>
            </w:r>
          </w:p>
          <w:p w14:paraId="2DCDF4B8" w14:textId="083E0935" w:rsidR="00AF75C8" w:rsidRPr="00AF75C8" w:rsidRDefault="00AF75C8" w:rsidP="00BF273F">
            <w:pPr>
              <w:pStyle w:val="DHHSbody"/>
              <w:spacing w:afterLines="60" w:after="144"/>
            </w:pPr>
            <w:r w:rsidRPr="00AF75C8">
              <w:t xml:space="preserve">A case of anaphylaxis should be notified to the </w:t>
            </w:r>
            <w:r w:rsidR="00E21579">
              <w:t>department</w:t>
            </w:r>
            <w:r w:rsidRPr="00AF75C8">
              <w:t xml:space="preserve"> when a registered medical practitioner has reasonable grounds to believe that a person presenting for treatment has anaphylaxis. This includes situations where one or more symptoms of their anaphylaxis has resolved at the time of presentation.  </w:t>
            </w:r>
          </w:p>
          <w:p w14:paraId="5131FBA1" w14:textId="77777777" w:rsidR="00AF75C8" w:rsidRPr="00AF75C8" w:rsidRDefault="00AF75C8" w:rsidP="00BF273F">
            <w:pPr>
              <w:pStyle w:val="DHHSbody"/>
              <w:spacing w:afterLines="60" w:after="144"/>
            </w:pPr>
            <w:r w:rsidRPr="00AF75C8">
              <w:t>Anaphylaxis has no universally accepted definition but can be defined as a severe, potentially life-threatening systemic hypersensitivity reaction characterised by</w:t>
            </w:r>
            <w:r w:rsidRPr="00AF75C8">
              <w:rPr>
                <w:rStyle w:val="FootnoteReference"/>
              </w:rPr>
              <w:footnoteReference w:id="1"/>
            </w:r>
            <w:r w:rsidRPr="00AF75C8">
              <w:t xml:space="preserve">: </w:t>
            </w:r>
          </w:p>
          <w:p w14:paraId="058F1F97" w14:textId="77777777" w:rsidR="00AF75C8" w:rsidRPr="00AF75C8" w:rsidRDefault="00AF75C8" w:rsidP="00BF273F">
            <w:pPr>
              <w:pStyle w:val="DHHSbody"/>
              <w:spacing w:afterLines="60" w:after="144"/>
            </w:pPr>
            <w:r w:rsidRPr="00AF75C8">
              <w:t>• rapid onset of a life-threatening airway, breathing or circulatory problems</w:t>
            </w:r>
          </w:p>
          <w:p w14:paraId="5EBB9E00" w14:textId="77777777" w:rsidR="00AF75C8" w:rsidRPr="00AF75C8" w:rsidRDefault="00AF75C8" w:rsidP="00BF273F">
            <w:pPr>
              <w:pStyle w:val="DHHSbody"/>
              <w:spacing w:afterLines="60" w:after="144"/>
            </w:pPr>
            <w:r w:rsidRPr="00AF75C8">
              <w:t xml:space="preserve">• (usually, but not always) skin and mucosal changes. </w:t>
            </w:r>
          </w:p>
          <w:p w14:paraId="2C7BD770" w14:textId="5EA93E0A" w:rsidR="00AF75C8" w:rsidRDefault="00AF75C8" w:rsidP="00BF273F">
            <w:pPr>
              <w:pStyle w:val="DHHSbody"/>
            </w:pPr>
            <w:r w:rsidRPr="00AF75C8">
              <w:t>Note: Vomiting and abdominal pain are symptoms of anaphylaxis to insect venom and systemically administered allergens</w:t>
            </w:r>
          </w:p>
        </w:tc>
      </w:tr>
    </w:tbl>
    <w:p w14:paraId="3837AD32" w14:textId="002FD8D2" w:rsidR="00C96E81" w:rsidRPr="00A70103" w:rsidRDefault="00C96E81" w:rsidP="00A70103">
      <w:pPr>
        <w:pStyle w:val="Heading3"/>
      </w:pPr>
      <w:r w:rsidRPr="00A70103">
        <w:t>Common symptoms and signs of anaphylaxis</w:t>
      </w:r>
      <w:r w:rsidR="00A70103">
        <w:rPr>
          <w:rStyle w:val="FootnoteReference"/>
        </w:rPr>
        <w:footnoteReference w:id="2"/>
      </w:r>
    </w:p>
    <w:p w14:paraId="4AFC3BF1" w14:textId="75DBF6F9" w:rsidR="00C96E81" w:rsidRPr="00A70103" w:rsidRDefault="007004B2" w:rsidP="003C3135">
      <w:pPr>
        <w:pStyle w:val="Heading4"/>
        <w:spacing w:after="0" w:line="270" w:lineRule="atLeast"/>
      </w:pPr>
      <w:r>
        <w:t xml:space="preserve">Dermatological/skin </w:t>
      </w:r>
      <w:r w:rsidR="00C96E81" w:rsidRPr="00A70103">
        <w:t xml:space="preserve">and mucous membrane features </w:t>
      </w:r>
    </w:p>
    <w:p w14:paraId="49947227" w14:textId="5B53FAFC" w:rsidR="00C96E81" w:rsidRPr="009E3A54" w:rsidRDefault="00C96E81" w:rsidP="003C3135">
      <w:pPr>
        <w:pStyle w:val="DHHSbullet1"/>
        <w:spacing w:after="0"/>
        <w:rPr>
          <w:lang w:val="en" w:eastAsia="en-AU"/>
        </w:rPr>
      </w:pPr>
      <w:r w:rsidRPr="009E3A54">
        <w:rPr>
          <w:lang w:val="en" w:eastAsia="en-AU"/>
        </w:rPr>
        <w:t>Urticarial rash</w:t>
      </w:r>
      <w:r w:rsidR="00692DEB">
        <w:rPr>
          <w:lang w:val="en" w:eastAsia="en-AU"/>
        </w:rPr>
        <w:t>.</w:t>
      </w:r>
    </w:p>
    <w:p w14:paraId="5EEC27B2" w14:textId="3FD06A4B" w:rsidR="00C96E81" w:rsidRPr="009E3A54" w:rsidRDefault="00C96E81" w:rsidP="003C3135">
      <w:pPr>
        <w:pStyle w:val="DHHSbullet1"/>
        <w:spacing w:after="0"/>
        <w:rPr>
          <w:lang w:val="en" w:eastAsia="en-AU"/>
        </w:rPr>
      </w:pPr>
      <w:r w:rsidRPr="009E3A54">
        <w:rPr>
          <w:lang w:val="en" w:eastAsia="en-AU"/>
        </w:rPr>
        <w:t>Erythema/flushing</w:t>
      </w:r>
      <w:r w:rsidR="00692DEB">
        <w:rPr>
          <w:lang w:val="en" w:eastAsia="en-AU"/>
        </w:rPr>
        <w:t>.</w:t>
      </w:r>
    </w:p>
    <w:p w14:paraId="24BBB63A" w14:textId="398A836E" w:rsidR="00C96E81" w:rsidRPr="009E3A54" w:rsidRDefault="00C96E81" w:rsidP="003C3135">
      <w:pPr>
        <w:pStyle w:val="DHHSbullet1lastline"/>
        <w:spacing w:after="0"/>
        <w:rPr>
          <w:lang w:val="en" w:eastAsia="en-AU"/>
        </w:rPr>
      </w:pPr>
      <w:r w:rsidRPr="009E3A54">
        <w:rPr>
          <w:lang w:val="en" w:eastAsia="en-AU"/>
        </w:rPr>
        <w:t>Angioedema</w:t>
      </w:r>
      <w:r w:rsidR="00692DEB">
        <w:rPr>
          <w:lang w:val="en" w:eastAsia="en-AU"/>
        </w:rPr>
        <w:t>.</w:t>
      </w:r>
      <w:r w:rsidRPr="009E3A54">
        <w:rPr>
          <w:lang w:val="en" w:eastAsia="en-AU"/>
        </w:rPr>
        <w:t xml:space="preserve"> </w:t>
      </w:r>
    </w:p>
    <w:p w14:paraId="504A8B63" w14:textId="77777777" w:rsidR="00C96E81" w:rsidRPr="00A70103" w:rsidRDefault="00C96E81" w:rsidP="003C3135">
      <w:pPr>
        <w:pStyle w:val="Heading4"/>
        <w:spacing w:after="0" w:line="270" w:lineRule="atLeast"/>
      </w:pPr>
      <w:r w:rsidRPr="00A70103">
        <w:rPr>
          <w:lang w:val="en" w:eastAsia="en-AU"/>
        </w:rPr>
        <w:t xml:space="preserve">Respiratory/chest features (most common in children) </w:t>
      </w:r>
    </w:p>
    <w:p w14:paraId="56D23745" w14:textId="11E0F80B" w:rsidR="00C96E81" w:rsidRPr="009E3A54" w:rsidRDefault="00C96E81" w:rsidP="003C3135">
      <w:pPr>
        <w:pStyle w:val="DHHSbullet1"/>
        <w:spacing w:after="0"/>
        <w:rPr>
          <w:lang w:val="en" w:eastAsia="en-AU"/>
        </w:rPr>
      </w:pPr>
      <w:r w:rsidRPr="009E3A54">
        <w:rPr>
          <w:lang w:val="en" w:eastAsia="en-AU"/>
        </w:rPr>
        <w:t>Persistent cough</w:t>
      </w:r>
      <w:r w:rsidR="00692DEB">
        <w:rPr>
          <w:lang w:val="en" w:eastAsia="en-AU"/>
        </w:rPr>
        <w:t>.</w:t>
      </w:r>
    </w:p>
    <w:p w14:paraId="599F37E5" w14:textId="7E9872BE" w:rsidR="00C96E81" w:rsidRPr="009E3A54" w:rsidRDefault="00C96E81" w:rsidP="003C3135">
      <w:pPr>
        <w:pStyle w:val="DHHSbullet1"/>
        <w:spacing w:after="0"/>
        <w:rPr>
          <w:lang w:val="en" w:eastAsia="en-AU"/>
        </w:rPr>
      </w:pPr>
      <w:r w:rsidRPr="009E3A54">
        <w:rPr>
          <w:lang w:val="en" w:eastAsia="en-AU"/>
        </w:rPr>
        <w:t>Wheeze</w:t>
      </w:r>
      <w:r w:rsidR="00692DEB">
        <w:rPr>
          <w:lang w:val="en" w:eastAsia="en-AU"/>
        </w:rPr>
        <w:t>.</w:t>
      </w:r>
    </w:p>
    <w:p w14:paraId="4C302043" w14:textId="20400219" w:rsidR="00C96E81" w:rsidRPr="009E3A54" w:rsidRDefault="00692DEB" w:rsidP="003C3135">
      <w:pPr>
        <w:pStyle w:val="DHHSbullet1"/>
        <w:spacing w:after="0"/>
        <w:rPr>
          <w:lang w:val="en" w:eastAsia="en-AU"/>
        </w:rPr>
      </w:pPr>
      <w:r>
        <w:rPr>
          <w:lang w:val="en" w:eastAsia="en-AU"/>
        </w:rPr>
        <w:t>Tongue swelling.</w:t>
      </w:r>
    </w:p>
    <w:p w14:paraId="6D527C89" w14:textId="730558A5" w:rsidR="00C96E81" w:rsidRPr="009E3A54" w:rsidRDefault="00692DEB" w:rsidP="003C3135">
      <w:pPr>
        <w:pStyle w:val="DHHSbullet1"/>
        <w:spacing w:after="0"/>
        <w:rPr>
          <w:lang w:val="en" w:eastAsia="en-AU"/>
        </w:rPr>
      </w:pPr>
      <w:r>
        <w:rPr>
          <w:lang w:val="en" w:eastAsia="en-AU"/>
        </w:rPr>
        <w:t>Stridor.</w:t>
      </w:r>
    </w:p>
    <w:p w14:paraId="10807794" w14:textId="2F269FA3" w:rsidR="00C96E81" w:rsidRPr="009E3A54" w:rsidRDefault="00C96E81" w:rsidP="003C3135">
      <w:pPr>
        <w:pStyle w:val="DHHSbullet1"/>
        <w:spacing w:after="0"/>
        <w:rPr>
          <w:lang w:val="en" w:eastAsia="en-AU"/>
        </w:rPr>
      </w:pPr>
      <w:r w:rsidRPr="009E3A54">
        <w:rPr>
          <w:lang w:val="en" w:eastAsia="en-AU"/>
        </w:rPr>
        <w:t>Hoarse voice or change in character of the cry</w:t>
      </w:r>
      <w:r w:rsidR="00692DEB">
        <w:rPr>
          <w:lang w:val="en" w:eastAsia="en-AU"/>
        </w:rPr>
        <w:t>.</w:t>
      </w:r>
    </w:p>
    <w:p w14:paraId="2B781A25" w14:textId="77C7070E" w:rsidR="00C96E81" w:rsidRPr="009E3A54" w:rsidRDefault="00C96E81" w:rsidP="003C3135">
      <w:pPr>
        <w:pStyle w:val="DHHSbullet1"/>
        <w:spacing w:after="0"/>
        <w:rPr>
          <w:lang w:val="en" w:eastAsia="en-AU"/>
        </w:rPr>
      </w:pPr>
      <w:r w:rsidRPr="009E3A54">
        <w:rPr>
          <w:lang w:val="en" w:eastAsia="en-AU"/>
        </w:rPr>
        <w:t>Subjective feeling of swelling or tightness/tingling in the throat</w:t>
      </w:r>
      <w:r w:rsidR="00692DEB">
        <w:rPr>
          <w:lang w:val="en" w:eastAsia="en-AU"/>
        </w:rPr>
        <w:t>.</w:t>
      </w:r>
    </w:p>
    <w:p w14:paraId="398FCBD1" w14:textId="296691EF" w:rsidR="00C96E81" w:rsidRPr="009E3A54" w:rsidRDefault="00C96E81" w:rsidP="003C3135">
      <w:pPr>
        <w:pStyle w:val="DHHSbullet1lastline"/>
        <w:spacing w:after="0"/>
        <w:rPr>
          <w:lang w:val="en" w:eastAsia="en-AU"/>
        </w:rPr>
      </w:pPr>
      <w:r w:rsidRPr="009E3A54">
        <w:rPr>
          <w:lang w:val="en" w:eastAsia="en-AU"/>
        </w:rPr>
        <w:t>Dysphagia</w:t>
      </w:r>
      <w:r w:rsidR="00692DEB">
        <w:rPr>
          <w:lang w:val="en" w:eastAsia="en-AU"/>
        </w:rPr>
        <w:t>.</w:t>
      </w:r>
    </w:p>
    <w:p w14:paraId="5C8AEA9D" w14:textId="77777777" w:rsidR="00C96E81" w:rsidRPr="00AF3477" w:rsidRDefault="00C96E81" w:rsidP="003C3135">
      <w:pPr>
        <w:pStyle w:val="Heading4"/>
        <w:spacing w:after="0" w:line="270" w:lineRule="atLeast"/>
      </w:pPr>
      <w:r w:rsidRPr="00AF3477">
        <w:lastRenderedPageBreak/>
        <w:t xml:space="preserve">Cardiovascular features </w:t>
      </w:r>
    </w:p>
    <w:p w14:paraId="58577322" w14:textId="5EF93C3D" w:rsidR="00C96E81" w:rsidRPr="009E3A54" w:rsidRDefault="00C96E81" w:rsidP="003C3135">
      <w:pPr>
        <w:pStyle w:val="DHHSbullet1"/>
        <w:spacing w:after="0"/>
        <w:rPr>
          <w:lang w:val="en" w:eastAsia="en-AU"/>
        </w:rPr>
      </w:pPr>
      <w:r w:rsidRPr="009E3A54">
        <w:rPr>
          <w:lang w:val="en" w:eastAsia="en-AU"/>
        </w:rPr>
        <w:t>Pale and floppy (infant)</w:t>
      </w:r>
      <w:r w:rsidR="00692DEB">
        <w:rPr>
          <w:lang w:val="en" w:eastAsia="en-AU"/>
        </w:rPr>
        <w:t>.</w:t>
      </w:r>
    </w:p>
    <w:p w14:paraId="2DE8C0FC" w14:textId="1A88D5C4" w:rsidR="00C96E81" w:rsidRPr="009E3A54" w:rsidRDefault="00C96E81" w:rsidP="003C3135">
      <w:pPr>
        <w:pStyle w:val="DHHSbullet1"/>
        <w:spacing w:after="0"/>
        <w:rPr>
          <w:lang w:val="en" w:eastAsia="en-AU"/>
        </w:rPr>
      </w:pPr>
      <w:r w:rsidRPr="009E3A54">
        <w:rPr>
          <w:lang w:val="en" w:eastAsia="en-AU"/>
        </w:rPr>
        <w:t>Palpitations</w:t>
      </w:r>
      <w:r w:rsidR="00692DEB">
        <w:rPr>
          <w:lang w:val="en" w:eastAsia="en-AU"/>
        </w:rPr>
        <w:t>.</w:t>
      </w:r>
      <w:r w:rsidRPr="009E3A54">
        <w:rPr>
          <w:lang w:val="en" w:eastAsia="en-AU"/>
        </w:rPr>
        <w:t xml:space="preserve"> </w:t>
      </w:r>
    </w:p>
    <w:p w14:paraId="55405106" w14:textId="0E7D7F5F" w:rsidR="00C96E81" w:rsidRPr="009E3A54" w:rsidRDefault="00C96E81" w:rsidP="003C3135">
      <w:pPr>
        <w:pStyle w:val="DHHSbullet1"/>
        <w:spacing w:after="0"/>
        <w:rPr>
          <w:lang w:val="en" w:eastAsia="en-AU"/>
        </w:rPr>
      </w:pPr>
      <w:r w:rsidRPr="009E3A54">
        <w:rPr>
          <w:lang w:val="en" w:eastAsia="en-AU"/>
        </w:rPr>
        <w:t>Tachycardia</w:t>
      </w:r>
      <w:r w:rsidR="00692DEB">
        <w:rPr>
          <w:lang w:val="en" w:eastAsia="en-AU"/>
        </w:rPr>
        <w:t>.</w:t>
      </w:r>
    </w:p>
    <w:p w14:paraId="1F7125FA" w14:textId="7F8C17B4" w:rsidR="00C96E81" w:rsidRPr="009E3A54" w:rsidRDefault="00C96E81" w:rsidP="003C3135">
      <w:pPr>
        <w:pStyle w:val="DHHSbullet1"/>
        <w:spacing w:after="0"/>
        <w:rPr>
          <w:lang w:val="en" w:eastAsia="en-AU"/>
        </w:rPr>
      </w:pPr>
      <w:r w:rsidRPr="009E3A54">
        <w:rPr>
          <w:lang w:val="en" w:eastAsia="en-AU"/>
        </w:rPr>
        <w:t>Bradycardia</w:t>
      </w:r>
      <w:r w:rsidR="00692DEB">
        <w:rPr>
          <w:lang w:val="en" w:eastAsia="en-AU"/>
        </w:rPr>
        <w:t>.</w:t>
      </w:r>
    </w:p>
    <w:p w14:paraId="52CAB6A5" w14:textId="3C765D6F" w:rsidR="00C96E81" w:rsidRPr="009E3A54" w:rsidRDefault="00C96E81" w:rsidP="003C3135">
      <w:pPr>
        <w:pStyle w:val="DHHSbullet1"/>
        <w:spacing w:after="0"/>
        <w:rPr>
          <w:lang w:val="en" w:eastAsia="en-AU"/>
        </w:rPr>
      </w:pPr>
      <w:r w:rsidRPr="009E3A54">
        <w:rPr>
          <w:lang w:val="en" w:eastAsia="en-AU"/>
        </w:rPr>
        <w:t>Hypotension</w:t>
      </w:r>
      <w:r w:rsidR="00692DEB">
        <w:rPr>
          <w:lang w:val="en" w:eastAsia="en-AU"/>
        </w:rPr>
        <w:t>.</w:t>
      </w:r>
    </w:p>
    <w:p w14:paraId="45CDB514" w14:textId="23EB4DB5" w:rsidR="00C96E81" w:rsidRPr="009E3A54" w:rsidRDefault="00C96E81" w:rsidP="003C3135">
      <w:pPr>
        <w:pStyle w:val="DHHSbullet1"/>
        <w:spacing w:after="0"/>
        <w:rPr>
          <w:lang w:val="en" w:eastAsia="en-AU"/>
        </w:rPr>
      </w:pPr>
      <w:r w:rsidRPr="009E3A54">
        <w:rPr>
          <w:lang w:val="en" w:eastAsia="en-AU"/>
        </w:rPr>
        <w:t>Collapse with or without unconsciousness</w:t>
      </w:r>
      <w:r w:rsidR="00692DEB">
        <w:rPr>
          <w:lang w:val="en" w:eastAsia="en-AU"/>
        </w:rPr>
        <w:t>.</w:t>
      </w:r>
    </w:p>
    <w:p w14:paraId="7FA891A2" w14:textId="1510DF30" w:rsidR="00C96E81" w:rsidRPr="009E3A54" w:rsidRDefault="00C96E81" w:rsidP="003C3135">
      <w:pPr>
        <w:pStyle w:val="DHHSbullet1lastline"/>
        <w:spacing w:after="0"/>
        <w:rPr>
          <w:lang w:val="en" w:eastAsia="en-AU"/>
        </w:rPr>
      </w:pPr>
      <w:r w:rsidRPr="009E3A54">
        <w:rPr>
          <w:lang w:val="en" w:eastAsia="en-AU"/>
        </w:rPr>
        <w:t>Cardiac arrest</w:t>
      </w:r>
      <w:r w:rsidR="00692DEB">
        <w:rPr>
          <w:lang w:val="en" w:eastAsia="en-AU"/>
        </w:rPr>
        <w:t>.</w:t>
      </w:r>
    </w:p>
    <w:p w14:paraId="00E7FE19" w14:textId="77777777" w:rsidR="00C96E81" w:rsidRPr="00AF3477" w:rsidRDefault="00C96E81" w:rsidP="003C3135">
      <w:pPr>
        <w:pStyle w:val="Heading4"/>
        <w:spacing w:after="0" w:line="270" w:lineRule="atLeast"/>
      </w:pPr>
      <w:r w:rsidRPr="00AF3477">
        <w:t xml:space="preserve">Gastrointestinal features </w:t>
      </w:r>
    </w:p>
    <w:p w14:paraId="5F0BBD80" w14:textId="434F0463" w:rsidR="00C96E81" w:rsidRPr="009E3A54" w:rsidRDefault="00C96E81" w:rsidP="003C3135">
      <w:pPr>
        <w:pStyle w:val="DHHSbullet1"/>
        <w:spacing w:after="0"/>
        <w:rPr>
          <w:lang w:val="en" w:eastAsia="en-AU"/>
        </w:rPr>
      </w:pPr>
      <w:r w:rsidRPr="009E3A54">
        <w:rPr>
          <w:lang w:val="en" w:eastAsia="en-AU"/>
        </w:rPr>
        <w:t>Nausea</w:t>
      </w:r>
      <w:r w:rsidR="00692DEB">
        <w:rPr>
          <w:lang w:val="en" w:eastAsia="en-AU"/>
        </w:rPr>
        <w:t>.</w:t>
      </w:r>
    </w:p>
    <w:p w14:paraId="6071CF16" w14:textId="49681C89" w:rsidR="00C96E81" w:rsidRPr="009E3A54" w:rsidRDefault="00C96E81" w:rsidP="003C3135">
      <w:pPr>
        <w:pStyle w:val="DHHSbullet1"/>
        <w:spacing w:after="0"/>
        <w:rPr>
          <w:lang w:val="en" w:eastAsia="en-AU"/>
        </w:rPr>
      </w:pPr>
      <w:r w:rsidRPr="009E3A54">
        <w:rPr>
          <w:lang w:val="en" w:eastAsia="en-AU"/>
        </w:rPr>
        <w:t>Vomiting</w:t>
      </w:r>
      <w:r w:rsidR="00692DEB">
        <w:rPr>
          <w:lang w:val="en" w:eastAsia="en-AU"/>
        </w:rPr>
        <w:t>.</w:t>
      </w:r>
    </w:p>
    <w:p w14:paraId="09226067" w14:textId="3A1B940E" w:rsidR="00C96E81" w:rsidRPr="009E3A54" w:rsidRDefault="00C96E81" w:rsidP="003C3135">
      <w:pPr>
        <w:pStyle w:val="DHHSbullet1"/>
        <w:spacing w:after="0"/>
        <w:rPr>
          <w:lang w:val="en" w:eastAsia="en-AU"/>
        </w:rPr>
      </w:pPr>
      <w:r w:rsidRPr="00A70103">
        <w:rPr>
          <w:lang w:eastAsia="en-AU"/>
        </w:rPr>
        <w:t>Diarrhoea</w:t>
      </w:r>
      <w:r w:rsidR="00692DEB">
        <w:rPr>
          <w:lang w:eastAsia="en-AU"/>
        </w:rPr>
        <w:t>.</w:t>
      </w:r>
    </w:p>
    <w:p w14:paraId="06D907FE" w14:textId="025508CB" w:rsidR="00C96E81" w:rsidRPr="009E3A54" w:rsidRDefault="00C96E81" w:rsidP="003C3135">
      <w:pPr>
        <w:pStyle w:val="DHHSbullet1lastline"/>
        <w:spacing w:after="0"/>
        <w:rPr>
          <w:lang w:val="en" w:eastAsia="en-AU"/>
        </w:rPr>
      </w:pPr>
      <w:r w:rsidRPr="009E3A54">
        <w:rPr>
          <w:lang w:val="en" w:eastAsia="en-AU"/>
        </w:rPr>
        <w:t>Abdominal/pelvic pain</w:t>
      </w:r>
      <w:r w:rsidR="00692DEB">
        <w:rPr>
          <w:lang w:val="en" w:eastAsia="en-AU"/>
        </w:rPr>
        <w:t>.</w:t>
      </w:r>
    </w:p>
    <w:p w14:paraId="4F145412" w14:textId="77777777" w:rsidR="00C96E81" w:rsidRPr="00AF3477" w:rsidRDefault="00C96E81" w:rsidP="003C3135">
      <w:pPr>
        <w:pStyle w:val="Heading4"/>
        <w:spacing w:after="0" w:line="270" w:lineRule="atLeast"/>
      </w:pPr>
      <w:r w:rsidRPr="00AF3477">
        <w:t xml:space="preserve">Neurological features </w:t>
      </w:r>
    </w:p>
    <w:p w14:paraId="59EA043D" w14:textId="4F0BA039" w:rsidR="00C96E81" w:rsidRPr="009E3A54" w:rsidRDefault="00C96E81" w:rsidP="003C3135">
      <w:pPr>
        <w:pStyle w:val="DHHSbullet1"/>
        <w:spacing w:after="0"/>
        <w:rPr>
          <w:lang w:val="en" w:eastAsia="en-AU"/>
        </w:rPr>
      </w:pPr>
      <w:r w:rsidRPr="009E3A54">
        <w:rPr>
          <w:lang w:val="en" w:eastAsia="en-AU"/>
        </w:rPr>
        <w:t>Headache (usually throbbing)</w:t>
      </w:r>
      <w:r w:rsidR="00692DEB">
        <w:rPr>
          <w:lang w:val="en" w:eastAsia="en-AU"/>
        </w:rPr>
        <w:t>.</w:t>
      </w:r>
    </w:p>
    <w:p w14:paraId="01B17FDD" w14:textId="0C0E7AF5" w:rsidR="00C96E81" w:rsidRPr="009E3A54" w:rsidRDefault="00C96E81" w:rsidP="003C3135">
      <w:pPr>
        <w:pStyle w:val="DHHSbullet1"/>
        <w:spacing w:after="0"/>
        <w:rPr>
          <w:lang w:val="en" w:eastAsia="en-AU"/>
        </w:rPr>
      </w:pPr>
      <w:r w:rsidRPr="009E3A54">
        <w:rPr>
          <w:lang w:val="en" w:eastAsia="en-AU"/>
        </w:rPr>
        <w:t>Dizziness</w:t>
      </w:r>
      <w:r w:rsidR="00692DEB">
        <w:rPr>
          <w:lang w:val="en" w:eastAsia="en-AU"/>
        </w:rPr>
        <w:t>.</w:t>
      </w:r>
    </w:p>
    <w:p w14:paraId="76BB2FDE" w14:textId="228FD116" w:rsidR="00D967E9" w:rsidRPr="00A70103" w:rsidRDefault="00C96E81" w:rsidP="003C3135">
      <w:pPr>
        <w:pStyle w:val="DHHSbullet1lastline"/>
        <w:spacing w:after="0"/>
        <w:rPr>
          <w:lang w:val="en" w:eastAsia="en-AU"/>
        </w:rPr>
      </w:pPr>
      <w:r w:rsidRPr="009E3A54">
        <w:rPr>
          <w:lang w:val="en" w:eastAsia="en-AU"/>
        </w:rPr>
        <w:t>Altered consciousness/confusion</w:t>
      </w:r>
      <w:r w:rsidR="00692DEB">
        <w:rPr>
          <w:lang w:val="en" w:eastAsia="en-AU"/>
        </w:rPr>
        <w:t>.</w:t>
      </w:r>
    </w:p>
    <w:p w14:paraId="57DA821D" w14:textId="151142D4" w:rsidR="00C96E81" w:rsidRDefault="00C96E81" w:rsidP="00D967E9">
      <w:pPr>
        <w:pStyle w:val="Heading2"/>
      </w:pPr>
      <w:bookmarkStart w:id="6" w:name="_Toc11941607"/>
      <w:r>
        <w:t xml:space="preserve">What </w:t>
      </w:r>
      <w:r w:rsidR="009A3785">
        <w:t xml:space="preserve">does not need to be notified </w:t>
      </w:r>
      <w:r w:rsidR="00A44B56">
        <w:t>under the scheme</w:t>
      </w:r>
      <w:r w:rsidR="003F3DC8">
        <w:t>?</w:t>
      </w:r>
      <w:bookmarkEnd w:id="6"/>
    </w:p>
    <w:p w14:paraId="4AB1D521" w14:textId="7FA4CE59" w:rsidR="00C96E81" w:rsidRPr="00AF3477" w:rsidRDefault="00C96E81" w:rsidP="00C96E81">
      <w:pPr>
        <w:pStyle w:val="DHHSbody"/>
      </w:pPr>
      <w:r w:rsidRPr="00AF3477">
        <w:t xml:space="preserve">The following </w:t>
      </w:r>
      <w:r>
        <w:t xml:space="preserve">clinical </w:t>
      </w:r>
      <w:r w:rsidRPr="00AF3477">
        <w:t xml:space="preserve">presentations </w:t>
      </w:r>
      <w:r w:rsidR="00126021">
        <w:t xml:space="preserve">are </w:t>
      </w:r>
      <w:r w:rsidR="00126021" w:rsidRPr="00126021">
        <w:rPr>
          <w:b/>
        </w:rPr>
        <w:t>not required</w:t>
      </w:r>
      <w:r w:rsidRPr="00126021">
        <w:rPr>
          <w:b/>
        </w:rPr>
        <w:t xml:space="preserve"> to be notified</w:t>
      </w:r>
      <w:r w:rsidR="00126021" w:rsidRPr="00126021">
        <w:rPr>
          <w:b/>
        </w:rPr>
        <w:t xml:space="preserve"> under this scheme</w:t>
      </w:r>
      <w:r w:rsidRPr="00AF3477">
        <w:t>:</w:t>
      </w:r>
    </w:p>
    <w:p w14:paraId="234A3539" w14:textId="77777777" w:rsidR="00C96E81" w:rsidRPr="00692DEB" w:rsidRDefault="00C96E81" w:rsidP="00D34751">
      <w:pPr>
        <w:pStyle w:val="DHHSbody"/>
        <w:rPr>
          <w:b/>
          <w:sz w:val="24"/>
          <w:szCs w:val="24"/>
        </w:rPr>
      </w:pPr>
      <w:r w:rsidRPr="00692DEB">
        <w:rPr>
          <w:b/>
          <w:sz w:val="24"/>
          <w:szCs w:val="24"/>
        </w:rPr>
        <w:t>Persons presenting only with:</w:t>
      </w:r>
    </w:p>
    <w:p w14:paraId="23249715" w14:textId="637ADE6C" w:rsidR="00C96E81" w:rsidRPr="00AF3477" w:rsidRDefault="00C96E81" w:rsidP="00A70103">
      <w:pPr>
        <w:pStyle w:val="DHHSbullet1"/>
      </w:pPr>
      <w:r w:rsidRPr="00AF3477">
        <w:rPr>
          <w:b/>
        </w:rPr>
        <w:t>Urticaria:</w:t>
      </w:r>
      <w:r w:rsidRPr="00AF3477">
        <w:t xml:space="preserve">  </w:t>
      </w:r>
      <w:r w:rsidRPr="00723D07">
        <w:t>pruritic, elevated skin lesions surrounded by erythemat</w:t>
      </w:r>
      <w:r w:rsidR="00A70103">
        <w:t>ous base commonly described as “</w:t>
      </w:r>
      <w:r w:rsidRPr="00723D07">
        <w:t>hives</w:t>
      </w:r>
      <w:r w:rsidR="00A70103">
        <w:t>”</w:t>
      </w:r>
      <w:r w:rsidRPr="00723D07">
        <w:t>,</w:t>
      </w:r>
      <w:r w:rsidR="00A70103">
        <w:t xml:space="preserve"> </w:t>
      </w:r>
      <w:r w:rsidRPr="00723D07">
        <w:t>or</w:t>
      </w:r>
    </w:p>
    <w:p w14:paraId="4DC4D286" w14:textId="61A666C0" w:rsidR="00C96E81" w:rsidRPr="00723D07" w:rsidRDefault="00C96E81" w:rsidP="00A70103">
      <w:pPr>
        <w:pStyle w:val="DHHSbullet1lastline"/>
      </w:pPr>
      <w:r w:rsidRPr="00AF3477">
        <w:rPr>
          <w:b/>
        </w:rPr>
        <w:t>Angio-oedema:</w:t>
      </w:r>
      <w:r w:rsidRPr="00AF3477">
        <w:t xml:space="preserve"> </w:t>
      </w:r>
      <w:r w:rsidRPr="00723D07">
        <w:t>a much less common form of allergic reaction that involves deeper subcutaneous extension. It involves face (eyelids, lips, tongue), hands and fe</w:t>
      </w:r>
      <w:r w:rsidR="00A70103">
        <w:t>et, and sometimes other areas (</w:t>
      </w:r>
      <w:r w:rsidRPr="00723D07">
        <w:t>tru</w:t>
      </w:r>
      <w:r w:rsidR="00A70103">
        <w:t>nk, genitalia, mucous membranes</w:t>
      </w:r>
      <w:r w:rsidRPr="00723D07">
        <w:t>).</w:t>
      </w:r>
    </w:p>
    <w:p w14:paraId="11CCD620" w14:textId="7B01973F" w:rsidR="00126021" w:rsidRPr="00AF3477" w:rsidRDefault="00913DBD" w:rsidP="00126021">
      <w:pPr>
        <w:pStyle w:val="DHHSbody"/>
      </w:pPr>
      <w:r>
        <w:t>A</w:t>
      </w:r>
      <w:r w:rsidR="00126021">
        <w:t>lthough these case</w:t>
      </w:r>
      <w:r w:rsidR="00C42442">
        <w:t>s</w:t>
      </w:r>
      <w:r w:rsidR="00126021">
        <w:t xml:space="preserve"> are not required to be reported </w:t>
      </w:r>
      <w:r w:rsidR="00126021" w:rsidRPr="00A70103">
        <w:rPr>
          <w:b/>
        </w:rPr>
        <w:t>under this scheme</w:t>
      </w:r>
      <w:r w:rsidR="00126021">
        <w:t xml:space="preserve">, </w:t>
      </w:r>
      <w:r>
        <w:t>w</w:t>
      </w:r>
      <w:r w:rsidR="00126021">
        <w:t xml:space="preserve">henever a potentially mislabelled packaged food is thought to be the cause of an allergic reaction in an allergic individual, the hospital or members of the public </w:t>
      </w:r>
      <w:r>
        <w:t>are advised to</w:t>
      </w:r>
      <w:r w:rsidR="00126021">
        <w:t xml:space="preserve"> report the matter to the </w:t>
      </w:r>
      <w:r w:rsidR="006B0F6D">
        <w:t xml:space="preserve">department’s </w:t>
      </w:r>
      <w:r w:rsidR="00126021">
        <w:t xml:space="preserve">Food Safety Unit </w:t>
      </w:r>
      <w:r w:rsidR="003F24E5">
        <w:t>via</w:t>
      </w:r>
      <w:r w:rsidR="00126021">
        <w:t xml:space="preserve"> </w:t>
      </w:r>
      <w:hyperlink r:id="rId19" w:history="1">
        <w:r w:rsidR="003F24E5">
          <w:rPr>
            <w:rStyle w:val="Hyperlink"/>
            <w:rFonts w:cs="Arial"/>
          </w:rPr>
          <w:t>email</w:t>
        </w:r>
      </w:hyperlink>
      <w:r w:rsidR="00A70103">
        <w:t xml:space="preserve"> </w:t>
      </w:r>
      <w:r w:rsidR="003F24E5">
        <w:t>&lt;</w:t>
      </w:r>
      <w:r w:rsidR="003F24E5" w:rsidRPr="003F24E5">
        <w:rPr>
          <w:rStyle w:val="Hyperlink"/>
          <w:rFonts w:cs="Arial"/>
          <w:color w:val="auto"/>
        </w:rPr>
        <w:t xml:space="preserve">foodsafety@dhhs.vic.gov.au&gt; </w:t>
      </w:r>
      <w:r w:rsidR="00A70103">
        <w:t xml:space="preserve">or 1300 364 </w:t>
      </w:r>
      <w:r w:rsidR="00126021">
        <w:t>352</w:t>
      </w:r>
      <w:r w:rsidR="00A70103">
        <w:t>.</w:t>
      </w:r>
    </w:p>
    <w:p w14:paraId="6A303C94" w14:textId="752982E2" w:rsidR="004A47BE" w:rsidRPr="003C3135" w:rsidRDefault="004A47BE" w:rsidP="00C96E81">
      <w:pPr>
        <w:pStyle w:val="DHHSbody"/>
        <w:rPr>
          <w:b/>
          <w:sz w:val="24"/>
          <w:szCs w:val="24"/>
        </w:rPr>
      </w:pPr>
      <w:r w:rsidRPr="003C3135">
        <w:rPr>
          <w:b/>
          <w:sz w:val="24"/>
          <w:szCs w:val="24"/>
        </w:rPr>
        <w:t>In</w:t>
      </w:r>
      <w:r>
        <w:rPr>
          <w:b/>
          <w:sz w:val="24"/>
          <w:szCs w:val="24"/>
        </w:rPr>
        <w:t>-</w:t>
      </w:r>
      <w:r w:rsidRPr="003C3135">
        <w:rPr>
          <w:b/>
          <w:sz w:val="24"/>
          <w:szCs w:val="24"/>
        </w:rPr>
        <w:t>hospital anaphylaxis</w:t>
      </w:r>
    </w:p>
    <w:p w14:paraId="12CD4CFA" w14:textId="51C12494" w:rsidR="00C96E81" w:rsidRDefault="009A3785" w:rsidP="00C96E81">
      <w:pPr>
        <w:pStyle w:val="DHHSbody"/>
      </w:pPr>
      <w:r>
        <w:t>A</w:t>
      </w:r>
      <w:r w:rsidR="00C96E81">
        <w:t xml:space="preserve">naphylactic reactions </w:t>
      </w:r>
      <w:r w:rsidR="00A70103">
        <w:t>that</w:t>
      </w:r>
      <w:r w:rsidR="00C96E81">
        <w:t xml:space="preserve"> occur </w:t>
      </w:r>
      <w:r w:rsidR="004A47BE" w:rsidRPr="00723D07">
        <w:t>whil</w:t>
      </w:r>
      <w:r w:rsidR="004A47BE">
        <w:t>e</w:t>
      </w:r>
      <w:r w:rsidR="004A47BE" w:rsidRPr="00723D07">
        <w:t xml:space="preserve"> </w:t>
      </w:r>
      <w:r w:rsidR="00C96E81" w:rsidRPr="00723D07">
        <w:t xml:space="preserve">receiving care </w:t>
      </w:r>
      <w:r w:rsidR="004A47BE">
        <w:t>in</w:t>
      </w:r>
      <w:r w:rsidR="004A47BE" w:rsidRPr="00723D07">
        <w:t xml:space="preserve"> </w:t>
      </w:r>
      <w:r w:rsidR="00C96E81" w:rsidRPr="00723D07">
        <w:t xml:space="preserve">a hospital </w:t>
      </w:r>
      <w:r>
        <w:t>do not need to be notified</w:t>
      </w:r>
      <w:r w:rsidR="00C96E81">
        <w:t>.</w:t>
      </w:r>
      <w:r w:rsidR="00C96E81" w:rsidRPr="00882409">
        <w:t xml:space="preserve"> Only </w:t>
      </w:r>
      <w:r w:rsidR="00C96E81" w:rsidRPr="00A70103">
        <w:rPr>
          <w:b/>
        </w:rPr>
        <w:t>present</w:t>
      </w:r>
      <w:r w:rsidR="006B0F6D">
        <w:rPr>
          <w:b/>
        </w:rPr>
        <w:t xml:space="preserve">ations </w:t>
      </w:r>
      <w:r w:rsidR="00C96E81" w:rsidRPr="00882409">
        <w:t xml:space="preserve">to hospital </w:t>
      </w:r>
      <w:r>
        <w:t xml:space="preserve">emergency departments </w:t>
      </w:r>
      <w:r w:rsidR="00C96E81">
        <w:t xml:space="preserve">for treatment for anaphylaxis </w:t>
      </w:r>
      <w:r w:rsidR="00C96E81" w:rsidRPr="00882409">
        <w:t xml:space="preserve">should be notified. </w:t>
      </w:r>
    </w:p>
    <w:p w14:paraId="690ED4AE" w14:textId="013ABC84" w:rsidR="00C96E81" w:rsidRDefault="00913DBD" w:rsidP="00C96E81">
      <w:pPr>
        <w:pStyle w:val="DHHSbody"/>
        <w:rPr>
          <w:lang w:val="en"/>
        </w:rPr>
      </w:pPr>
      <w:r>
        <w:rPr>
          <w:lang w:val="en"/>
        </w:rPr>
        <w:t>H</w:t>
      </w:r>
      <w:r w:rsidR="00C96E81" w:rsidRPr="00882409">
        <w:rPr>
          <w:lang w:val="en"/>
        </w:rPr>
        <w:t>ealth services should</w:t>
      </w:r>
      <w:r>
        <w:rPr>
          <w:lang w:val="en"/>
        </w:rPr>
        <w:t xml:space="preserve"> </w:t>
      </w:r>
      <w:r w:rsidR="00C96E81" w:rsidRPr="00882409">
        <w:rPr>
          <w:lang w:val="en"/>
        </w:rPr>
        <w:t xml:space="preserve">continue to observe </w:t>
      </w:r>
      <w:r w:rsidR="00696C5E">
        <w:rPr>
          <w:lang w:val="en"/>
        </w:rPr>
        <w:t>internal</w:t>
      </w:r>
      <w:r w:rsidR="00C96E81" w:rsidRPr="00882409">
        <w:rPr>
          <w:lang w:val="en"/>
        </w:rPr>
        <w:t xml:space="preserve"> </w:t>
      </w:r>
      <w:r w:rsidR="00696C5E">
        <w:rPr>
          <w:lang w:val="en"/>
        </w:rPr>
        <w:t xml:space="preserve">incident </w:t>
      </w:r>
      <w:r w:rsidR="00BF273F">
        <w:rPr>
          <w:lang w:val="en"/>
        </w:rPr>
        <w:t>reporting and management processes</w:t>
      </w:r>
      <w:r w:rsidR="00A70103">
        <w:rPr>
          <w:lang w:val="en"/>
        </w:rPr>
        <w:t>, such as where a food-</w:t>
      </w:r>
      <w:r w:rsidR="00C96E81">
        <w:rPr>
          <w:lang w:val="en"/>
        </w:rPr>
        <w:t xml:space="preserve">allergic person is </w:t>
      </w:r>
      <w:r w:rsidR="00E21579">
        <w:rPr>
          <w:lang w:val="en"/>
        </w:rPr>
        <w:t>mistakenly</w:t>
      </w:r>
      <w:r w:rsidR="00C96E81">
        <w:rPr>
          <w:lang w:val="en"/>
        </w:rPr>
        <w:t xml:space="preserve"> given the food they are allergic to </w:t>
      </w:r>
      <w:r w:rsidR="004A47BE">
        <w:rPr>
          <w:lang w:val="en"/>
        </w:rPr>
        <w:t xml:space="preserve">while </w:t>
      </w:r>
      <w:r>
        <w:rPr>
          <w:lang w:val="en"/>
        </w:rPr>
        <w:t xml:space="preserve">receiving care </w:t>
      </w:r>
      <w:r w:rsidR="004A47BE">
        <w:rPr>
          <w:lang w:val="en"/>
        </w:rPr>
        <w:t>in</w:t>
      </w:r>
      <w:r>
        <w:rPr>
          <w:lang w:val="en"/>
        </w:rPr>
        <w:t xml:space="preserve"> hospital.</w:t>
      </w:r>
    </w:p>
    <w:p w14:paraId="5F512D76" w14:textId="5C92E991" w:rsidR="00C96E81" w:rsidRPr="00AF3477" w:rsidRDefault="007B26FE" w:rsidP="00A70103">
      <w:pPr>
        <w:pStyle w:val="DHHSbody"/>
      </w:pPr>
      <w:r>
        <w:t>Appendix 4 provides questions and answers to support decision making around what to notify</w:t>
      </w:r>
      <w:r w:rsidR="00D34751">
        <w:t>.</w:t>
      </w:r>
    </w:p>
    <w:p w14:paraId="357E7891" w14:textId="77777777" w:rsidR="00914B0D" w:rsidRDefault="00914B0D" w:rsidP="00A70103">
      <w:pPr>
        <w:pStyle w:val="Heading1"/>
        <w:sectPr w:rsidR="00914B0D" w:rsidSect="00D91F6D">
          <w:pgSz w:w="11906" w:h="16838"/>
          <w:pgMar w:top="1701" w:right="1304" w:bottom="1134" w:left="1304" w:header="454" w:footer="567" w:gutter="0"/>
          <w:cols w:space="720"/>
          <w:docGrid w:linePitch="360"/>
        </w:sectPr>
      </w:pPr>
    </w:p>
    <w:p w14:paraId="7EEBBABB" w14:textId="67198302" w:rsidR="004E5EF8" w:rsidRDefault="000E547E" w:rsidP="00A70103">
      <w:pPr>
        <w:pStyle w:val="Heading1"/>
      </w:pPr>
      <w:bookmarkStart w:id="7" w:name="_Toc11941608"/>
      <w:r w:rsidRPr="00A70103">
        <w:lastRenderedPageBreak/>
        <w:t>Understanding</w:t>
      </w:r>
      <w:r>
        <w:t xml:space="preserve"> the regulations</w:t>
      </w:r>
      <w:bookmarkEnd w:id="7"/>
    </w:p>
    <w:p w14:paraId="1F06CDC8" w14:textId="6C9D6DCC" w:rsidR="00E21579" w:rsidRDefault="00E21579" w:rsidP="00E21579">
      <w:pPr>
        <w:pStyle w:val="DHHSbody"/>
      </w:pPr>
      <w:r>
        <w:t>The Regulations (Appendix 2) specify how and when according to the suspected cause of anaphylaxis.</w:t>
      </w:r>
    </w:p>
    <w:p w14:paraId="398B9055" w14:textId="5FF43CF0" w:rsidR="009B6D0F" w:rsidRPr="009B6D0F" w:rsidRDefault="00E21579" w:rsidP="00E21579">
      <w:pPr>
        <w:pStyle w:val="Heading2"/>
      </w:pPr>
      <w:bookmarkStart w:id="8" w:name="_Toc11941609"/>
      <w:r>
        <w:t>When</w:t>
      </w:r>
      <w:r w:rsidR="00515E59">
        <w:t xml:space="preserve"> to notify</w:t>
      </w:r>
      <w:bookmarkEnd w:id="8"/>
    </w:p>
    <w:p w14:paraId="6E06050A" w14:textId="56241B54" w:rsidR="002F2ED9" w:rsidRPr="00A70103" w:rsidRDefault="002F2ED9" w:rsidP="00A70103">
      <w:pPr>
        <w:pStyle w:val="Heading3"/>
      </w:pPr>
      <w:r w:rsidRPr="00A70103">
        <w:t xml:space="preserve">Where the </w:t>
      </w:r>
      <w:r w:rsidR="006B0F6D">
        <w:t>suspected</w:t>
      </w:r>
      <w:r w:rsidRPr="00A70103">
        <w:t xml:space="preserve"> cause </w:t>
      </w:r>
      <w:r w:rsidR="006B0F6D">
        <w:t>i</w:t>
      </w:r>
      <w:r w:rsidRPr="00A70103">
        <w:t>s a packaged food</w:t>
      </w:r>
      <w:r w:rsidR="00696C5E">
        <w:t>:</w:t>
      </w:r>
    </w:p>
    <w:p w14:paraId="2DB83319" w14:textId="6590FD3E" w:rsidR="002F2ED9" w:rsidRPr="003C3135" w:rsidRDefault="00DB0A55" w:rsidP="00766523">
      <w:pPr>
        <w:spacing w:after="120" w:line="270" w:lineRule="atLeast"/>
        <w:rPr>
          <w:rFonts w:ascii="Arial" w:hAnsi="Arial" w:cs="Arial"/>
          <w:sz w:val="22"/>
          <w:szCs w:val="22"/>
        </w:rPr>
      </w:pPr>
      <w:r>
        <w:rPr>
          <w:rFonts w:ascii="Arial" w:eastAsia="Times" w:hAnsi="Arial"/>
          <w:sz w:val="22"/>
          <w:szCs w:val="22"/>
        </w:rPr>
        <w:t xml:space="preserve">Notify </w:t>
      </w:r>
      <w:r w:rsidR="00E21579">
        <w:rPr>
          <w:rFonts w:ascii="Arial" w:eastAsia="Times" w:hAnsi="Arial"/>
          <w:sz w:val="22"/>
          <w:szCs w:val="22"/>
        </w:rPr>
        <w:t xml:space="preserve">as soon as practicable, but within </w:t>
      </w:r>
      <w:r w:rsidR="00E21579" w:rsidRPr="00E21579">
        <w:rPr>
          <w:rFonts w:ascii="Arial" w:hAnsi="Arial" w:cs="Arial"/>
          <w:b/>
          <w:sz w:val="22"/>
          <w:szCs w:val="22"/>
        </w:rPr>
        <w:t>24 hours</w:t>
      </w:r>
      <w:r w:rsidR="00E21579">
        <w:rPr>
          <w:rFonts w:ascii="Arial" w:hAnsi="Arial" w:cs="Arial"/>
          <w:sz w:val="22"/>
          <w:szCs w:val="22"/>
        </w:rPr>
        <w:t xml:space="preserve"> of diagnosis</w:t>
      </w:r>
    </w:p>
    <w:p w14:paraId="56DAB4BC" w14:textId="2DDF51EA" w:rsidR="002F2ED9" w:rsidRPr="002F2ED9" w:rsidRDefault="002F2ED9" w:rsidP="007E3CDF">
      <w:pPr>
        <w:pStyle w:val="Heading3"/>
      </w:pPr>
      <w:r w:rsidRPr="002F2ED9">
        <w:t xml:space="preserve">Where the </w:t>
      </w:r>
      <w:r w:rsidR="006B0F6D">
        <w:t>suspected cause i</w:t>
      </w:r>
      <w:r w:rsidRPr="002F2ED9">
        <w:t xml:space="preserve">s anything </w:t>
      </w:r>
      <w:r w:rsidR="009A3785">
        <w:t>other than packaged food</w:t>
      </w:r>
      <w:r w:rsidR="00696C5E">
        <w:t>:</w:t>
      </w:r>
    </w:p>
    <w:p w14:paraId="04059790" w14:textId="7EC8F3EC" w:rsidR="002F2ED9" w:rsidRPr="002F2ED9" w:rsidRDefault="00DB0A55" w:rsidP="00766523">
      <w:pPr>
        <w:pStyle w:val="DHHSbody"/>
      </w:pPr>
      <w:r>
        <w:t xml:space="preserve">Notify </w:t>
      </w:r>
      <w:r w:rsidR="00E21579">
        <w:t xml:space="preserve">as soon as practicable, but </w:t>
      </w:r>
      <w:r w:rsidR="00170B26" w:rsidRPr="00E21579">
        <w:t>w</w:t>
      </w:r>
      <w:r w:rsidR="002F2ED9" w:rsidRPr="00E21579">
        <w:t>ithin</w:t>
      </w:r>
      <w:r w:rsidR="002F2ED9" w:rsidRPr="006B0F6D">
        <w:rPr>
          <w:b/>
        </w:rPr>
        <w:t xml:space="preserve"> five days</w:t>
      </w:r>
      <w:r w:rsidR="002F2ED9" w:rsidRPr="002F2ED9">
        <w:t xml:space="preserve"> of diagnosis of anaphylaxis</w:t>
      </w:r>
      <w:r w:rsidR="00814D98">
        <w:t>.</w:t>
      </w:r>
    </w:p>
    <w:p w14:paraId="13F911A1" w14:textId="75F5497A" w:rsidR="00DB0A55" w:rsidRDefault="00E21579" w:rsidP="00E21579">
      <w:pPr>
        <w:pStyle w:val="Heading2"/>
      </w:pPr>
      <w:bookmarkStart w:id="9" w:name="_Toc11941610"/>
      <w:r>
        <w:t>How</w:t>
      </w:r>
      <w:r w:rsidR="00515E59">
        <w:t xml:space="preserve"> to notify</w:t>
      </w:r>
      <w:bookmarkEnd w:id="9"/>
    </w:p>
    <w:p w14:paraId="00AB1E2D" w14:textId="73BB7283" w:rsidR="002F2ED9" w:rsidRPr="002F2ED9" w:rsidRDefault="00DB0A55" w:rsidP="00766523">
      <w:pPr>
        <w:pStyle w:val="DHHSbody"/>
      </w:pPr>
      <w:r>
        <w:t xml:space="preserve">All notifications of anaphylaxis </w:t>
      </w:r>
      <w:r w:rsidR="00E21579">
        <w:t>are to</w:t>
      </w:r>
      <w:r>
        <w:t xml:space="preserve"> be made </w:t>
      </w:r>
      <w:r>
        <w:rPr>
          <w:b/>
        </w:rPr>
        <w:t>e</w:t>
      </w:r>
      <w:r w:rsidRPr="002F2ED9">
        <w:rPr>
          <w:b/>
        </w:rPr>
        <w:t>lectronically</w:t>
      </w:r>
      <w:r w:rsidRPr="002F2ED9">
        <w:t xml:space="preserve"> via </w:t>
      </w:r>
      <w:r>
        <w:t xml:space="preserve">the online </w:t>
      </w:r>
      <w:r w:rsidRPr="002F2ED9">
        <w:t>form through the department’s website</w:t>
      </w:r>
      <w:r w:rsidR="003F24E5">
        <w:t>:</w:t>
      </w:r>
      <w:r w:rsidRPr="002F2ED9">
        <w:t xml:space="preserve"> </w:t>
      </w:r>
      <w:hyperlink r:id="rId20" w:history="1">
        <w:r w:rsidR="003F24E5">
          <w:rPr>
            <w:rStyle w:val="Hyperlink"/>
          </w:rPr>
          <w:t>Online form</w:t>
        </w:r>
      </w:hyperlink>
      <w:r w:rsidR="003F24E5">
        <w:t xml:space="preserve"> </w:t>
      </w:r>
      <w:r w:rsidR="00BF1CBF">
        <w:t>&lt;</w:t>
      </w:r>
      <w:r w:rsidR="00BF1CBF" w:rsidRPr="00BF1CBF">
        <w:t>https://www2.health.vic.gov.au/public-health/anaphylaxis-notifications</w:t>
      </w:r>
      <w:r w:rsidR="00BF1CBF">
        <w:t>&gt;</w:t>
      </w:r>
      <w:r w:rsidR="00BF1CBF" w:rsidRPr="00BF1CBF">
        <w:t>.</w:t>
      </w:r>
    </w:p>
    <w:p w14:paraId="13437727" w14:textId="038C6579" w:rsidR="002F2ED9" w:rsidRDefault="002F2ED9" w:rsidP="007E3CDF">
      <w:pPr>
        <w:pStyle w:val="DHHSbody"/>
      </w:pPr>
      <w:r w:rsidRPr="002F2ED9">
        <w:t>The online form i</w:t>
      </w:r>
      <w:r w:rsidR="00D605E0">
        <w:t xml:space="preserve">s intended to be intuitive and simple </w:t>
      </w:r>
      <w:r w:rsidRPr="002F2ED9">
        <w:t xml:space="preserve">to use. </w:t>
      </w:r>
      <w:r w:rsidR="00D605E0">
        <w:t xml:space="preserve">Please let us know of any problems using the online form by sending an </w:t>
      </w:r>
      <w:hyperlink r:id="rId21" w:history="1">
        <w:r w:rsidR="00BF1CBF">
          <w:rPr>
            <w:color w:val="3366FF"/>
            <w:u w:val="dotted"/>
          </w:rPr>
          <w:t>email</w:t>
        </w:r>
      </w:hyperlink>
      <w:r w:rsidRPr="002F2ED9">
        <w:t xml:space="preserve"> </w:t>
      </w:r>
      <w:r w:rsidR="00BF1CBF">
        <w:t>&lt;</w:t>
      </w:r>
      <w:r w:rsidR="00BF1CBF" w:rsidRPr="00BF1CBF">
        <w:rPr>
          <w:u w:val="dotted"/>
        </w:rPr>
        <w:t>anaphylaxis@dhhs.vic.gov.au</w:t>
      </w:r>
      <w:r w:rsidR="00BF1CBF" w:rsidRPr="00BF1CBF">
        <w:rPr>
          <w:u w:val="dotted"/>
        </w:rPr>
        <w:t xml:space="preserve">&gt; </w:t>
      </w:r>
      <w:r w:rsidRPr="002F2ED9">
        <w:t>and we will respond as soon as possible.</w:t>
      </w:r>
    </w:p>
    <w:p w14:paraId="625064E3" w14:textId="0BD963AB" w:rsidR="00D605E0" w:rsidRDefault="009B6D0F" w:rsidP="007E3CDF">
      <w:pPr>
        <w:pStyle w:val="DHHSbody"/>
      </w:pPr>
      <w:r>
        <w:rPr>
          <w:noProof/>
        </w:rPr>
        <mc:AlternateContent>
          <mc:Choice Requires="wps">
            <w:drawing>
              <wp:anchor distT="45720" distB="45720" distL="114300" distR="114300" simplePos="0" relativeHeight="251660800" behindDoc="0" locked="0" layoutInCell="1" allowOverlap="1" wp14:anchorId="38CE3D55" wp14:editId="52694728">
                <wp:simplePos x="0" y="0"/>
                <wp:positionH relativeFrom="column">
                  <wp:posOffset>635</wp:posOffset>
                </wp:positionH>
                <wp:positionV relativeFrom="paragraph">
                  <wp:posOffset>426085</wp:posOffset>
                </wp:positionV>
                <wp:extent cx="5876925" cy="140462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404620"/>
                        </a:xfrm>
                        <a:prstGeom prst="rect">
                          <a:avLst/>
                        </a:prstGeom>
                        <a:solidFill>
                          <a:srgbClr val="FFFFFF"/>
                        </a:solidFill>
                        <a:ln w="15875">
                          <a:solidFill>
                            <a:schemeClr val="tx2"/>
                          </a:solidFill>
                          <a:miter lim="800000"/>
                          <a:headEnd/>
                          <a:tailEnd/>
                        </a:ln>
                      </wps:spPr>
                      <wps:txbx>
                        <w:txbxContent>
                          <w:p w14:paraId="2D47B7E6" w14:textId="6C781C20" w:rsidR="00A163D8" w:rsidRPr="00766523" w:rsidRDefault="00A163D8" w:rsidP="00766523">
                            <w:pPr>
                              <w:spacing w:after="120"/>
                              <w:jc w:val="center"/>
                              <w:rPr>
                                <w:rFonts w:ascii="Arial" w:hAnsi="Arial" w:cs="Arial"/>
                                <w:b/>
                                <w:color w:val="FF0000"/>
                                <w:sz w:val="32"/>
                              </w:rPr>
                            </w:pPr>
                            <w:r w:rsidRPr="00766523">
                              <w:rPr>
                                <w:rFonts w:ascii="Arial" w:hAnsi="Arial" w:cs="Arial"/>
                                <w:b/>
                                <w:color w:val="FF0000"/>
                                <w:sz w:val="32"/>
                              </w:rPr>
                              <w:t xml:space="preserve">In Summary: </w:t>
                            </w:r>
                          </w:p>
                          <w:p w14:paraId="7CB91149" w14:textId="3DA82C17" w:rsidR="00A163D8" w:rsidRPr="00045459" w:rsidRDefault="00A163D8" w:rsidP="00045459">
                            <w:pPr>
                              <w:spacing w:after="120"/>
                              <w:jc w:val="center"/>
                              <w:rPr>
                                <w:rStyle w:val="Hyperlink"/>
                                <w:rFonts w:ascii="Arial" w:hAnsi="Arial" w:cs="Arial"/>
                                <w:b/>
                                <w:color w:val="FF0000"/>
                                <w:sz w:val="32"/>
                                <w:u w:val="none"/>
                              </w:rPr>
                            </w:pPr>
                            <w:r w:rsidRPr="00766523">
                              <w:rPr>
                                <w:rFonts w:ascii="Arial" w:hAnsi="Arial" w:cs="Arial"/>
                                <w:color w:val="FF0000"/>
                                <w:sz w:val="32"/>
                              </w:rPr>
                              <w:t>Notify anaphylaxis cases:</w:t>
                            </w:r>
                            <w:hyperlink r:id="rId22" w:history="1">
                              <w:r w:rsidRPr="00045459">
                                <w:rPr>
                                  <w:rStyle w:val="Hyperlink"/>
                                  <w:rFonts w:ascii="Arial" w:hAnsi="Arial" w:cs="Arial"/>
                                  <w:sz w:val="32"/>
                                </w:rPr>
                                <w:t>www</w:t>
                              </w:r>
                              <w:r w:rsidR="001C7FA0" w:rsidRPr="00045459">
                                <w:rPr>
                                  <w:rStyle w:val="Hyperlink"/>
                                  <w:rFonts w:ascii="Arial" w:hAnsi="Arial" w:cs="Arial"/>
                                  <w:sz w:val="32"/>
                                </w:rPr>
                                <w:t>2</w:t>
                              </w:r>
                              <w:r w:rsidRPr="00045459">
                                <w:rPr>
                                  <w:rStyle w:val="Hyperlink"/>
                                  <w:rFonts w:ascii="Arial" w:hAnsi="Arial" w:cs="Arial"/>
                                  <w:sz w:val="32"/>
                                </w:rPr>
                                <w:t>.</w:t>
                              </w:r>
                              <w:r w:rsidRPr="00045459">
                                <w:rPr>
                                  <w:rStyle w:val="Hyperlink"/>
                                  <w:rFonts w:ascii="Arial" w:hAnsi="Arial" w:cs="Arial"/>
                                  <w:sz w:val="32"/>
                                </w:rPr>
                                <w:t>h</w:t>
                              </w:r>
                              <w:r w:rsidRPr="00045459">
                                <w:rPr>
                                  <w:rStyle w:val="Hyperlink"/>
                                  <w:rFonts w:ascii="Arial" w:hAnsi="Arial" w:cs="Arial"/>
                                  <w:sz w:val="32"/>
                                </w:rPr>
                                <w:t>ealth.vic.g</w:t>
                              </w:r>
                              <w:r w:rsidRPr="00045459">
                                <w:rPr>
                                  <w:rStyle w:val="Hyperlink"/>
                                  <w:rFonts w:ascii="Arial" w:hAnsi="Arial" w:cs="Arial"/>
                                  <w:sz w:val="32"/>
                                </w:rPr>
                                <w:t>o</w:t>
                              </w:r>
                              <w:r w:rsidRPr="00045459">
                                <w:rPr>
                                  <w:rStyle w:val="Hyperlink"/>
                                  <w:rFonts w:ascii="Arial" w:hAnsi="Arial" w:cs="Arial"/>
                                  <w:sz w:val="32"/>
                                </w:rPr>
                                <w:t>v.au/notif</w:t>
                              </w:r>
                              <w:r w:rsidR="00045459" w:rsidRPr="00045459">
                                <w:rPr>
                                  <w:rStyle w:val="Hyperlink"/>
                                  <w:rFonts w:ascii="Arial" w:hAnsi="Arial" w:cs="Arial"/>
                                  <w:sz w:val="32"/>
                                </w:rPr>
                                <w:t>y</w:t>
                              </w:r>
                            </w:hyperlink>
                          </w:p>
                          <w:p w14:paraId="6DEC71B9" w14:textId="77B0506F" w:rsidR="00A163D8" w:rsidRPr="00766523" w:rsidRDefault="00045459" w:rsidP="00045459">
                            <w:pPr>
                              <w:spacing w:after="120"/>
                              <w:rPr>
                                <w:rFonts w:ascii="Arial" w:hAnsi="Arial" w:cs="Arial"/>
                                <w:color w:val="FF0000"/>
                                <w:sz w:val="32"/>
                              </w:rPr>
                            </w:pPr>
                            <w:r>
                              <w:rPr>
                                <w:rStyle w:val="Hyperlink"/>
                                <w:rFonts w:ascii="Arial" w:hAnsi="Arial" w:cs="Arial"/>
                                <w:b/>
                                <w:color w:val="FF0000"/>
                                <w:sz w:val="32"/>
                                <w:u w:val="none"/>
                              </w:rPr>
                              <w:t xml:space="preserve"> </w:t>
                            </w:r>
                            <w:r w:rsidR="00A163D8" w:rsidRPr="00766523">
                              <w:rPr>
                                <w:rFonts w:ascii="Arial" w:hAnsi="Arial" w:cs="Arial"/>
                                <w:color w:val="FF0000"/>
                                <w:sz w:val="32"/>
                              </w:rPr>
                              <w:t xml:space="preserve">Packaged food – </w:t>
                            </w:r>
                            <w:r w:rsidR="00A163D8">
                              <w:rPr>
                                <w:rFonts w:ascii="Arial" w:hAnsi="Arial" w:cs="Arial"/>
                                <w:color w:val="FF0000"/>
                                <w:sz w:val="32"/>
                              </w:rPr>
                              <w:t xml:space="preserve">as soon as practicable but </w:t>
                            </w:r>
                            <w:r w:rsidR="00A163D8" w:rsidRPr="00E21579">
                              <w:rPr>
                                <w:rFonts w:ascii="Arial" w:hAnsi="Arial" w:cs="Arial"/>
                                <w:b/>
                                <w:color w:val="FF0000"/>
                                <w:sz w:val="32"/>
                              </w:rPr>
                              <w:t>within 24 hours</w:t>
                            </w:r>
                          </w:p>
                          <w:p w14:paraId="0B795A08" w14:textId="42DCF26C" w:rsidR="00A163D8" w:rsidRPr="00C1391F" w:rsidRDefault="00A163D8" w:rsidP="00766523">
                            <w:pPr>
                              <w:spacing w:after="120"/>
                              <w:jc w:val="center"/>
                              <w:rPr>
                                <w:rFonts w:ascii="Arial" w:hAnsi="Arial" w:cs="Arial"/>
                                <w:color w:val="FF0000"/>
                                <w:sz w:val="32"/>
                              </w:rPr>
                            </w:pPr>
                            <w:r w:rsidRPr="00766523">
                              <w:rPr>
                                <w:rFonts w:ascii="Arial" w:hAnsi="Arial" w:cs="Arial"/>
                                <w:color w:val="FF0000"/>
                                <w:sz w:val="32"/>
                              </w:rPr>
                              <w:t xml:space="preserve">All other cases – </w:t>
                            </w:r>
                            <w:r>
                              <w:rPr>
                                <w:rFonts w:ascii="Arial" w:hAnsi="Arial" w:cs="Arial"/>
                                <w:color w:val="FF0000"/>
                                <w:sz w:val="32"/>
                              </w:rPr>
                              <w:t xml:space="preserve">as soon as practicable but </w:t>
                            </w:r>
                            <w:r w:rsidRPr="00E21579">
                              <w:rPr>
                                <w:rFonts w:ascii="Arial" w:hAnsi="Arial" w:cs="Arial"/>
                                <w:b/>
                                <w:color w:val="FF0000"/>
                                <w:sz w:val="32"/>
                              </w:rPr>
                              <w:t>within 5 days</w:t>
                            </w:r>
                          </w:p>
                          <w:p w14:paraId="1AE0C77C" w14:textId="5D32B0E4" w:rsidR="00A163D8" w:rsidRDefault="00A163D8" w:rsidP="003C3135">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CE3D55" id="Text Box 2" o:spid="_x0000_s1027" type="#_x0000_t202" style="position:absolute;margin-left:.05pt;margin-top:33.55pt;width:462.7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" strokecolor="#1f497d [3215]" strokeweight="1.25pt">
                <v:textbox style="mso-fit-shape-to-text:t">
                  <w:txbxContent>
                    <w:p w14:paraId="2D47B7E6" w14:textId="6C781C20" w:rsidR="00A163D8" w:rsidRPr="00766523" w:rsidRDefault="00A163D8" w:rsidP="00766523">
                      <w:pPr>
                        <w:spacing w:after="120"/>
                        <w:jc w:val="center"/>
                        <w:rPr>
                          <w:rFonts w:ascii="Arial" w:hAnsi="Arial" w:cs="Arial"/>
                          <w:b/>
                          <w:color w:val="FF0000"/>
                          <w:sz w:val="32"/>
                        </w:rPr>
                      </w:pPr>
                      <w:r w:rsidRPr="00766523">
                        <w:rPr>
                          <w:rFonts w:ascii="Arial" w:hAnsi="Arial" w:cs="Arial"/>
                          <w:b/>
                          <w:color w:val="FF0000"/>
                          <w:sz w:val="32"/>
                        </w:rPr>
                        <w:t xml:space="preserve">In Summary: </w:t>
                      </w:r>
                    </w:p>
                    <w:p w14:paraId="7CB91149" w14:textId="3DA82C17" w:rsidR="00A163D8" w:rsidRPr="00045459" w:rsidRDefault="00A163D8" w:rsidP="00045459">
                      <w:pPr>
                        <w:spacing w:after="120"/>
                        <w:jc w:val="center"/>
                        <w:rPr>
                          <w:rStyle w:val="Hyperlink"/>
                          <w:rFonts w:ascii="Arial" w:hAnsi="Arial" w:cs="Arial"/>
                          <w:b/>
                          <w:color w:val="FF0000"/>
                          <w:sz w:val="32"/>
                          <w:u w:val="none"/>
                        </w:rPr>
                      </w:pPr>
                      <w:r w:rsidRPr="00766523">
                        <w:rPr>
                          <w:rFonts w:ascii="Arial" w:hAnsi="Arial" w:cs="Arial"/>
                          <w:color w:val="FF0000"/>
                          <w:sz w:val="32"/>
                        </w:rPr>
                        <w:t>Notify anaphylaxis cases:</w:t>
                      </w:r>
                      <w:hyperlink r:id="rId23" w:history="1">
                        <w:r w:rsidRPr="00045459">
                          <w:rPr>
                            <w:rStyle w:val="Hyperlink"/>
                            <w:rFonts w:ascii="Arial" w:hAnsi="Arial" w:cs="Arial"/>
                            <w:sz w:val="32"/>
                          </w:rPr>
                          <w:t>www</w:t>
                        </w:r>
                        <w:r w:rsidR="001C7FA0" w:rsidRPr="00045459">
                          <w:rPr>
                            <w:rStyle w:val="Hyperlink"/>
                            <w:rFonts w:ascii="Arial" w:hAnsi="Arial" w:cs="Arial"/>
                            <w:sz w:val="32"/>
                          </w:rPr>
                          <w:t>2</w:t>
                        </w:r>
                        <w:r w:rsidRPr="00045459">
                          <w:rPr>
                            <w:rStyle w:val="Hyperlink"/>
                            <w:rFonts w:ascii="Arial" w:hAnsi="Arial" w:cs="Arial"/>
                            <w:sz w:val="32"/>
                          </w:rPr>
                          <w:t>.</w:t>
                        </w:r>
                        <w:r w:rsidRPr="00045459">
                          <w:rPr>
                            <w:rStyle w:val="Hyperlink"/>
                            <w:rFonts w:ascii="Arial" w:hAnsi="Arial" w:cs="Arial"/>
                            <w:sz w:val="32"/>
                          </w:rPr>
                          <w:t>h</w:t>
                        </w:r>
                        <w:r w:rsidRPr="00045459">
                          <w:rPr>
                            <w:rStyle w:val="Hyperlink"/>
                            <w:rFonts w:ascii="Arial" w:hAnsi="Arial" w:cs="Arial"/>
                            <w:sz w:val="32"/>
                          </w:rPr>
                          <w:t>ealth.vic.g</w:t>
                        </w:r>
                        <w:r w:rsidRPr="00045459">
                          <w:rPr>
                            <w:rStyle w:val="Hyperlink"/>
                            <w:rFonts w:ascii="Arial" w:hAnsi="Arial" w:cs="Arial"/>
                            <w:sz w:val="32"/>
                          </w:rPr>
                          <w:t>o</w:t>
                        </w:r>
                        <w:r w:rsidRPr="00045459">
                          <w:rPr>
                            <w:rStyle w:val="Hyperlink"/>
                            <w:rFonts w:ascii="Arial" w:hAnsi="Arial" w:cs="Arial"/>
                            <w:sz w:val="32"/>
                          </w:rPr>
                          <w:t>v.au/notif</w:t>
                        </w:r>
                        <w:r w:rsidR="00045459" w:rsidRPr="00045459">
                          <w:rPr>
                            <w:rStyle w:val="Hyperlink"/>
                            <w:rFonts w:ascii="Arial" w:hAnsi="Arial" w:cs="Arial"/>
                            <w:sz w:val="32"/>
                          </w:rPr>
                          <w:t>y</w:t>
                        </w:r>
                      </w:hyperlink>
                    </w:p>
                    <w:p w14:paraId="6DEC71B9" w14:textId="77B0506F" w:rsidR="00A163D8" w:rsidRPr="00766523" w:rsidRDefault="00045459" w:rsidP="00045459">
                      <w:pPr>
                        <w:spacing w:after="120"/>
                        <w:rPr>
                          <w:rFonts w:ascii="Arial" w:hAnsi="Arial" w:cs="Arial"/>
                          <w:color w:val="FF0000"/>
                          <w:sz w:val="32"/>
                        </w:rPr>
                      </w:pPr>
                      <w:r>
                        <w:rPr>
                          <w:rStyle w:val="Hyperlink"/>
                          <w:rFonts w:ascii="Arial" w:hAnsi="Arial" w:cs="Arial"/>
                          <w:b/>
                          <w:color w:val="FF0000"/>
                          <w:sz w:val="32"/>
                          <w:u w:val="none"/>
                        </w:rPr>
                        <w:t xml:space="preserve"> </w:t>
                      </w:r>
                      <w:r w:rsidR="00A163D8" w:rsidRPr="00766523">
                        <w:rPr>
                          <w:rFonts w:ascii="Arial" w:hAnsi="Arial" w:cs="Arial"/>
                          <w:color w:val="FF0000"/>
                          <w:sz w:val="32"/>
                        </w:rPr>
                        <w:t xml:space="preserve">Packaged food – </w:t>
                      </w:r>
                      <w:r w:rsidR="00A163D8">
                        <w:rPr>
                          <w:rFonts w:ascii="Arial" w:hAnsi="Arial" w:cs="Arial"/>
                          <w:color w:val="FF0000"/>
                          <w:sz w:val="32"/>
                        </w:rPr>
                        <w:t xml:space="preserve">as soon as practicable but </w:t>
                      </w:r>
                      <w:r w:rsidR="00A163D8" w:rsidRPr="00E21579">
                        <w:rPr>
                          <w:rFonts w:ascii="Arial" w:hAnsi="Arial" w:cs="Arial"/>
                          <w:b/>
                          <w:color w:val="FF0000"/>
                          <w:sz w:val="32"/>
                        </w:rPr>
                        <w:t>within 24 hours</w:t>
                      </w:r>
                    </w:p>
                    <w:p w14:paraId="0B795A08" w14:textId="42DCF26C" w:rsidR="00A163D8" w:rsidRPr="00C1391F" w:rsidRDefault="00A163D8" w:rsidP="00766523">
                      <w:pPr>
                        <w:spacing w:after="120"/>
                        <w:jc w:val="center"/>
                        <w:rPr>
                          <w:rFonts w:ascii="Arial" w:hAnsi="Arial" w:cs="Arial"/>
                          <w:color w:val="FF0000"/>
                          <w:sz w:val="32"/>
                        </w:rPr>
                      </w:pPr>
                      <w:r w:rsidRPr="00766523">
                        <w:rPr>
                          <w:rFonts w:ascii="Arial" w:hAnsi="Arial" w:cs="Arial"/>
                          <w:color w:val="FF0000"/>
                          <w:sz w:val="32"/>
                        </w:rPr>
                        <w:t xml:space="preserve">All other cases – </w:t>
                      </w:r>
                      <w:r>
                        <w:rPr>
                          <w:rFonts w:ascii="Arial" w:hAnsi="Arial" w:cs="Arial"/>
                          <w:color w:val="FF0000"/>
                          <w:sz w:val="32"/>
                        </w:rPr>
                        <w:t xml:space="preserve">as soon as practicable but </w:t>
                      </w:r>
                      <w:r w:rsidRPr="00E21579">
                        <w:rPr>
                          <w:rFonts w:ascii="Arial" w:hAnsi="Arial" w:cs="Arial"/>
                          <w:b/>
                          <w:color w:val="FF0000"/>
                          <w:sz w:val="32"/>
                        </w:rPr>
                        <w:t>within 5 days</w:t>
                      </w:r>
                    </w:p>
                    <w:p w14:paraId="1AE0C77C" w14:textId="5D32B0E4" w:rsidR="00A163D8" w:rsidRDefault="00A163D8" w:rsidP="003C3135">
                      <w:pPr>
                        <w:jc w:val="center"/>
                      </w:pPr>
                    </w:p>
                  </w:txbxContent>
                </v:textbox>
                <w10:wrap type="square"/>
              </v:shape>
            </w:pict>
          </mc:Fallback>
        </mc:AlternateContent>
      </w:r>
    </w:p>
    <w:p w14:paraId="413B5479" w14:textId="6EBE0BD9" w:rsidR="00D605E0" w:rsidRDefault="00D605E0" w:rsidP="007E3CDF">
      <w:pPr>
        <w:pStyle w:val="DHHSbody"/>
      </w:pPr>
    </w:p>
    <w:p w14:paraId="3D114042" w14:textId="77777777" w:rsidR="00D605E0" w:rsidRDefault="00D605E0" w:rsidP="007E3CDF">
      <w:pPr>
        <w:pStyle w:val="DHHSbody"/>
      </w:pPr>
    </w:p>
    <w:p w14:paraId="59DB0395" w14:textId="77777777" w:rsidR="00D605E0" w:rsidRDefault="00D605E0" w:rsidP="007E3CDF">
      <w:pPr>
        <w:pStyle w:val="DHHSbody"/>
      </w:pPr>
    </w:p>
    <w:p w14:paraId="1325A798" w14:textId="45D0D8E3" w:rsidR="002F2ED9" w:rsidRPr="002F2ED9" w:rsidRDefault="002F2ED9" w:rsidP="002F2ED9">
      <w:pPr>
        <w:spacing w:after="120" w:line="270" w:lineRule="atLeast"/>
        <w:rPr>
          <w:rFonts w:ascii="Arial" w:eastAsia="Times" w:hAnsi="Arial"/>
          <w:sz w:val="22"/>
          <w:szCs w:val="22"/>
        </w:rPr>
      </w:pPr>
    </w:p>
    <w:p w14:paraId="61CAF202" w14:textId="77777777" w:rsidR="001E7155" w:rsidRDefault="001E7155" w:rsidP="00AC231A">
      <w:pPr>
        <w:pStyle w:val="Heading2"/>
        <w:sectPr w:rsidR="001E7155" w:rsidSect="00D91F6D">
          <w:pgSz w:w="11906" w:h="16838"/>
          <w:pgMar w:top="1701" w:right="1304" w:bottom="1134" w:left="1304" w:header="454" w:footer="567" w:gutter="0"/>
          <w:cols w:space="720"/>
          <w:docGrid w:linePitch="360"/>
        </w:sectPr>
      </w:pPr>
    </w:p>
    <w:p w14:paraId="671D3EF3" w14:textId="3B0C4BF6" w:rsidR="00543237" w:rsidRDefault="00543237" w:rsidP="00AC231A">
      <w:pPr>
        <w:pStyle w:val="Heading2"/>
      </w:pPr>
      <w:bookmarkStart w:id="10" w:name="_Toc11941611"/>
      <w:r>
        <w:lastRenderedPageBreak/>
        <w:t>Notification details</w:t>
      </w:r>
      <w:bookmarkEnd w:id="10"/>
    </w:p>
    <w:p w14:paraId="6804DBCC" w14:textId="34627EEF" w:rsidR="00543237" w:rsidRDefault="00543237" w:rsidP="00543237">
      <w:pPr>
        <w:pStyle w:val="DHHSbody"/>
      </w:pPr>
      <w:r>
        <w:t>The Regulations</w:t>
      </w:r>
      <w:r w:rsidR="00B1766C">
        <w:t xml:space="preserve"> </w:t>
      </w:r>
      <w:r>
        <w:t xml:space="preserve">prescribe </w:t>
      </w:r>
      <w:r w:rsidR="009F733B">
        <w:t xml:space="preserve">the </w:t>
      </w:r>
      <w:r>
        <w:t xml:space="preserve">details </w:t>
      </w:r>
      <w:r w:rsidR="009F733B">
        <w:t xml:space="preserve">required </w:t>
      </w:r>
      <w:r w:rsidR="00814D98">
        <w:t xml:space="preserve">when notifying </w:t>
      </w:r>
      <w:r>
        <w:t>all anaphylaxis presentation</w:t>
      </w:r>
      <w:r w:rsidR="00814D98">
        <w:t xml:space="preserve">s. These </w:t>
      </w:r>
      <w:r w:rsidR="009F733B">
        <w:t>are</w:t>
      </w:r>
      <w:r>
        <w:t>:</w:t>
      </w:r>
    </w:p>
    <w:p w14:paraId="1D71140D" w14:textId="795B0231" w:rsidR="00543237" w:rsidRDefault="00051DA4" w:rsidP="00D91F6D">
      <w:pPr>
        <w:pStyle w:val="DHHSbullet1"/>
      </w:pPr>
      <w:r>
        <w:rPr>
          <w:b/>
        </w:rPr>
        <w:t>c</w:t>
      </w:r>
      <w:r w:rsidR="00543237" w:rsidRPr="007E3CDF">
        <w:rPr>
          <w:b/>
        </w:rPr>
        <w:t>ase information</w:t>
      </w:r>
      <w:r w:rsidR="00543237">
        <w:t xml:space="preserve"> – name, date of birth, sex, Aboriginal or Torres Strait Islander status, residential address and </w:t>
      </w:r>
      <w:r w:rsidR="00756E34">
        <w:t xml:space="preserve">person/parent/guardian </w:t>
      </w:r>
      <w:r w:rsidR="00543237" w:rsidRPr="003C3135">
        <w:rPr>
          <w:u w:val="single"/>
        </w:rPr>
        <w:t>contact de</w:t>
      </w:r>
      <w:r w:rsidR="007E3CDF" w:rsidRPr="003C3135">
        <w:rPr>
          <w:u w:val="single"/>
        </w:rPr>
        <w:t>tails</w:t>
      </w:r>
      <w:r w:rsidR="007E3CDF">
        <w:t xml:space="preserve"> </w:t>
      </w:r>
      <w:r w:rsidR="00756E34">
        <w:t xml:space="preserve">(vital for enabling </w:t>
      </w:r>
      <w:r w:rsidR="00E21579">
        <w:t>the department’s Food Safety Unit to follow-up and take required action</w:t>
      </w:r>
      <w:r w:rsidR="00756E34">
        <w:t xml:space="preserve"> to remove risk foods)</w:t>
      </w:r>
      <w:r w:rsidR="001F41BA">
        <w:t>.</w:t>
      </w:r>
    </w:p>
    <w:p w14:paraId="161B02A1" w14:textId="29429671" w:rsidR="00543237" w:rsidRDefault="00051DA4" w:rsidP="00D91F6D">
      <w:pPr>
        <w:pStyle w:val="DHHSbullet1"/>
      </w:pPr>
      <w:r>
        <w:rPr>
          <w:b/>
        </w:rPr>
        <w:t>c</w:t>
      </w:r>
      <w:r w:rsidR="00543237" w:rsidRPr="00AF3477">
        <w:rPr>
          <w:b/>
        </w:rPr>
        <w:t>linical information</w:t>
      </w:r>
      <w:r w:rsidR="00543237">
        <w:t xml:space="preserve"> – mor</w:t>
      </w:r>
      <w:r w:rsidR="00D34751">
        <w:t xml:space="preserve">bidity or mortality </w:t>
      </w:r>
      <w:r w:rsidR="00543237">
        <w:t xml:space="preserve">details, </w:t>
      </w:r>
      <w:r w:rsidR="00D34751">
        <w:t xml:space="preserve">history of allergies </w:t>
      </w:r>
      <w:r w:rsidR="00543237">
        <w:t>reported by the person and date of presentatio</w:t>
      </w:r>
      <w:r w:rsidR="00DB4E84">
        <w:t>n for treatment for anaphylaxis</w:t>
      </w:r>
      <w:r w:rsidR="001F41BA">
        <w:t>.</w:t>
      </w:r>
    </w:p>
    <w:p w14:paraId="25408E0A" w14:textId="05ADC560" w:rsidR="00543237" w:rsidRDefault="00051DA4" w:rsidP="00D91F6D">
      <w:pPr>
        <w:pStyle w:val="DHHSbullet1"/>
      </w:pPr>
      <w:r>
        <w:rPr>
          <w:b/>
        </w:rPr>
        <w:t>d</w:t>
      </w:r>
      <w:r w:rsidR="00543237" w:rsidRPr="00AF3477">
        <w:rPr>
          <w:b/>
        </w:rPr>
        <w:t>etails of the anaphylaxis reporting body</w:t>
      </w:r>
      <w:r w:rsidR="00543237">
        <w:t xml:space="preserve"> – name and address, te</w:t>
      </w:r>
      <w:r w:rsidR="008C1826">
        <w:t>l</w:t>
      </w:r>
      <w:r w:rsidR="00543237">
        <w:t>e</w:t>
      </w:r>
      <w:r w:rsidR="00C42442">
        <w:t>p</w:t>
      </w:r>
      <w:r w:rsidR="00543237">
        <w:t xml:space="preserve">hone number and email address, name and telephone number of the registered medical practitioner who formed the reasonable belief </w:t>
      </w:r>
      <w:r w:rsidR="00DB4E84">
        <w:t>that the person had anaphylaxis</w:t>
      </w:r>
      <w:r w:rsidR="001F41BA">
        <w:t>.</w:t>
      </w:r>
    </w:p>
    <w:p w14:paraId="448770A8" w14:textId="36DED94C" w:rsidR="009F733B" w:rsidRDefault="00051DA4" w:rsidP="001E7155">
      <w:pPr>
        <w:pStyle w:val="DHHSbullet1lastline"/>
      </w:pPr>
      <w:r>
        <w:rPr>
          <w:b/>
        </w:rPr>
        <w:t>s</w:t>
      </w:r>
      <w:r w:rsidR="00543237" w:rsidRPr="00AF3477">
        <w:rPr>
          <w:b/>
        </w:rPr>
        <w:t>uspected cause of anaphylaxis</w:t>
      </w:r>
      <w:r w:rsidR="00543237" w:rsidRPr="00CC5C41">
        <w:t xml:space="preserve"> –</w:t>
      </w:r>
      <w:r w:rsidR="00CC5C41">
        <w:t xml:space="preserve"> </w:t>
      </w:r>
      <w:r w:rsidR="00543237" w:rsidRPr="00344AF5">
        <w:t xml:space="preserve">the suspected cause must be provided from a </w:t>
      </w:r>
      <w:r w:rsidR="00CC5C41">
        <w:t xml:space="preserve">defined </w:t>
      </w:r>
      <w:r w:rsidR="00543237" w:rsidRPr="00344AF5">
        <w:t>list, and</w:t>
      </w:r>
      <w:r w:rsidR="00CC5C41">
        <w:t xml:space="preserve"> </w:t>
      </w:r>
      <w:r w:rsidR="00543237" w:rsidRPr="00344AF5">
        <w:t>addition</w:t>
      </w:r>
      <w:r w:rsidR="008C1826" w:rsidRPr="00344AF5">
        <w:t>al</w:t>
      </w:r>
      <w:r w:rsidR="00543237" w:rsidRPr="00344AF5">
        <w:t xml:space="preserve"> notification details </w:t>
      </w:r>
      <w:r w:rsidR="00A85B01" w:rsidRPr="00344AF5">
        <w:t xml:space="preserve">are </w:t>
      </w:r>
      <w:r w:rsidR="00543237" w:rsidRPr="00344AF5">
        <w:t>to be provided</w:t>
      </w:r>
      <w:r w:rsidR="00CC5C41" w:rsidRPr="00CC5C41">
        <w:t xml:space="preserve"> </w:t>
      </w:r>
      <w:r w:rsidR="00CC5C41" w:rsidRPr="00344AF5">
        <w:t>to the extent known</w:t>
      </w:r>
      <w:r w:rsidR="00543237" w:rsidRPr="00344AF5">
        <w:t xml:space="preserve">. </w:t>
      </w:r>
    </w:p>
    <w:p w14:paraId="18E3A591" w14:textId="332195F5" w:rsidR="00EE4BA1" w:rsidRPr="004118D2" w:rsidRDefault="00E21579" w:rsidP="00CC5C41">
      <w:pPr>
        <w:pStyle w:val="Heading3"/>
        <w:rPr>
          <w:bCs w:val="0"/>
        </w:rPr>
      </w:pPr>
      <w:r>
        <w:rPr>
          <w:bCs w:val="0"/>
        </w:rPr>
        <w:t>Suspected cause of anaphylaxis</w:t>
      </w:r>
      <w:r w:rsidR="00EE4BA1" w:rsidRPr="004118D2">
        <w:rPr>
          <w:bCs w:val="0"/>
        </w:rPr>
        <w:t xml:space="preserve"> </w:t>
      </w:r>
    </w:p>
    <w:p w14:paraId="6DF77D19" w14:textId="24E31402" w:rsidR="006E4DAD" w:rsidRPr="00DB4E84" w:rsidRDefault="00FB2DAB" w:rsidP="00DB4E84">
      <w:pPr>
        <w:pStyle w:val="Heading4"/>
      </w:pPr>
      <w:r>
        <w:t>P</w:t>
      </w:r>
      <w:r w:rsidR="00EE4BA1" w:rsidRPr="00DB4E84">
        <w:t xml:space="preserve">ackaged food </w:t>
      </w:r>
    </w:p>
    <w:p w14:paraId="3E26BBEC" w14:textId="77777777" w:rsidR="00FB2DAB" w:rsidRDefault="00FB2DAB" w:rsidP="006E4DAD">
      <w:pPr>
        <w:pStyle w:val="DHHSbody"/>
        <w:rPr>
          <w:lang w:val="en"/>
        </w:rPr>
      </w:pPr>
      <w:r>
        <w:rPr>
          <w:lang w:val="en"/>
        </w:rPr>
        <w:t>Select this option if the suspected cause possibly involves a packaged food.</w:t>
      </w:r>
    </w:p>
    <w:p w14:paraId="3DFBEBE0" w14:textId="4A732387" w:rsidR="006E4DAD" w:rsidRDefault="00B634E6" w:rsidP="006E4DAD">
      <w:pPr>
        <w:pStyle w:val="DHHSbody"/>
      </w:pPr>
      <w:r>
        <w:t xml:space="preserve">Definitions for ‘food’ and ‘package’ are based on the </w:t>
      </w:r>
      <w:r w:rsidRPr="004668FC">
        <w:t xml:space="preserve">Victorian </w:t>
      </w:r>
      <w:r w:rsidRPr="00DB4E84">
        <w:rPr>
          <w:i/>
        </w:rPr>
        <w:t>Food Act 1984</w:t>
      </w:r>
      <w:r>
        <w:t xml:space="preserve"> (see Appendix 3). </w:t>
      </w:r>
      <w:r w:rsidR="00756E34">
        <w:t>F</w:t>
      </w:r>
      <w:r w:rsidR="006E4DAD">
        <w:t>or the purposes of this scheme:</w:t>
      </w:r>
    </w:p>
    <w:p w14:paraId="0494B29E" w14:textId="49D0997D" w:rsidR="006E4DAD" w:rsidRDefault="006E4DAD" w:rsidP="00DB4E84">
      <w:pPr>
        <w:pStyle w:val="DHHSbullet1"/>
      </w:pPr>
      <w:r w:rsidRPr="00967651">
        <w:rPr>
          <w:b/>
        </w:rPr>
        <w:t>‘food’</w:t>
      </w:r>
      <w:r>
        <w:t xml:space="preserve"> includes beverages and che</w:t>
      </w:r>
      <w:r w:rsidR="00DB4E84">
        <w:t>wing gum</w:t>
      </w:r>
      <w:r w:rsidR="00C25C11">
        <w:t>, and</w:t>
      </w:r>
    </w:p>
    <w:p w14:paraId="1307FFB2" w14:textId="69A56EE7" w:rsidR="00756E34" w:rsidRDefault="006E4DAD" w:rsidP="003C3135">
      <w:pPr>
        <w:pStyle w:val="DHHSbullet1lastline"/>
      </w:pPr>
      <w:r w:rsidRPr="00967651">
        <w:rPr>
          <w:b/>
        </w:rPr>
        <w:t>‘package’</w:t>
      </w:r>
      <w:r>
        <w:t xml:space="preserve"> refers to any food which has been sold in any sort of outer </w:t>
      </w:r>
      <w:r w:rsidR="00A7224D">
        <w:t>covering and</w:t>
      </w:r>
      <w:r>
        <w:t xml:space="preserve"> does not include foods which have been packaged at home, not intende</w:t>
      </w:r>
      <w:r w:rsidR="00DB4E84">
        <w:t>d for commercial purposes (e.g.</w:t>
      </w:r>
      <w:r w:rsidR="00752CBE">
        <w:t>,</w:t>
      </w:r>
      <w:r>
        <w:t xml:space="preserve"> a home-made sandwich wrapped in cling-wrap).</w:t>
      </w:r>
    </w:p>
    <w:p w14:paraId="0DD8609C" w14:textId="41CAC693" w:rsidR="00FB2DAB" w:rsidRPr="00FB2DAB" w:rsidRDefault="00FB2DAB" w:rsidP="00FB2DAB">
      <w:pPr>
        <w:pStyle w:val="DHHSbullet1lastline"/>
        <w:numPr>
          <w:ilvl w:val="0"/>
          <w:numId w:val="0"/>
        </w:numPr>
      </w:pPr>
      <w:r w:rsidRPr="00FB2DAB">
        <w:t xml:space="preserve">Encourage patients to keep details of the </w:t>
      </w:r>
      <w:r>
        <w:t xml:space="preserve">implicated </w:t>
      </w:r>
      <w:r w:rsidRPr="00FB2DAB">
        <w:t>packaged food</w:t>
      </w:r>
      <w:r>
        <w:t>, where possible,</w:t>
      </w:r>
      <w:r w:rsidRPr="00FB2DAB">
        <w:t xml:space="preserve"> to aid follow-up.</w:t>
      </w:r>
    </w:p>
    <w:p w14:paraId="3964B5F2" w14:textId="693F1C25" w:rsidR="00514F73" w:rsidRDefault="00514F73" w:rsidP="00B634E6">
      <w:pPr>
        <w:pStyle w:val="DHHSbody"/>
        <w:rPr>
          <w:lang w:val="en"/>
        </w:rPr>
      </w:pPr>
      <w:r>
        <w:rPr>
          <w:lang w:val="en"/>
        </w:rPr>
        <w:t>For example:</w:t>
      </w:r>
    </w:p>
    <w:p w14:paraId="4B0567C2" w14:textId="465D96C8" w:rsidR="00514F73" w:rsidRDefault="00514F73" w:rsidP="00514F73">
      <w:pPr>
        <w:pStyle w:val="DHHSbullet1lastline"/>
      </w:pPr>
      <w:r>
        <w:t xml:space="preserve">a person known to be allergic to milk has had an anaphylactic reaction after consuming a number of foods, including some made at home and some packaged foods, all of which they have eaten safely before. You suspect food is the cause, but which </w:t>
      </w:r>
      <w:r w:rsidRPr="004118D2">
        <w:t>particular food is unclear</w:t>
      </w:r>
      <w:r>
        <w:t>.</w:t>
      </w:r>
    </w:p>
    <w:p w14:paraId="7F54D2CA" w14:textId="45ABA223" w:rsidR="00B634E6" w:rsidRDefault="00514F73" w:rsidP="003C3135">
      <w:pPr>
        <w:pStyle w:val="DHHSbullet1lastline"/>
      </w:pPr>
      <w:r>
        <w:rPr>
          <w:lang w:val="en"/>
        </w:rPr>
        <w:t xml:space="preserve">A person consumes a </w:t>
      </w:r>
      <w:r w:rsidR="00FB2DAB">
        <w:rPr>
          <w:lang w:val="en"/>
        </w:rPr>
        <w:t>packaged food that contains a</w:t>
      </w:r>
      <w:r>
        <w:rPr>
          <w:lang w:val="en"/>
        </w:rPr>
        <w:t xml:space="preserve"> relevant allergen in error, </w:t>
      </w:r>
      <w:r w:rsidR="00B634E6" w:rsidRPr="00E3320D">
        <w:rPr>
          <w:lang w:val="en"/>
        </w:rPr>
        <w:t xml:space="preserve">for example </w:t>
      </w:r>
      <w:r w:rsidR="00B634E6" w:rsidRPr="003C3135">
        <w:rPr>
          <w:lang w:val="en"/>
        </w:rPr>
        <w:t>incorrectly reading a packaged food label</w:t>
      </w:r>
      <w:r w:rsidR="00B634E6" w:rsidRPr="00E3320D">
        <w:rPr>
          <w:lang w:val="en"/>
        </w:rPr>
        <w:t>.</w:t>
      </w:r>
    </w:p>
    <w:p w14:paraId="1647F25C" w14:textId="3721B325" w:rsidR="0050793C" w:rsidRPr="00EE4BA1" w:rsidRDefault="0050793C" w:rsidP="00DB4E84">
      <w:pPr>
        <w:pStyle w:val="Heading4"/>
      </w:pPr>
      <w:r w:rsidRPr="00EE4BA1">
        <w:t>Unpackaged food from a food premises</w:t>
      </w:r>
    </w:p>
    <w:p w14:paraId="6129785B" w14:textId="7EE38809" w:rsidR="0050793C" w:rsidRPr="0050793C" w:rsidRDefault="007774AF" w:rsidP="00DB4E84">
      <w:pPr>
        <w:pStyle w:val="DHHSbody"/>
        <w:rPr>
          <w:lang w:val="en"/>
        </w:rPr>
      </w:pPr>
      <w:r>
        <w:rPr>
          <w:lang w:val="en"/>
        </w:rPr>
        <w:t xml:space="preserve">Select this option </w:t>
      </w:r>
      <w:r w:rsidR="00344AF5">
        <w:rPr>
          <w:lang w:val="en"/>
        </w:rPr>
        <w:t>if</w:t>
      </w:r>
      <w:r w:rsidR="0050793C" w:rsidRPr="0050793C">
        <w:rPr>
          <w:lang w:val="en"/>
        </w:rPr>
        <w:t xml:space="preserve"> the suspected cause </w:t>
      </w:r>
      <w:r w:rsidR="00344AF5">
        <w:rPr>
          <w:lang w:val="en"/>
        </w:rPr>
        <w:t>wa</w:t>
      </w:r>
      <w:r w:rsidR="00344AF5" w:rsidRPr="0050793C">
        <w:rPr>
          <w:lang w:val="en"/>
        </w:rPr>
        <w:t xml:space="preserve">s </w:t>
      </w:r>
      <w:r w:rsidR="0050793C" w:rsidRPr="0050793C">
        <w:rPr>
          <w:lang w:val="en"/>
        </w:rPr>
        <w:t xml:space="preserve">unpackaged food from a commercial premises </w:t>
      </w:r>
      <w:r w:rsidR="00DB4E84">
        <w:rPr>
          <w:lang w:val="en"/>
        </w:rPr>
        <w:t>that</w:t>
      </w:r>
      <w:r w:rsidR="0050793C" w:rsidRPr="0050793C">
        <w:rPr>
          <w:lang w:val="en"/>
        </w:rPr>
        <w:t xml:space="preserve"> sells or provides foods to customers or clients. Examples include:</w:t>
      </w:r>
    </w:p>
    <w:p w14:paraId="0EFB1919" w14:textId="02668481" w:rsidR="0050793C" w:rsidRPr="0050793C" w:rsidRDefault="0050793C" w:rsidP="00DB4E84">
      <w:pPr>
        <w:pStyle w:val="DHHSbullet1"/>
        <w:rPr>
          <w:lang w:val="en"/>
        </w:rPr>
      </w:pPr>
      <w:r w:rsidRPr="0050793C">
        <w:rPr>
          <w:lang w:val="en"/>
        </w:rPr>
        <w:t>a meal purc</w:t>
      </w:r>
      <w:r w:rsidR="00DB4E84">
        <w:rPr>
          <w:lang w:val="en"/>
        </w:rPr>
        <w:t>hased from a café or restaurant</w:t>
      </w:r>
      <w:r w:rsidR="00752CBE">
        <w:rPr>
          <w:lang w:val="en"/>
        </w:rPr>
        <w:t>,</w:t>
      </w:r>
      <w:r w:rsidRPr="0050793C">
        <w:rPr>
          <w:lang w:val="en"/>
        </w:rPr>
        <w:t xml:space="preserve"> </w:t>
      </w:r>
    </w:p>
    <w:p w14:paraId="51FE85FC" w14:textId="31F5E87C" w:rsidR="0050793C" w:rsidRPr="0050793C" w:rsidRDefault="0050793C" w:rsidP="00DB4E84">
      <w:pPr>
        <w:pStyle w:val="DHHSbullet1"/>
        <w:rPr>
          <w:lang w:val="en"/>
        </w:rPr>
      </w:pPr>
      <w:r w:rsidRPr="0050793C">
        <w:rPr>
          <w:lang w:val="en"/>
        </w:rPr>
        <w:t>a meal provided to a</w:t>
      </w:r>
      <w:r w:rsidR="00DB4E84">
        <w:rPr>
          <w:lang w:val="en"/>
        </w:rPr>
        <w:t xml:space="preserve"> child by a child-care facility</w:t>
      </w:r>
      <w:r w:rsidR="00752CBE">
        <w:rPr>
          <w:lang w:val="en"/>
        </w:rPr>
        <w:t>,</w:t>
      </w:r>
    </w:p>
    <w:p w14:paraId="2C66ED57" w14:textId="41D0E20C" w:rsidR="0050793C" w:rsidRPr="0050793C" w:rsidRDefault="0050793C" w:rsidP="00DB4E84">
      <w:pPr>
        <w:pStyle w:val="DHHSbullet1"/>
        <w:rPr>
          <w:lang w:val="en"/>
        </w:rPr>
      </w:pPr>
      <w:r w:rsidRPr="0050793C">
        <w:rPr>
          <w:lang w:val="en"/>
        </w:rPr>
        <w:t xml:space="preserve">a meal or snack provided to a child </w:t>
      </w:r>
      <w:r w:rsidR="00DB4E84">
        <w:rPr>
          <w:lang w:val="en"/>
        </w:rPr>
        <w:t xml:space="preserve">by a school </w:t>
      </w:r>
      <w:r w:rsidR="00C00729">
        <w:rPr>
          <w:lang w:val="en"/>
        </w:rPr>
        <w:t>canteen, or after school hours care program</w:t>
      </w:r>
      <w:r w:rsidR="00752CBE">
        <w:rPr>
          <w:lang w:val="en"/>
        </w:rPr>
        <w:t>,</w:t>
      </w:r>
    </w:p>
    <w:p w14:paraId="30DB6C38" w14:textId="6F06861D" w:rsidR="00A34EF1" w:rsidRPr="00DB4E84" w:rsidRDefault="0050793C" w:rsidP="00DB4E84">
      <w:pPr>
        <w:pStyle w:val="DHHSbullet1lastline"/>
        <w:rPr>
          <w:lang w:val="en"/>
        </w:rPr>
      </w:pPr>
      <w:r w:rsidRPr="0050793C">
        <w:rPr>
          <w:lang w:val="en"/>
        </w:rPr>
        <w:t xml:space="preserve">a meal provided to a </w:t>
      </w:r>
      <w:r w:rsidR="006E12A9">
        <w:rPr>
          <w:lang w:val="en"/>
        </w:rPr>
        <w:t>client by an aged care facility</w:t>
      </w:r>
      <w:r w:rsidR="002F2ED9">
        <w:rPr>
          <w:lang w:val="en"/>
        </w:rPr>
        <w:t>.</w:t>
      </w:r>
    </w:p>
    <w:p w14:paraId="597646A8" w14:textId="6328B259" w:rsidR="002F2ED9" w:rsidRPr="00A34EF1" w:rsidRDefault="002F2ED9" w:rsidP="00DB4E84">
      <w:pPr>
        <w:pStyle w:val="Heading4"/>
      </w:pPr>
      <w:r w:rsidRPr="00A34EF1">
        <w:t>Consumption of any other food</w:t>
      </w:r>
    </w:p>
    <w:p w14:paraId="29816E94" w14:textId="1DE62C53" w:rsidR="002F2ED9" w:rsidRDefault="00344AF5" w:rsidP="002F2ED9">
      <w:pPr>
        <w:pStyle w:val="DHHSbody"/>
      </w:pPr>
      <w:r>
        <w:rPr>
          <w:rFonts w:cs="Arial"/>
          <w:lang w:val="en"/>
        </w:rPr>
        <w:t>Select this option if the suspected cause wa</w:t>
      </w:r>
      <w:r w:rsidRPr="0050793C">
        <w:rPr>
          <w:rFonts w:cs="Arial"/>
          <w:lang w:val="en"/>
        </w:rPr>
        <w:t xml:space="preserve">s </w:t>
      </w:r>
      <w:r w:rsidR="002F2ED9">
        <w:t xml:space="preserve">any other food-related anaphylactic reaction, where the suspected </w:t>
      </w:r>
      <w:r w:rsidR="00B634E6">
        <w:t xml:space="preserve">food </w:t>
      </w:r>
      <w:r w:rsidR="002F2ED9">
        <w:t xml:space="preserve">is NOT a packaged commercial food, nor </w:t>
      </w:r>
      <w:r w:rsidR="00B634E6">
        <w:t xml:space="preserve">from </w:t>
      </w:r>
      <w:r w:rsidR="002F2ED9">
        <w:t xml:space="preserve">a food premises such </w:t>
      </w:r>
      <w:r w:rsidR="002F2ED9">
        <w:lastRenderedPageBreak/>
        <w:t>as a restaurant or child care centre, which has provided a</w:t>
      </w:r>
      <w:r w:rsidR="00C00729">
        <w:t xml:space="preserve"> suspected</w:t>
      </w:r>
      <w:r w:rsidR="002F2ED9">
        <w:t xml:space="preserve"> allergen-contaminated </w:t>
      </w:r>
      <w:r w:rsidR="00C00729">
        <w:t>food</w:t>
      </w:r>
      <w:r w:rsidR="002F2ED9">
        <w:t xml:space="preserve"> to an allergic person. </w:t>
      </w:r>
    </w:p>
    <w:p w14:paraId="657BEB8C" w14:textId="223F2E51" w:rsidR="002F2ED9" w:rsidRDefault="00C00729" w:rsidP="002F2ED9">
      <w:pPr>
        <w:pStyle w:val="DHHSbody"/>
      </w:pPr>
      <w:r>
        <w:t>For example:</w:t>
      </w:r>
    </w:p>
    <w:p w14:paraId="5E083425" w14:textId="4F880428" w:rsidR="002F2ED9" w:rsidRDefault="002F2ED9" w:rsidP="00D91F6D">
      <w:pPr>
        <w:pStyle w:val="DHHSbullet1"/>
      </w:pPr>
      <w:r>
        <w:t>accidental cross-contamination in</w:t>
      </w:r>
      <w:r w:rsidR="00DB4E84">
        <w:t xml:space="preserve"> the home whilst cooking a meal</w:t>
      </w:r>
      <w:r w:rsidR="006063F1">
        <w:t>,</w:t>
      </w:r>
    </w:p>
    <w:p w14:paraId="71DA9F79" w14:textId="6D443905" w:rsidR="00FB2DAB" w:rsidRDefault="002F2ED9" w:rsidP="00515E59">
      <w:pPr>
        <w:pStyle w:val="DHHSbullet1"/>
      </w:pPr>
      <w:r>
        <w:t>accidental cross-contamination during a private party where</w:t>
      </w:r>
      <w:r w:rsidR="006063F1">
        <w:t xml:space="preserve">, for example, </w:t>
      </w:r>
      <w:r>
        <w:t>the peanut-containing brownies were in direct co</w:t>
      </w:r>
      <w:r w:rsidR="00DB4E84">
        <w:t>ntact with the nut-free muffins</w:t>
      </w:r>
      <w:r w:rsidR="00FB2DAB">
        <w:t>.</w:t>
      </w:r>
    </w:p>
    <w:p w14:paraId="7107B379" w14:textId="3B66CD31" w:rsidR="00546421" w:rsidRPr="00A34EF1" w:rsidRDefault="00DB4E84" w:rsidP="00FB2DAB">
      <w:pPr>
        <w:pStyle w:val="Heading4"/>
      </w:pPr>
      <w:r>
        <w:t>Drugs and blood-</w:t>
      </w:r>
      <w:r w:rsidR="00546421" w:rsidRPr="00A34EF1">
        <w:t>derived products</w:t>
      </w:r>
    </w:p>
    <w:p w14:paraId="10981086" w14:textId="2F146D05" w:rsidR="00546421" w:rsidRPr="00546421" w:rsidRDefault="00744846" w:rsidP="00546421">
      <w:pPr>
        <w:pStyle w:val="DHHSbody"/>
      </w:pPr>
      <w:r>
        <w:t>Anaphylactic reactions to a</w:t>
      </w:r>
      <w:r w:rsidR="00546421" w:rsidRPr="00546421">
        <w:t xml:space="preserve"> drug or pharmaceutical </w:t>
      </w:r>
      <w:r>
        <w:t xml:space="preserve">(including </w:t>
      </w:r>
      <w:r w:rsidR="00546421" w:rsidRPr="00546421">
        <w:rPr>
          <w:lang w:val="en"/>
        </w:rPr>
        <w:t>prescription medicines, over-the-counter medicines and complementary medicines</w:t>
      </w:r>
      <w:r>
        <w:rPr>
          <w:lang w:val="en"/>
        </w:rPr>
        <w:t>) are to be notified to the department.</w:t>
      </w:r>
    </w:p>
    <w:p w14:paraId="018B4110" w14:textId="71F8060C" w:rsidR="006C7F60" w:rsidRPr="00435C2D" w:rsidRDefault="00744846" w:rsidP="00546421">
      <w:pPr>
        <w:pStyle w:val="DHHSbody"/>
      </w:pPr>
      <w:r>
        <w:t xml:space="preserve">In addition, hospitals are requested to continue to </w:t>
      </w:r>
      <w:r w:rsidRPr="003B5D0C">
        <w:t xml:space="preserve">report </w:t>
      </w:r>
      <w:r w:rsidR="00435C2D">
        <w:t xml:space="preserve">these </w:t>
      </w:r>
      <w:r w:rsidRPr="003B5D0C">
        <w:t xml:space="preserve">reactions to the </w:t>
      </w:r>
      <w:r w:rsidRPr="00D73788">
        <w:t>Therapeutic Goods Administration (TGA)</w:t>
      </w:r>
      <w:r w:rsidRPr="003B5D0C">
        <w:t xml:space="preserve"> as part of its adverse events monitoring scheme</w:t>
      </w:r>
      <w:r w:rsidR="00435C2D">
        <w:t xml:space="preserve"> (as the </w:t>
      </w:r>
      <w:r w:rsidR="00546421" w:rsidRPr="00435C2D">
        <w:t>relevant authority w</w:t>
      </w:r>
      <w:r w:rsidR="003B5D0C" w:rsidRPr="00435C2D">
        <w:t>ith jurisdiction over d</w:t>
      </w:r>
      <w:r w:rsidR="006C7F60" w:rsidRPr="00435C2D">
        <w:t>rugs, pharmaceuticals and blood-</w:t>
      </w:r>
      <w:r w:rsidR="003B5D0C" w:rsidRPr="00435C2D">
        <w:t>derived products</w:t>
      </w:r>
      <w:r w:rsidR="00435C2D" w:rsidRPr="00435C2D">
        <w:t>).</w:t>
      </w:r>
      <w:r w:rsidR="00546421" w:rsidRPr="003B5D0C">
        <w:rPr>
          <w:b/>
        </w:rPr>
        <w:t xml:space="preserve"> </w:t>
      </w:r>
    </w:p>
    <w:p w14:paraId="60740813" w14:textId="2F35E427" w:rsidR="00546421" w:rsidRDefault="00546421" w:rsidP="00546421">
      <w:pPr>
        <w:pStyle w:val="DHHSbody"/>
      </w:pPr>
      <w:r w:rsidRPr="006C7F60">
        <w:t>The TGA adverse events online notification form is a</w:t>
      </w:r>
      <w:r w:rsidR="006C7F60" w:rsidRPr="006C7F60">
        <w:t>vailable on the TGA website</w:t>
      </w:r>
      <w:r w:rsidR="00045459">
        <w:t xml:space="preserve">: </w:t>
      </w:r>
      <w:r w:rsidR="006C7F60">
        <w:rPr>
          <w:b/>
        </w:rPr>
        <w:t xml:space="preserve"> </w:t>
      </w:r>
      <w:hyperlink r:id="rId24" w:history="1">
        <w:r w:rsidR="00045459">
          <w:rPr>
            <w:rStyle w:val="Hyperlink"/>
          </w:rPr>
          <w:t>Adverse events reporting</w:t>
        </w:r>
      </w:hyperlink>
      <w:r w:rsidR="00045459">
        <w:rPr>
          <w:rStyle w:val="Hyperlink"/>
        </w:rPr>
        <w:t xml:space="preserve"> </w:t>
      </w:r>
      <w:r w:rsidR="00045459" w:rsidRPr="00045459">
        <w:rPr>
          <w:rStyle w:val="Hyperlink"/>
          <w:color w:val="auto"/>
        </w:rPr>
        <w:t>&lt;https://aem</w:t>
      </w:r>
      <w:r w:rsidR="00045459" w:rsidRPr="00045459">
        <w:rPr>
          <w:rStyle w:val="Hyperlink"/>
          <w:color w:val="auto"/>
        </w:rPr>
        <w:t>s</w:t>
      </w:r>
      <w:r w:rsidR="00045459" w:rsidRPr="00045459">
        <w:rPr>
          <w:rStyle w:val="Hyperlink"/>
          <w:color w:val="auto"/>
        </w:rPr>
        <w:t>.tga.gov.au/&gt;</w:t>
      </w:r>
      <w:r w:rsidR="00045459">
        <w:rPr>
          <w:rStyle w:val="Hyperlink"/>
          <w:color w:val="auto"/>
        </w:rPr>
        <w:t>.</w:t>
      </w:r>
    </w:p>
    <w:p w14:paraId="5AF2B0A3" w14:textId="01A10A19" w:rsidR="003B5D0C" w:rsidRPr="00A34EF1" w:rsidRDefault="003B5D0C" w:rsidP="006C7F60">
      <w:pPr>
        <w:pStyle w:val="Heading4"/>
      </w:pPr>
      <w:r w:rsidRPr="00A34EF1">
        <w:t>Vaccine</w:t>
      </w:r>
    </w:p>
    <w:p w14:paraId="41593700" w14:textId="77777777" w:rsidR="00435C2D" w:rsidRDefault="00435C2D" w:rsidP="003B5D0C">
      <w:pPr>
        <w:pStyle w:val="DHHSbody"/>
      </w:pPr>
      <w:r>
        <w:t xml:space="preserve">Anaphylactic reactions to vaccines are to be notified to the department. </w:t>
      </w:r>
    </w:p>
    <w:p w14:paraId="5E66AD06" w14:textId="1B74DE83" w:rsidR="00546421" w:rsidRDefault="00435C2D" w:rsidP="003B5D0C">
      <w:pPr>
        <w:pStyle w:val="DHHSbody"/>
      </w:pPr>
      <w:r>
        <w:t xml:space="preserve">In addition, </w:t>
      </w:r>
      <w:r w:rsidR="003B5D0C">
        <w:t xml:space="preserve">immunisation providers are requested to </w:t>
      </w:r>
      <w:r>
        <w:t xml:space="preserve">continue to </w:t>
      </w:r>
      <w:r w:rsidR="003B5D0C">
        <w:t xml:space="preserve">report </w:t>
      </w:r>
      <w:r>
        <w:t xml:space="preserve">these and other </w:t>
      </w:r>
      <w:r w:rsidR="003B5D0C">
        <w:t xml:space="preserve">reactions to the </w:t>
      </w:r>
      <w:r w:rsidR="00045459" w:rsidRPr="00045459">
        <w:t>Adverse Events Following Immunisation – Clinical Assessment Network</w:t>
      </w:r>
      <w:r w:rsidR="00045459">
        <w:t xml:space="preserve"> </w:t>
      </w:r>
      <w:r w:rsidR="00045459" w:rsidRPr="00045459">
        <w:t>(AEFI-CAN)</w:t>
      </w:r>
      <w:r w:rsidR="00394D19">
        <w:t>, previously the Surveillance of Adverse Events Following Vaccination in the Community (SAEFVIC)</w:t>
      </w:r>
      <w:r w:rsidR="003B5D0C">
        <w:t>, wh</w:t>
      </w:r>
      <w:r>
        <w:t>ich</w:t>
      </w:r>
      <w:r w:rsidR="003B5D0C">
        <w:t xml:space="preserve"> collect</w:t>
      </w:r>
      <w:r w:rsidR="008B32D4">
        <w:t>s</w:t>
      </w:r>
      <w:r w:rsidR="003B5D0C">
        <w:t xml:space="preserve"> and act</w:t>
      </w:r>
      <w:r w:rsidR="008B32D4">
        <w:t>s</w:t>
      </w:r>
      <w:r w:rsidR="003B5D0C">
        <w:t xml:space="preserve"> on these reports. </w:t>
      </w:r>
      <w:r w:rsidR="00394D19">
        <w:t xml:space="preserve">You will need to register to lodge a report. </w:t>
      </w:r>
      <w:r w:rsidR="006C7F60" w:rsidRPr="006C7F60">
        <w:t>This can be accessed at:</w:t>
      </w:r>
      <w:r w:rsidR="006C7F60">
        <w:rPr>
          <w:b/>
        </w:rPr>
        <w:t xml:space="preserve"> </w:t>
      </w:r>
      <w:hyperlink r:id="rId25" w:history="1">
        <w:r w:rsidR="00394D19">
          <w:rPr>
            <w:rStyle w:val="Hyperlink"/>
          </w:rPr>
          <w:t>Adverse Even</w:t>
        </w:r>
        <w:r w:rsidR="00394D19">
          <w:rPr>
            <w:rStyle w:val="Hyperlink"/>
          </w:rPr>
          <w:t>t</w:t>
        </w:r>
        <w:r w:rsidR="00394D19">
          <w:rPr>
            <w:rStyle w:val="Hyperlink"/>
          </w:rPr>
          <w:t>s Followin</w:t>
        </w:r>
        <w:r w:rsidR="00394D19">
          <w:rPr>
            <w:rStyle w:val="Hyperlink"/>
          </w:rPr>
          <w:t>g</w:t>
        </w:r>
        <w:r w:rsidR="00394D19">
          <w:rPr>
            <w:rStyle w:val="Hyperlink"/>
          </w:rPr>
          <w:t xml:space="preserve"> Immunisation</w:t>
        </w:r>
      </w:hyperlink>
      <w:r w:rsidR="00394D19">
        <w:rPr>
          <w:rStyle w:val="Hyperlink"/>
        </w:rPr>
        <w:t xml:space="preserve"> </w:t>
      </w:r>
      <w:r w:rsidR="00394D19" w:rsidRPr="00394D19">
        <w:rPr>
          <w:rStyle w:val="Hyperlink"/>
          <w:color w:val="auto"/>
        </w:rPr>
        <w:t>&lt;https://ww</w:t>
      </w:r>
      <w:r w:rsidR="00394D19" w:rsidRPr="00394D19">
        <w:rPr>
          <w:rStyle w:val="Hyperlink"/>
          <w:color w:val="auto"/>
        </w:rPr>
        <w:t>w</w:t>
      </w:r>
      <w:r w:rsidR="00394D19" w:rsidRPr="00394D19">
        <w:rPr>
          <w:rStyle w:val="Hyperlink"/>
          <w:color w:val="auto"/>
        </w:rPr>
        <w:t>.aefica</w:t>
      </w:r>
      <w:r w:rsidR="00394D19" w:rsidRPr="00394D19">
        <w:rPr>
          <w:rStyle w:val="Hyperlink"/>
          <w:color w:val="auto"/>
        </w:rPr>
        <w:t>n</w:t>
      </w:r>
      <w:r w:rsidR="00394D19" w:rsidRPr="00394D19">
        <w:rPr>
          <w:rStyle w:val="Hyperlink"/>
          <w:color w:val="auto"/>
        </w:rPr>
        <w:t>.org.au/</w:t>
      </w:r>
      <w:r w:rsidR="00394D19" w:rsidRPr="00394D19">
        <w:rPr>
          <w:rStyle w:val="Hyperlink"/>
          <w:color w:val="auto"/>
        </w:rPr>
        <w:t>H</w:t>
      </w:r>
      <w:r w:rsidR="00394D19" w:rsidRPr="00394D19">
        <w:rPr>
          <w:rStyle w:val="Hyperlink"/>
          <w:color w:val="auto"/>
        </w:rPr>
        <w:t>ome/Info/VIC&gt;</w:t>
      </w:r>
    </w:p>
    <w:p w14:paraId="577CD1BF" w14:textId="6CF59585" w:rsidR="000E547E" w:rsidRPr="00A34EF1" w:rsidRDefault="000E547E" w:rsidP="006C7F60">
      <w:pPr>
        <w:pStyle w:val="Heading4"/>
      </w:pPr>
      <w:r w:rsidRPr="00A34EF1">
        <w:t>Other</w:t>
      </w:r>
    </w:p>
    <w:p w14:paraId="6A8773DC" w14:textId="30B872F8" w:rsidR="000E547E" w:rsidRDefault="00BD4B1A" w:rsidP="000E547E">
      <w:pPr>
        <w:pStyle w:val="DHHSbody"/>
      </w:pPr>
      <w:r>
        <w:t>F</w:t>
      </w:r>
      <w:r w:rsidR="000E547E">
        <w:t xml:space="preserve">or </w:t>
      </w:r>
      <w:r w:rsidR="009F733B">
        <w:t xml:space="preserve">anaphylactic </w:t>
      </w:r>
      <w:r w:rsidR="000E547E">
        <w:t>reactions which are suspected to have been caused by something other than the causes listed</w:t>
      </w:r>
      <w:r w:rsidR="005163D6">
        <w:t xml:space="preserve"> above</w:t>
      </w:r>
      <w:r w:rsidR="000E547E">
        <w:t xml:space="preserve">. </w:t>
      </w:r>
    </w:p>
    <w:p w14:paraId="228402A9" w14:textId="2E349259" w:rsidR="000E547E" w:rsidRPr="00A34EF1" w:rsidRDefault="000E547E" w:rsidP="006C7F60">
      <w:pPr>
        <w:pStyle w:val="Heading4"/>
      </w:pPr>
      <w:r w:rsidRPr="00A34EF1">
        <w:t>Unknown</w:t>
      </w:r>
    </w:p>
    <w:p w14:paraId="17CF96C5" w14:textId="6C5B4056" w:rsidR="00E21579" w:rsidRDefault="000E547E" w:rsidP="00E21579">
      <w:pPr>
        <w:pStyle w:val="DHHSbody"/>
      </w:pPr>
      <w:r w:rsidRPr="000E547E">
        <w:t>This is for reactions where the suspected cause is not kn</w:t>
      </w:r>
      <w:r w:rsidR="009F733B">
        <w:t>own.</w:t>
      </w:r>
      <w:r w:rsidR="008B32D4">
        <w:t xml:space="preserve"> </w:t>
      </w:r>
      <w:r w:rsidR="00514F73">
        <w:t>This selection may also be an appropriate choice if multiple factors were suspected to have led to the reaction</w:t>
      </w:r>
      <w:r w:rsidR="00FB2DAB">
        <w:t>, but not packaged food</w:t>
      </w:r>
      <w:r w:rsidR="00514F73">
        <w:t>. Any details able to be submitted on the suspected cause of anaphylaxis will assist the department in determining any next steps.</w:t>
      </w:r>
      <w:r w:rsidR="00E3320D">
        <w:t xml:space="preserve"> </w:t>
      </w:r>
    </w:p>
    <w:p w14:paraId="1E7011D2" w14:textId="169FE447" w:rsidR="00E21579" w:rsidRDefault="00E21579" w:rsidP="00E21579">
      <w:pPr>
        <w:pStyle w:val="DHHSbody"/>
      </w:pPr>
    </w:p>
    <w:p w14:paraId="0F053324" w14:textId="55879A28" w:rsidR="00435C2D" w:rsidRDefault="00435C2D" w:rsidP="00E21579">
      <w:pPr>
        <w:pStyle w:val="DHHSbody"/>
      </w:pPr>
    </w:p>
    <w:p w14:paraId="4E31E592" w14:textId="6B40E13C" w:rsidR="00435C2D" w:rsidRDefault="00435C2D" w:rsidP="00E21579">
      <w:pPr>
        <w:pStyle w:val="DHHSbody"/>
      </w:pPr>
    </w:p>
    <w:p w14:paraId="330DBAC7" w14:textId="30C32110" w:rsidR="00435C2D" w:rsidRDefault="00435C2D" w:rsidP="00E21579">
      <w:pPr>
        <w:pStyle w:val="DHHSbody"/>
      </w:pPr>
    </w:p>
    <w:p w14:paraId="48D82234" w14:textId="26A4F1FE" w:rsidR="00435C2D" w:rsidRDefault="00435C2D" w:rsidP="00E21579">
      <w:pPr>
        <w:pStyle w:val="DHHSbody"/>
      </w:pPr>
    </w:p>
    <w:p w14:paraId="20E47398" w14:textId="77334B48" w:rsidR="00435C2D" w:rsidRDefault="00435C2D" w:rsidP="00E21579">
      <w:pPr>
        <w:pStyle w:val="DHHSbody"/>
      </w:pPr>
    </w:p>
    <w:p w14:paraId="05DC0AC9" w14:textId="65967DC9" w:rsidR="00435C2D" w:rsidRDefault="00435C2D" w:rsidP="00E21579">
      <w:pPr>
        <w:pStyle w:val="DHHSbody"/>
      </w:pPr>
    </w:p>
    <w:p w14:paraId="59646DC5" w14:textId="6B2BEF93" w:rsidR="00435C2D" w:rsidRDefault="00435C2D" w:rsidP="00E21579">
      <w:pPr>
        <w:pStyle w:val="DHHSbody"/>
      </w:pPr>
    </w:p>
    <w:p w14:paraId="0F92BE83" w14:textId="77777777" w:rsidR="00055C0B" w:rsidRDefault="00055C0B" w:rsidP="00E21579">
      <w:pPr>
        <w:pStyle w:val="DHHSbody"/>
      </w:pPr>
    </w:p>
    <w:p w14:paraId="6EC49339" w14:textId="77777777" w:rsidR="00435C2D" w:rsidRDefault="00435C2D" w:rsidP="00E21579">
      <w:pPr>
        <w:pStyle w:val="DHHSbody"/>
      </w:pPr>
    </w:p>
    <w:p w14:paraId="4C6873BD" w14:textId="77777777" w:rsidR="00E21579" w:rsidRPr="00E21579" w:rsidRDefault="00E21579" w:rsidP="00E21579">
      <w:pPr>
        <w:pStyle w:val="DHHSbullet1lastline"/>
        <w:numPr>
          <w:ilvl w:val="0"/>
          <w:numId w:val="0"/>
        </w:numPr>
        <w:rPr>
          <w:b/>
        </w:rPr>
      </w:pPr>
      <w:r w:rsidRPr="00E21579">
        <w:rPr>
          <w:b/>
        </w:rPr>
        <w:lastRenderedPageBreak/>
        <w:t>The following table summarises the requirements of the Regulations with examples of useful details:</w:t>
      </w:r>
    </w:p>
    <w:tbl>
      <w:tblPr>
        <w:tblStyle w:val="TableGrid"/>
        <w:tblW w:w="0" w:type="auto"/>
        <w:tblLook w:val="04A0" w:firstRow="1" w:lastRow="0" w:firstColumn="1" w:lastColumn="0" w:noHBand="0" w:noVBand="1"/>
      </w:tblPr>
      <w:tblGrid>
        <w:gridCol w:w="2958"/>
        <w:gridCol w:w="3326"/>
        <w:gridCol w:w="3122"/>
      </w:tblGrid>
      <w:tr w:rsidR="00E21579" w14:paraId="29EA7F8E" w14:textId="77777777" w:rsidTr="00BF273F">
        <w:tc>
          <w:tcPr>
            <w:tcW w:w="2958" w:type="dxa"/>
          </w:tcPr>
          <w:p w14:paraId="5E2CFA51" w14:textId="77777777" w:rsidR="00E21579" w:rsidRPr="00AF3477" w:rsidRDefault="00E21579" w:rsidP="00BF273F">
            <w:pPr>
              <w:pStyle w:val="DHHStablecolhead"/>
            </w:pPr>
            <w:r w:rsidRPr="00AF3477">
              <w:t>Suspected cause of anaphylaxis</w:t>
            </w:r>
          </w:p>
        </w:tc>
        <w:tc>
          <w:tcPr>
            <w:tcW w:w="3326" w:type="dxa"/>
          </w:tcPr>
          <w:p w14:paraId="7E8BDB66" w14:textId="77777777" w:rsidR="00E21579" w:rsidRPr="00AF3477" w:rsidRDefault="00E21579" w:rsidP="00BF273F">
            <w:pPr>
              <w:pStyle w:val="DHHStablecolhead"/>
            </w:pPr>
            <w:r w:rsidRPr="00AF3477">
              <w:t>Additional notification details (</w:t>
            </w:r>
            <w:r>
              <w:t>if</w:t>
            </w:r>
            <w:r w:rsidRPr="00AF3477">
              <w:t xml:space="preserve"> known to the </w:t>
            </w:r>
            <w:r>
              <w:t>hospital</w:t>
            </w:r>
            <w:r w:rsidRPr="00AF3477">
              <w:t>)</w:t>
            </w:r>
          </w:p>
        </w:tc>
        <w:tc>
          <w:tcPr>
            <w:tcW w:w="3122" w:type="dxa"/>
          </w:tcPr>
          <w:p w14:paraId="566CE06C" w14:textId="77777777" w:rsidR="00E21579" w:rsidRPr="001E2CB3" w:rsidRDefault="00E21579" w:rsidP="00BF273F">
            <w:pPr>
              <w:pStyle w:val="DHHStablecolhead"/>
            </w:pPr>
            <w:r>
              <w:t>Example</w:t>
            </w:r>
          </w:p>
        </w:tc>
      </w:tr>
      <w:tr w:rsidR="00E21579" w14:paraId="74972CB8" w14:textId="77777777" w:rsidTr="00BF273F">
        <w:tc>
          <w:tcPr>
            <w:tcW w:w="2958" w:type="dxa"/>
          </w:tcPr>
          <w:p w14:paraId="242C28C7" w14:textId="77777777" w:rsidR="00E21579" w:rsidRPr="001B5B82" w:rsidRDefault="00E21579" w:rsidP="00BF273F">
            <w:pPr>
              <w:pStyle w:val="DHHStabletext"/>
              <w:rPr>
                <w:b/>
              </w:rPr>
            </w:pPr>
            <w:r w:rsidRPr="001B5B82">
              <w:rPr>
                <w:b/>
              </w:rPr>
              <w:t>Consumption of packaged food</w:t>
            </w:r>
          </w:p>
        </w:tc>
        <w:tc>
          <w:tcPr>
            <w:tcW w:w="3326" w:type="dxa"/>
          </w:tcPr>
          <w:p w14:paraId="4D252AFE" w14:textId="77777777" w:rsidR="00E21579" w:rsidRPr="00DB4E84" w:rsidRDefault="00E21579" w:rsidP="00BF273F">
            <w:pPr>
              <w:pStyle w:val="DHHStabletext"/>
              <w:numPr>
                <w:ilvl w:val="0"/>
                <w:numId w:val="32"/>
              </w:numPr>
            </w:pPr>
            <w:r w:rsidRPr="00DB4E84">
              <w:t>Type of food product</w:t>
            </w:r>
          </w:p>
          <w:p w14:paraId="25EF1DCE" w14:textId="77777777" w:rsidR="00E21579" w:rsidRPr="00DB4E84" w:rsidRDefault="00E21579" w:rsidP="00BF273F">
            <w:pPr>
              <w:pStyle w:val="DHHStabletext"/>
              <w:numPr>
                <w:ilvl w:val="0"/>
                <w:numId w:val="32"/>
              </w:numPr>
            </w:pPr>
            <w:r w:rsidRPr="00DB4E84">
              <w:t>Brand of food product</w:t>
            </w:r>
          </w:p>
          <w:p w14:paraId="61571EE8" w14:textId="77777777" w:rsidR="00E21579" w:rsidRPr="00DB4E84" w:rsidRDefault="00E21579" w:rsidP="00BF273F">
            <w:pPr>
              <w:pStyle w:val="DHHStabletext"/>
              <w:numPr>
                <w:ilvl w:val="0"/>
                <w:numId w:val="32"/>
              </w:numPr>
            </w:pPr>
            <w:r w:rsidRPr="00DB4E84">
              <w:t>Date and time of consumption</w:t>
            </w:r>
          </w:p>
        </w:tc>
        <w:tc>
          <w:tcPr>
            <w:tcW w:w="3122" w:type="dxa"/>
          </w:tcPr>
          <w:p w14:paraId="66499786" w14:textId="77777777" w:rsidR="00E21579" w:rsidRPr="00DB4E84" w:rsidRDefault="00E21579" w:rsidP="00BF273F">
            <w:pPr>
              <w:pStyle w:val="DHHStabletext"/>
              <w:numPr>
                <w:ilvl w:val="0"/>
                <w:numId w:val="32"/>
              </w:numPr>
            </w:pPr>
            <w:r w:rsidRPr="00DB4E84">
              <w:t>Canned coconut drink</w:t>
            </w:r>
          </w:p>
          <w:p w14:paraId="3046E970" w14:textId="77777777" w:rsidR="00E21579" w:rsidRPr="00DB4E84" w:rsidRDefault="00E21579" w:rsidP="00BF273F">
            <w:pPr>
              <w:pStyle w:val="DHHStabletext"/>
              <w:numPr>
                <w:ilvl w:val="0"/>
                <w:numId w:val="32"/>
              </w:numPr>
            </w:pPr>
            <w:r w:rsidRPr="00DB4E84">
              <w:t>ABC brand</w:t>
            </w:r>
          </w:p>
          <w:p w14:paraId="2B764DE6" w14:textId="77777777" w:rsidR="00E21579" w:rsidRPr="00DB4E84" w:rsidRDefault="00E21579" w:rsidP="00BF273F">
            <w:pPr>
              <w:pStyle w:val="DHHStabletext"/>
              <w:numPr>
                <w:ilvl w:val="0"/>
                <w:numId w:val="32"/>
              </w:numPr>
            </w:pPr>
            <w:r w:rsidRPr="00DB4E84">
              <w:t>7:30pm, 20/9/18</w:t>
            </w:r>
          </w:p>
        </w:tc>
      </w:tr>
      <w:tr w:rsidR="00E21579" w14:paraId="53CA7D0D" w14:textId="77777777" w:rsidTr="00BF273F">
        <w:tc>
          <w:tcPr>
            <w:tcW w:w="2958" w:type="dxa"/>
          </w:tcPr>
          <w:p w14:paraId="669B8993" w14:textId="77777777" w:rsidR="00E21579" w:rsidRPr="001B5B82" w:rsidRDefault="00E21579" w:rsidP="00BF273F">
            <w:pPr>
              <w:pStyle w:val="DHHStabletext"/>
              <w:rPr>
                <w:b/>
              </w:rPr>
            </w:pPr>
            <w:r w:rsidRPr="001B5B82">
              <w:rPr>
                <w:b/>
              </w:rPr>
              <w:t>Unpackaged food from a food premises</w:t>
            </w:r>
          </w:p>
        </w:tc>
        <w:tc>
          <w:tcPr>
            <w:tcW w:w="3326" w:type="dxa"/>
          </w:tcPr>
          <w:p w14:paraId="77F9BA9E" w14:textId="77777777" w:rsidR="00E21579" w:rsidRPr="00DB4E84" w:rsidRDefault="00E21579" w:rsidP="00BF273F">
            <w:pPr>
              <w:pStyle w:val="DHHStabletext"/>
              <w:numPr>
                <w:ilvl w:val="0"/>
                <w:numId w:val="32"/>
              </w:numPr>
            </w:pPr>
            <w:r w:rsidRPr="00DB4E84">
              <w:t>Details of the food consumed</w:t>
            </w:r>
          </w:p>
          <w:p w14:paraId="42794705" w14:textId="77777777" w:rsidR="00E21579" w:rsidRPr="00DB4E84" w:rsidRDefault="00E21579" w:rsidP="00BF273F">
            <w:pPr>
              <w:pStyle w:val="DHHStabletext"/>
              <w:numPr>
                <w:ilvl w:val="0"/>
                <w:numId w:val="32"/>
              </w:numPr>
            </w:pPr>
            <w:r w:rsidRPr="00DB4E84">
              <w:t>Name of food premises</w:t>
            </w:r>
          </w:p>
          <w:p w14:paraId="41A65BF7" w14:textId="77777777" w:rsidR="00E21579" w:rsidRPr="00DB4E84" w:rsidRDefault="00E21579" w:rsidP="00BF273F">
            <w:pPr>
              <w:pStyle w:val="DHHStabletext"/>
              <w:numPr>
                <w:ilvl w:val="0"/>
                <w:numId w:val="32"/>
              </w:numPr>
            </w:pPr>
            <w:r w:rsidRPr="00DB4E84">
              <w:t>Date and time of consumption</w:t>
            </w:r>
          </w:p>
        </w:tc>
        <w:tc>
          <w:tcPr>
            <w:tcW w:w="3122" w:type="dxa"/>
          </w:tcPr>
          <w:p w14:paraId="2622E1B5" w14:textId="77777777" w:rsidR="00E21579" w:rsidRPr="00DB4E84" w:rsidRDefault="00E21579" w:rsidP="00BF273F">
            <w:pPr>
              <w:pStyle w:val="DHHStabletext"/>
              <w:numPr>
                <w:ilvl w:val="0"/>
                <w:numId w:val="32"/>
              </w:numPr>
            </w:pPr>
            <w:r w:rsidRPr="00DB4E84">
              <w:t>Lasagne</w:t>
            </w:r>
          </w:p>
          <w:p w14:paraId="2339A177" w14:textId="77777777" w:rsidR="00E21579" w:rsidRPr="00DB4E84" w:rsidRDefault="00E21579" w:rsidP="00BF273F">
            <w:pPr>
              <w:pStyle w:val="DHHStabletext"/>
              <w:numPr>
                <w:ilvl w:val="0"/>
                <w:numId w:val="32"/>
              </w:numPr>
            </w:pPr>
            <w:r>
              <w:t>ABC C</w:t>
            </w:r>
            <w:r w:rsidRPr="00DB4E84">
              <w:t>afé, Collingwood</w:t>
            </w:r>
          </w:p>
          <w:p w14:paraId="74F41B5C" w14:textId="77777777" w:rsidR="00E21579" w:rsidRPr="00DB4E84" w:rsidRDefault="00E21579" w:rsidP="00BF273F">
            <w:pPr>
              <w:pStyle w:val="DHHStabletext"/>
              <w:numPr>
                <w:ilvl w:val="0"/>
                <w:numId w:val="32"/>
              </w:numPr>
            </w:pPr>
            <w:r w:rsidRPr="00DB4E84">
              <w:t>8pm, 20/9/18</w:t>
            </w:r>
          </w:p>
        </w:tc>
      </w:tr>
      <w:tr w:rsidR="00E21579" w14:paraId="6C3A01BC" w14:textId="77777777" w:rsidTr="00BF273F">
        <w:tc>
          <w:tcPr>
            <w:tcW w:w="2958" w:type="dxa"/>
          </w:tcPr>
          <w:p w14:paraId="1A2C3377" w14:textId="77777777" w:rsidR="00E21579" w:rsidRPr="001B5B82" w:rsidRDefault="00E21579" w:rsidP="00BF273F">
            <w:pPr>
              <w:pStyle w:val="DHHStabletext"/>
              <w:rPr>
                <w:b/>
              </w:rPr>
            </w:pPr>
            <w:r w:rsidRPr="001B5B82">
              <w:rPr>
                <w:b/>
              </w:rPr>
              <w:t>Consumption of any other food</w:t>
            </w:r>
          </w:p>
        </w:tc>
        <w:tc>
          <w:tcPr>
            <w:tcW w:w="3326" w:type="dxa"/>
          </w:tcPr>
          <w:p w14:paraId="2CBF2A9B" w14:textId="77777777" w:rsidR="00E21579" w:rsidRPr="00DB4E84" w:rsidRDefault="00E21579" w:rsidP="00BF273F">
            <w:pPr>
              <w:pStyle w:val="DHHStabletext"/>
              <w:numPr>
                <w:ilvl w:val="0"/>
                <w:numId w:val="37"/>
              </w:numPr>
            </w:pPr>
            <w:r w:rsidRPr="00DB4E84">
              <w:t>Details of the food consumed</w:t>
            </w:r>
          </w:p>
        </w:tc>
        <w:tc>
          <w:tcPr>
            <w:tcW w:w="3122" w:type="dxa"/>
          </w:tcPr>
          <w:p w14:paraId="3CD25600" w14:textId="77777777" w:rsidR="00E21579" w:rsidRPr="00DB4E84" w:rsidRDefault="00E21579" w:rsidP="00BF273F">
            <w:pPr>
              <w:pStyle w:val="DHHStabletext"/>
              <w:numPr>
                <w:ilvl w:val="0"/>
                <w:numId w:val="32"/>
              </w:numPr>
            </w:pPr>
            <w:r w:rsidRPr="00DB4E84">
              <w:t>Cake made at home</w:t>
            </w:r>
          </w:p>
        </w:tc>
      </w:tr>
      <w:tr w:rsidR="00E21579" w14:paraId="5948760B" w14:textId="77777777" w:rsidTr="00BF273F">
        <w:tc>
          <w:tcPr>
            <w:tcW w:w="2958" w:type="dxa"/>
          </w:tcPr>
          <w:p w14:paraId="08616AEF" w14:textId="77777777" w:rsidR="00E21579" w:rsidRPr="001B5B82" w:rsidRDefault="00E21579" w:rsidP="00BF273F">
            <w:pPr>
              <w:pStyle w:val="DHHStabletext"/>
              <w:rPr>
                <w:b/>
              </w:rPr>
            </w:pPr>
            <w:r w:rsidRPr="001B5B82">
              <w:rPr>
                <w:b/>
              </w:rPr>
              <w:t>Drug</w:t>
            </w:r>
          </w:p>
        </w:tc>
        <w:tc>
          <w:tcPr>
            <w:tcW w:w="3326" w:type="dxa"/>
          </w:tcPr>
          <w:p w14:paraId="1C4FFA04" w14:textId="77777777" w:rsidR="00E21579" w:rsidRPr="00DB4E84" w:rsidRDefault="00E21579" w:rsidP="00BF273F">
            <w:pPr>
              <w:pStyle w:val="DHHStabletext"/>
              <w:numPr>
                <w:ilvl w:val="0"/>
                <w:numId w:val="33"/>
              </w:numPr>
            </w:pPr>
            <w:r w:rsidRPr="00DB4E84">
              <w:t>Type of drug</w:t>
            </w:r>
          </w:p>
          <w:p w14:paraId="43371EDB" w14:textId="77777777" w:rsidR="00E21579" w:rsidRPr="00DB4E84" w:rsidRDefault="00E21579" w:rsidP="00BF273F">
            <w:pPr>
              <w:pStyle w:val="DHHStabletext"/>
              <w:numPr>
                <w:ilvl w:val="0"/>
                <w:numId w:val="33"/>
              </w:numPr>
            </w:pPr>
            <w:r w:rsidRPr="00DB4E84">
              <w:t>Name of drug</w:t>
            </w:r>
          </w:p>
        </w:tc>
        <w:tc>
          <w:tcPr>
            <w:tcW w:w="3122" w:type="dxa"/>
          </w:tcPr>
          <w:p w14:paraId="34A78243" w14:textId="77777777" w:rsidR="00E21579" w:rsidRPr="00DB4E84" w:rsidRDefault="00E21579" w:rsidP="00BF273F">
            <w:pPr>
              <w:pStyle w:val="DHHStabletext"/>
              <w:numPr>
                <w:ilvl w:val="0"/>
                <w:numId w:val="32"/>
              </w:numPr>
            </w:pPr>
            <w:r w:rsidRPr="00DB4E84">
              <w:t>Anaesthetic</w:t>
            </w:r>
          </w:p>
          <w:p w14:paraId="193D21DA" w14:textId="77777777" w:rsidR="00E21579" w:rsidRPr="00DB4E84" w:rsidRDefault="00E21579" w:rsidP="00BF273F">
            <w:pPr>
              <w:pStyle w:val="DHHStabletext"/>
              <w:numPr>
                <w:ilvl w:val="0"/>
                <w:numId w:val="32"/>
              </w:numPr>
            </w:pPr>
            <w:r w:rsidRPr="00DB4E84">
              <w:t>ABC brand</w:t>
            </w:r>
          </w:p>
        </w:tc>
      </w:tr>
      <w:tr w:rsidR="00E21579" w14:paraId="1B43F26A" w14:textId="77777777" w:rsidTr="00BF273F">
        <w:tc>
          <w:tcPr>
            <w:tcW w:w="2958" w:type="dxa"/>
          </w:tcPr>
          <w:p w14:paraId="4BE579A2" w14:textId="77777777" w:rsidR="00E21579" w:rsidRPr="001B5B82" w:rsidRDefault="00E21579" w:rsidP="00BF273F">
            <w:pPr>
              <w:pStyle w:val="DHHStabletext"/>
              <w:rPr>
                <w:b/>
              </w:rPr>
            </w:pPr>
            <w:r w:rsidRPr="001B5B82">
              <w:rPr>
                <w:b/>
              </w:rPr>
              <w:t>Blood-derived products</w:t>
            </w:r>
          </w:p>
        </w:tc>
        <w:tc>
          <w:tcPr>
            <w:tcW w:w="3326" w:type="dxa"/>
          </w:tcPr>
          <w:p w14:paraId="3D781C6F" w14:textId="77777777" w:rsidR="00E21579" w:rsidRPr="00DB4E84" w:rsidRDefault="00E21579" w:rsidP="00BF273F">
            <w:pPr>
              <w:pStyle w:val="DHHStabletext"/>
              <w:numPr>
                <w:ilvl w:val="0"/>
                <w:numId w:val="34"/>
              </w:numPr>
            </w:pPr>
            <w:r w:rsidRPr="00DB4E84">
              <w:t>Name of product</w:t>
            </w:r>
          </w:p>
          <w:p w14:paraId="43E7AD55" w14:textId="77777777" w:rsidR="00E21579" w:rsidRPr="00DB4E84" w:rsidRDefault="00E21579" w:rsidP="00BF273F">
            <w:pPr>
              <w:pStyle w:val="DHHStabletext"/>
              <w:numPr>
                <w:ilvl w:val="0"/>
                <w:numId w:val="34"/>
              </w:numPr>
            </w:pPr>
            <w:r w:rsidRPr="00DB4E84">
              <w:t>Batch number</w:t>
            </w:r>
          </w:p>
        </w:tc>
        <w:tc>
          <w:tcPr>
            <w:tcW w:w="3122" w:type="dxa"/>
          </w:tcPr>
          <w:p w14:paraId="29F17C02" w14:textId="77777777" w:rsidR="00E21579" w:rsidRPr="00DB4E84" w:rsidRDefault="00E21579" w:rsidP="00BF273F">
            <w:pPr>
              <w:pStyle w:val="DHHStabletext"/>
              <w:numPr>
                <w:ilvl w:val="0"/>
                <w:numId w:val="32"/>
              </w:numPr>
            </w:pPr>
            <w:r w:rsidRPr="00DB4E84">
              <w:t>Serum</w:t>
            </w:r>
          </w:p>
          <w:p w14:paraId="302F224F" w14:textId="77777777" w:rsidR="00E21579" w:rsidRPr="00DB4E84" w:rsidRDefault="00E21579" w:rsidP="00BF273F">
            <w:pPr>
              <w:pStyle w:val="DHHStabletext"/>
              <w:numPr>
                <w:ilvl w:val="0"/>
                <w:numId w:val="32"/>
              </w:numPr>
            </w:pPr>
            <w:r w:rsidRPr="00DB4E84">
              <w:t>XXX123</w:t>
            </w:r>
          </w:p>
        </w:tc>
      </w:tr>
      <w:tr w:rsidR="00E21579" w14:paraId="3FA07DFD" w14:textId="77777777" w:rsidTr="00BF273F">
        <w:tc>
          <w:tcPr>
            <w:tcW w:w="2958" w:type="dxa"/>
          </w:tcPr>
          <w:p w14:paraId="18B78B73" w14:textId="77777777" w:rsidR="00E21579" w:rsidRPr="001B5B82" w:rsidRDefault="00E21579" w:rsidP="00BF273F">
            <w:pPr>
              <w:pStyle w:val="DHHStabletext"/>
              <w:rPr>
                <w:b/>
              </w:rPr>
            </w:pPr>
            <w:r w:rsidRPr="001B5B82">
              <w:rPr>
                <w:b/>
              </w:rPr>
              <w:t>Vaccine</w:t>
            </w:r>
          </w:p>
        </w:tc>
        <w:tc>
          <w:tcPr>
            <w:tcW w:w="3326" w:type="dxa"/>
          </w:tcPr>
          <w:p w14:paraId="546D846E" w14:textId="77777777" w:rsidR="00E21579" w:rsidRPr="00DB4E84" w:rsidRDefault="00E21579" w:rsidP="00BF273F">
            <w:pPr>
              <w:pStyle w:val="DHHStabletext"/>
              <w:numPr>
                <w:ilvl w:val="0"/>
                <w:numId w:val="35"/>
              </w:numPr>
            </w:pPr>
            <w:r w:rsidRPr="00DB4E84">
              <w:t>Type of vaccine</w:t>
            </w:r>
          </w:p>
          <w:p w14:paraId="087E5F02" w14:textId="77777777" w:rsidR="00E21579" w:rsidRPr="00DB4E84" w:rsidRDefault="00E21579" w:rsidP="00BF273F">
            <w:pPr>
              <w:pStyle w:val="DHHStabletext"/>
              <w:numPr>
                <w:ilvl w:val="0"/>
                <w:numId w:val="35"/>
              </w:numPr>
            </w:pPr>
            <w:r w:rsidRPr="00DB4E84">
              <w:t>Name of vaccine</w:t>
            </w:r>
          </w:p>
        </w:tc>
        <w:tc>
          <w:tcPr>
            <w:tcW w:w="3122" w:type="dxa"/>
          </w:tcPr>
          <w:p w14:paraId="730F8A8B" w14:textId="77777777" w:rsidR="00E21579" w:rsidRPr="00DB4E84" w:rsidRDefault="00E21579" w:rsidP="00BF273F">
            <w:pPr>
              <w:pStyle w:val="DHHStabletext"/>
              <w:numPr>
                <w:ilvl w:val="0"/>
                <w:numId w:val="32"/>
              </w:numPr>
            </w:pPr>
            <w:r w:rsidRPr="00DB4E84">
              <w:t>Childhood immunisation</w:t>
            </w:r>
          </w:p>
          <w:p w14:paraId="3642E6E4" w14:textId="77777777" w:rsidR="00E21579" w:rsidRPr="00DB4E84" w:rsidRDefault="00E21579" w:rsidP="00BF273F">
            <w:pPr>
              <w:pStyle w:val="DHHStabletext"/>
              <w:numPr>
                <w:ilvl w:val="0"/>
                <w:numId w:val="32"/>
              </w:numPr>
            </w:pPr>
            <w:r w:rsidRPr="00DB4E84">
              <w:t>MMR brand name</w:t>
            </w:r>
          </w:p>
        </w:tc>
      </w:tr>
      <w:tr w:rsidR="00E21579" w14:paraId="3AE6A776" w14:textId="77777777" w:rsidTr="00BF273F">
        <w:tc>
          <w:tcPr>
            <w:tcW w:w="2958" w:type="dxa"/>
          </w:tcPr>
          <w:p w14:paraId="0B0E1F7E" w14:textId="77777777" w:rsidR="00E21579" w:rsidRPr="001B5B82" w:rsidRDefault="00E21579" w:rsidP="00BF273F">
            <w:pPr>
              <w:pStyle w:val="DHHStabletext"/>
              <w:rPr>
                <w:b/>
              </w:rPr>
            </w:pPr>
            <w:r w:rsidRPr="001B5B82">
              <w:rPr>
                <w:b/>
              </w:rPr>
              <w:t>Insect venom</w:t>
            </w:r>
          </w:p>
        </w:tc>
        <w:tc>
          <w:tcPr>
            <w:tcW w:w="3326" w:type="dxa"/>
          </w:tcPr>
          <w:p w14:paraId="37DACA50" w14:textId="77777777" w:rsidR="00E21579" w:rsidRPr="00DB4E84" w:rsidRDefault="00E21579" w:rsidP="00BF273F">
            <w:pPr>
              <w:pStyle w:val="DHHStabletext"/>
              <w:numPr>
                <w:ilvl w:val="0"/>
                <w:numId w:val="36"/>
              </w:numPr>
            </w:pPr>
            <w:r w:rsidRPr="00DB4E84">
              <w:t>Type of insect</w:t>
            </w:r>
          </w:p>
        </w:tc>
        <w:tc>
          <w:tcPr>
            <w:tcW w:w="3122" w:type="dxa"/>
          </w:tcPr>
          <w:p w14:paraId="5F9038FA" w14:textId="703878DC" w:rsidR="00E21579" w:rsidRPr="00DB4E84" w:rsidRDefault="00E21579" w:rsidP="00BF273F">
            <w:pPr>
              <w:pStyle w:val="DHHStabletext"/>
              <w:numPr>
                <w:ilvl w:val="0"/>
                <w:numId w:val="32"/>
              </w:numPr>
            </w:pPr>
            <w:r w:rsidRPr="00DB4E84">
              <w:t>Jack jumper ant</w:t>
            </w:r>
            <w:r>
              <w:t xml:space="preserve"> and geographical location</w:t>
            </w:r>
          </w:p>
        </w:tc>
      </w:tr>
      <w:tr w:rsidR="00E21579" w14:paraId="5C1289C4" w14:textId="77777777" w:rsidTr="00BF273F">
        <w:tc>
          <w:tcPr>
            <w:tcW w:w="2958" w:type="dxa"/>
          </w:tcPr>
          <w:p w14:paraId="3DB32F23" w14:textId="77777777" w:rsidR="00E21579" w:rsidRPr="001B5B82" w:rsidRDefault="00E21579" w:rsidP="00BF273F">
            <w:pPr>
              <w:pStyle w:val="DHHStabletext"/>
              <w:rPr>
                <w:b/>
              </w:rPr>
            </w:pPr>
            <w:r w:rsidRPr="001B5B82">
              <w:rPr>
                <w:b/>
              </w:rPr>
              <w:t>Other</w:t>
            </w:r>
          </w:p>
        </w:tc>
        <w:tc>
          <w:tcPr>
            <w:tcW w:w="3326" w:type="dxa"/>
          </w:tcPr>
          <w:p w14:paraId="1E242051" w14:textId="77777777" w:rsidR="00E21579" w:rsidRPr="00DB4E84" w:rsidRDefault="00E21579" w:rsidP="00BF273F">
            <w:pPr>
              <w:pStyle w:val="DHHStabletext"/>
              <w:numPr>
                <w:ilvl w:val="0"/>
                <w:numId w:val="36"/>
              </w:numPr>
            </w:pPr>
            <w:r w:rsidRPr="00DB4E84">
              <w:t>Details of the suspected cause of anaphylaxis</w:t>
            </w:r>
          </w:p>
        </w:tc>
        <w:tc>
          <w:tcPr>
            <w:tcW w:w="3122" w:type="dxa"/>
          </w:tcPr>
          <w:p w14:paraId="6AF88BA8" w14:textId="77777777" w:rsidR="00E21579" w:rsidRPr="00DB4E84" w:rsidRDefault="00E21579" w:rsidP="00BF273F">
            <w:pPr>
              <w:pStyle w:val="DHHStabletext"/>
              <w:numPr>
                <w:ilvl w:val="0"/>
                <w:numId w:val="32"/>
              </w:numPr>
            </w:pPr>
            <w:r w:rsidRPr="00DB4E84">
              <w:t xml:space="preserve">Known to be anaphylactic, suspected to be triggered by exercise </w:t>
            </w:r>
          </w:p>
        </w:tc>
      </w:tr>
      <w:tr w:rsidR="00E21579" w14:paraId="2EA86239" w14:textId="77777777" w:rsidTr="00BF273F">
        <w:tc>
          <w:tcPr>
            <w:tcW w:w="2958" w:type="dxa"/>
          </w:tcPr>
          <w:p w14:paraId="4E3C0708" w14:textId="77777777" w:rsidR="00E21579" w:rsidRPr="001B5B82" w:rsidRDefault="00E21579" w:rsidP="00BF273F">
            <w:pPr>
              <w:pStyle w:val="DHHStabletext"/>
              <w:rPr>
                <w:b/>
              </w:rPr>
            </w:pPr>
            <w:r w:rsidRPr="001B5B82">
              <w:rPr>
                <w:b/>
              </w:rPr>
              <w:t>Unknown</w:t>
            </w:r>
          </w:p>
        </w:tc>
        <w:tc>
          <w:tcPr>
            <w:tcW w:w="3326" w:type="dxa"/>
          </w:tcPr>
          <w:p w14:paraId="6FE6AE25" w14:textId="77777777" w:rsidR="00E21579" w:rsidRPr="00DB4E84" w:rsidRDefault="00E21579" w:rsidP="00BF273F">
            <w:pPr>
              <w:pStyle w:val="DHHStabletext"/>
              <w:numPr>
                <w:ilvl w:val="0"/>
                <w:numId w:val="36"/>
              </w:numPr>
            </w:pPr>
            <w:r w:rsidRPr="00DB4E84">
              <w:t>Any relevant details</w:t>
            </w:r>
          </w:p>
        </w:tc>
        <w:tc>
          <w:tcPr>
            <w:tcW w:w="3122" w:type="dxa"/>
          </w:tcPr>
          <w:p w14:paraId="7FB3C563" w14:textId="77777777" w:rsidR="00E21579" w:rsidRPr="00DB4E84" w:rsidRDefault="00E21579" w:rsidP="00BF273F">
            <w:pPr>
              <w:pStyle w:val="DHHStabletext"/>
              <w:numPr>
                <w:ilvl w:val="0"/>
                <w:numId w:val="32"/>
              </w:numPr>
            </w:pPr>
            <w:r w:rsidRPr="00DB4E84">
              <w:t>First time reaction, unsure of trigger, referred to allergist</w:t>
            </w:r>
          </w:p>
        </w:tc>
      </w:tr>
    </w:tbl>
    <w:p w14:paraId="0CCCF6E8" w14:textId="77777777" w:rsidR="00E21579" w:rsidRPr="00DB4E84" w:rsidRDefault="00E21579" w:rsidP="00E21579">
      <w:pPr>
        <w:pStyle w:val="DHHSbody"/>
      </w:pPr>
    </w:p>
    <w:p w14:paraId="1085F756" w14:textId="11D7CA14" w:rsidR="00E21579" w:rsidRPr="00E21579" w:rsidRDefault="00E21579" w:rsidP="00E21579">
      <w:pPr>
        <w:pStyle w:val="DHHSbody"/>
        <w:sectPr w:rsidR="00E21579" w:rsidRPr="00E21579" w:rsidSect="00D91F6D">
          <w:pgSz w:w="11906" w:h="16838"/>
          <w:pgMar w:top="1701" w:right="1304" w:bottom="1134" w:left="1304" w:header="454" w:footer="567" w:gutter="0"/>
          <w:cols w:space="720"/>
          <w:docGrid w:linePitch="360"/>
        </w:sectPr>
      </w:pPr>
    </w:p>
    <w:p w14:paraId="15784DF9" w14:textId="2A262085" w:rsidR="004D6C4F" w:rsidRDefault="004D6C4F" w:rsidP="006C7F60">
      <w:pPr>
        <w:pStyle w:val="Heading1"/>
      </w:pPr>
      <w:bookmarkStart w:id="11" w:name="_Toc11941612"/>
      <w:r w:rsidRPr="006C7F60">
        <w:lastRenderedPageBreak/>
        <w:t>Departmental</w:t>
      </w:r>
      <w:r>
        <w:t xml:space="preserve"> response</w:t>
      </w:r>
      <w:bookmarkEnd w:id="11"/>
    </w:p>
    <w:p w14:paraId="15C29B0F" w14:textId="77777777" w:rsidR="00F86012" w:rsidRPr="0042350C" w:rsidRDefault="00F86012" w:rsidP="0042350C">
      <w:pPr>
        <w:pStyle w:val="Heading2"/>
      </w:pPr>
      <w:bookmarkStart w:id="12" w:name="_Toc11941613"/>
      <w:r w:rsidRPr="0042350C">
        <w:t>Anaphylaxis due to food</w:t>
      </w:r>
      <w:bookmarkEnd w:id="12"/>
    </w:p>
    <w:p w14:paraId="7934F184" w14:textId="2DE62E62" w:rsidR="004D6C4F" w:rsidRPr="00AF3477" w:rsidRDefault="00E3320D" w:rsidP="006C7F60">
      <w:pPr>
        <w:pStyle w:val="DHHSbody"/>
      </w:pPr>
      <w:r>
        <w:t>The department will follow up a</w:t>
      </w:r>
      <w:r w:rsidR="004D6C4F" w:rsidRPr="00AF3477">
        <w:t>ll notifications of anaphylaxis presentations where:</w:t>
      </w:r>
    </w:p>
    <w:p w14:paraId="7F2252D4" w14:textId="39C4B690" w:rsidR="004D6C4F" w:rsidRPr="00AF3477" w:rsidRDefault="004D6C4F" w:rsidP="006C7F60">
      <w:pPr>
        <w:pStyle w:val="DHHSbullet1"/>
      </w:pPr>
      <w:r w:rsidRPr="00AF3477">
        <w:t xml:space="preserve">the suspected cause is </w:t>
      </w:r>
      <w:r w:rsidR="005163D6">
        <w:t xml:space="preserve">the consumption of </w:t>
      </w:r>
      <w:r w:rsidRPr="00AF3477">
        <w:t xml:space="preserve">a packaged food, </w:t>
      </w:r>
      <w:r w:rsidR="00F90CFD">
        <w:t>or</w:t>
      </w:r>
    </w:p>
    <w:p w14:paraId="4AC0F6A4" w14:textId="77777777" w:rsidR="00D73788" w:rsidRDefault="004D6C4F" w:rsidP="006C7F60">
      <w:pPr>
        <w:pStyle w:val="DHHSbullet1lastline"/>
      </w:pPr>
      <w:r w:rsidRPr="00AF3477">
        <w:t>the suspected cause is a c</w:t>
      </w:r>
      <w:r w:rsidR="00BD4B1A">
        <w:t xml:space="preserve">ouncil registered food premises, </w:t>
      </w:r>
    </w:p>
    <w:p w14:paraId="556B41F4" w14:textId="710818D6" w:rsidR="004D6C4F" w:rsidRPr="006C7F60" w:rsidRDefault="006C7F60" w:rsidP="00BD4B1A">
      <w:pPr>
        <w:pStyle w:val="DHHSbullet1lastline"/>
        <w:numPr>
          <w:ilvl w:val="0"/>
          <w:numId w:val="0"/>
        </w:numPr>
      </w:pPr>
      <w:r>
        <w:t xml:space="preserve">This </w:t>
      </w:r>
      <w:r w:rsidR="00E3320D">
        <w:t>may</w:t>
      </w:r>
      <w:r w:rsidR="004D6C4F" w:rsidRPr="00AF3477">
        <w:t xml:space="preserve"> involve a</w:t>
      </w:r>
      <w:r w:rsidR="006B365C">
        <w:t xml:space="preserve"> phone conversation </w:t>
      </w:r>
      <w:r w:rsidR="004922B0">
        <w:t xml:space="preserve">with the notifying doctor </w:t>
      </w:r>
      <w:r w:rsidR="00A7224D">
        <w:t xml:space="preserve">and/ or the case </w:t>
      </w:r>
      <w:r w:rsidR="004922B0">
        <w:t xml:space="preserve">to clarify aspects of the </w:t>
      </w:r>
      <w:r w:rsidR="004D6C4F" w:rsidRPr="00AF3477">
        <w:t>information about the reaction and what was consumed.</w:t>
      </w:r>
    </w:p>
    <w:p w14:paraId="72A310CB" w14:textId="4159101F" w:rsidR="00F90CFD" w:rsidRPr="003C3135" w:rsidRDefault="00D75B93" w:rsidP="006C7F60">
      <w:pPr>
        <w:pStyle w:val="DHHSbody"/>
        <w:rPr>
          <w:rFonts w:cs="Arial"/>
          <w:b/>
        </w:rPr>
      </w:pPr>
      <w:r w:rsidRPr="003C3135">
        <w:rPr>
          <w:rFonts w:cs="Arial"/>
          <w:b/>
        </w:rPr>
        <w:t xml:space="preserve">It is important </w:t>
      </w:r>
      <w:r w:rsidR="00E3320D">
        <w:rPr>
          <w:rFonts w:cs="Arial"/>
          <w:b/>
        </w:rPr>
        <w:t>to</w:t>
      </w:r>
      <w:r w:rsidRPr="003C3135">
        <w:rPr>
          <w:rFonts w:cs="Arial"/>
          <w:b/>
        </w:rPr>
        <w:t xml:space="preserve"> </w:t>
      </w:r>
      <w:r w:rsidR="00B97674">
        <w:rPr>
          <w:rFonts w:cs="Arial"/>
          <w:b/>
        </w:rPr>
        <w:t xml:space="preserve">include contact details for the case when notifying and </w:t>
      </w:r>
      <w:r w:rsidRPr="003C3135">
        <w:rPr>
          <w:rFonts w:cs="Arial"/>
          <w:b/>
        </w:rPr>
        <w:t xml:space="preserve">advise the case (or their parent/guardian) that the department </w:t>
      </w:r>
      <w:r w:rsidR="00B97674">
        <w:rPr>
          <w:rFonts w:cs="Arial"/>
          <w:b/>
        </w:rPr>
        <w:t>may contact</w:t>
      </w:r>
      <w:r w:rsidRPr="003C3135">
        <w:rPr>
          <w:rFonts w:cs="Arial"/>
          <w:b/>
        </w:rPr>
        <w:t xml:space="preserve"> them </w:t>
      </w:r>
      <w:r w:rsidR="00B97674">
        <w:rPr>
          <w:rFonts w:cs="Arial"/>
          <w:b/>
        </w:rPr>
        <w:t>for further details to help action to reduce food allergen risks.</w:t>
      </w:r>
    </w:p>
    <w:p w14:paraId="61F809C3" w14:textId="1C0BD9DF" w:rsidR="004B4410" w:rsidRDefault="00F90CFD" w:rsidP="006C7F60">
      <w:pPr>
        <w:pStyle w:val="DHHSbody"/>
        <w:rPr>
          <w:rFonts w:cs="Arial"/>
        </w:rPr>
      </w:pPr>
      <w:r>
        <w:rPr>
          <w:rFonts w:cs="Arial"/>
        </w:rPr>
        <w:t xml:space="preserve">Such incidents are potential breaches of food </w:t>
      </w:r>
      <w:r w:rsidR="00450A7B">
        <w:rPr>
          <w:rFonts w:cs="Arial"/>
        </w:rPr>
        <w:t>laws</w:t>
      </w:r>
      <w:r>
        <w:rPr>
          <w:rFonts w:cs="Arial"/>
        </w:rPr>
        <w:t xml:space="preserve"> and require follow up</w:t>
      </w:r>
      <w:r w:rsidRPr="00F90CFD">
        <w:rPr>
          <w:rFonts w:cs="Arial"/>
        </w:rPr>
        <w:t xml:space="preserve"> to prev</w:t>
      </w:r>
      <w:r w:rsidR="004B4410">
        <w:rPr>
          <w:rFonts w:cs="Arial"/>
        </w:rPr>
        <w:t xml:space="preserve">ent future </w:t>
      </w:r>
      <w:r w:rsidR="00450A7B">
        <w:rPr>
          <w:rFonts w:cs="Arial"/>
        </w:rPr>
        <w:t xml:space="preserve">mislabelling or </w:t>
      </w:r>
      <w:r w:rsidR="004B4410">
        <w:rPr>
          <w:rFonts w:cs="Arial"/>
        </w:rPr>
        <w:t>contamination events</w:t>
      </w:r>
      <w:r>
        <w:rPr>
          <w:rFonts w:cs="Arial"/>
        </w:rPr>
        <w:t xml:space="preserve">. </w:t>
      </w:r>
      <w:r w:rsidR="007A2E3C">
        <w:rPr>
          <w:rFonts w:cs="Arial"/>
        </w:rPr>
        <w:t xml:space="preserve">Such follow up may include laboratory testing of food and could result in a </w:t>
      </w:r>
      <w:r w:rsidR="00450A7B">
        <w:rPr>
          <w:rFonts w:cs="Arial"/>
        </w:rPr>
        <w:t xml:space="preserve">national or international </w:t>
      </w:r>
      <w:r w:rsidR="007A2E3C">
        <w:rPr>
          <w:rFonts w:cs="Arial"/>
        </w:rPr>
        <w:t>food recall to remove the product from the marketplace.</w:t>
      </w:r>
    </w:p>
    <w:p w14:paraId="465BC724" w14:textId="1DB04ECC" w:rsidR="002F2ED9" w:rsidRPr="00F90CFD" w:rsidRDefault="009F733B" w:rsidP="006C7F60">
      <w:pPr>
        <w:pStyle w:val="DHHSbody"/>
        <w:rPr>
          <w:rFonts w:cs="Arial"/>
        </w:rPr>
      </w:pPr>
      <w:r>
        <w:rPr>
          <w:rFonts w:cs="Arial"/>
        </w:rPr>
        <w:t xml:space="preserve">Notifications </w:t>
      </w:r>
      <w:r w:rsidR="00F90CFD">
        <w:rPr>
          <w:rFonts w:cs="Arial"/>
        </w:rPr>
        <w:t xml:space="preserve">involving unpackaged food from food </w:t>
      </w:r>
      <w:r w:rsidR="00780767">
        <w:rPr>
          <w:rFonts w:cs="Arial"/>
        </w:rPr>
        <w:t xml:space="preserve">businesses which suggest poor allergen management </w:t>
      </w:r>
      <w:r w:rsidR="00F90CFD">
        <w:rPr>
          <w:rFonts w:cs="Arial"/>
        </w:rPr>
        <w:t xml:space="preserve">will be </w:t>
      </w:r>
      <w:r w:rsidR="0016615D">
        <w:rPr>
          <w:rFonts w:cs="Arial"/>
        </w:rPr>
        <w:t xml:space="preserve">referred to </w:t>
      </w:r>
      <w:r w:rsidR="002F2ED9" w:rsidRPr="00F90CFD">
        <w:rPr>
          <w:rFonts w:cs="Arial"/>
        </w:rPr>
        <w:t xml:space="preserve">the </w:t>
      </w:r>
      <w:r w:rsidR="0016615D">
        <w:rPr>
          <w:rFonts w:cs="Arial"/>
        </w:rPr>
        <w:t xml:space="preserve">relevant </w:t>
      </w:r>
      <w:r w:rsidR="002F2ED9" w:rsidRPr="00F90CFD">
        <w:rPr>
          <w:rFonts w:cs="Arial"/>
        </w:rPr>
        <w:t xml:space="preserve">local council, </w:t>
      </w:r>
      <w:r w:rsidR="00F90CFD">
        <w:rPr>
          <w:rFonts w:cs="Arial"/>
        </w:rPr>
        <w:t>as the food regulator</w:t>
      </w:r>
      <w:r w:rsidR="002605F8">
        <w:rPr>
          <w:rFonts w:cs="Arial"/>
        </w:rPr>
        <w:t xml:space="preserve">, for </w:t>
      </w:r>
      <w:r w:rsidR="00780767">
        <w:rPr>
          <w:rFonts w:cs="Arial"/>
        </w:rPr>
        <w:t>assessment of allergen management practices, education and potential enforcement action</w:t>
      </w:r>
      <w:r w:rsidR="00F90CFD">
        <w:rPr>
          <w:rFonts w:cs="Arial"/>
        </w:rPr>
        <w:t>.</w:t>
      </w:r>
    </w:p>
    <w:p w14:paraId="57B27FE5" w14:textId="1083CB0B" w:rsidR="00BD3902" w:rsidRPr="00F90CFD" w:rsidRDefault="00A85B01" w:rsidP="00F90CFD">
      <w:pPr>
        <w:pStyle w:val="Heading2"/>
      </w:pPr>
      <w:bookmarkStart w:id="13" w:name="_Toc11941614"/>
      <w:r w:rsidRPr="00F90CFD">
        <w:t>Anaphylaxis due to drug</w:t>
      </w:r>
      <w:r w:rsidR="009D3F36">
        <w:t>s</w:t>
      </w:r>
      <w:r w:rsidR="006C7F60">
        <w:t>, blood-</w:t>
      </w:r>
      <w:r w:rsidR="00BD3902" w:rsidRPr="00F90CFD">
        <w:t>derived products and vaccination</w:t>
      </w:r>
      <w:bookmarkEnd w:id="13"/>
      <w:r w:rsidR="00BD3902" w:rsidRPr="00F90CFD">
        <w:t xml:space="preserve"> </w:t>
      </w:r>
    </w:p>
    <w:p w14:paraId="31C32684" w14:textId="52C3DFFF" w:rsidR="00F5028E" w:rsidRDefault="00780767" w:rsidP="00E04308">
      <w:pPr>
        <w:pStyle w:val="DHHSbody"/>
      </w:pPr>
      <w:r>
        <w:t>Notifications of</w:t>
      </w:r>
      <w:r w:rsidR="00BD3902" w:rsidRPr="009E3A54">
        <w:t xml:space="preserve"> anaphylaxis caused by drugs, blood products and vaccines will be collected by the department, </w:t>
      </w:r>
      <w:r w:rsidR="00F90CFD">
        <w:t>and</w:t>
      </w:r>
      <w:r w:rsidR="00BD3902" w:rsidRPr="009E3A54">
        <w:t xml:space="preserve"> forwarded </w:t>
      </w:r>
      <w:r>
        <w:t xml:space="preserve">periodically </w:t>
      </w:r>
      <w:r w:rsidR="00BD3902" w:rsidRPr="009E3A54">
        <w:t xml:space="preserve">to appropriate bodies </w:t>
      </w:r>
      <w:r>
        <w:t xml:space="preserve">(TGA, </w:t>
      </w:r>
      <w:r w:rsidR="00394D19" w:rsidRPr="00394D19">
        <w:t>Adverse Events Following Immunisation – Clinical Assessment Network</w:t>
      </w:r>
      <w:r>
        <w:t>).</w:t>
      </w:r>
    </w:p>
    <w:p w14:paraId="48094DB0" w14:textId="03FC7DFF" w:rsidR="00BD3902" w:rsidRPr="00F5028E" w:rsidRDefault="00780767" w:rsidP="00E04308">
      <w:pPr>
        <w:pStyle w:val="DHHSbody"/>
        <w:rPr>
          <w:b/>
        </w:rPr>
      </w:pPr>
      <w:r>
        <w:rPr>
          <w:b/>
        </w:rPr>
        <w:t>H</w:t>
      </w:r>
      <w:r w:rsidR="003B5D0C" w:rsidRPr="00F5028E">
        <w:rPr>
          <w:b/>
        </w:rPr>
        <w:t xml:space="preserve">ospitals </w:t>
      </w:r>
      <w:r>
        <w:rPr>
          <w:b/>
        </w:rPr>
        <w:t xml:space="preserve">should continue to report these drugs reactions directly to TGA and </w:t>
      </w:r>
      <w:r w:rsidR="00394D19">
        <w:rPr>
          <w:b/>
        </w:rPr>
        <w:t>AEFI-CAN</w:t>
      </w:r>
      <w:r>
        <w:rPr>
          <w:b/>
        </w:rPr>
        <w:t xml:space="preserve"> </w:t>
      </w:r>
      <w:r w:rsidR="008902CB" w:rsidRPr="00F5028E">
        <w:rPr>
          <w:b/>
        </w:rPr>
        <w:t>to ensure appropriate and timely act</w:t>
      </w:r>
      <w:r w:rsidR="0016615D">
        <w:rPr>
          <w:b/>
        </w:rPr>
        <w:t>ion can be</w:t>
      </w:r>
      <w:r w:rsidR="008902CB" w:rsidRPr="00F5028E">
        <w:rPr>
          <w:b/>
        </w:rPr>
        <w:t xml:space="preserve"> taken</w:t>
      </w:r>
      <w:r w:rsidR="0016615D">
        <w:rPr>
          <w:b/>
        </w:rPr>
        <w:t xml:space="preserve"> </w:t>
      </w:r>
      <w:r>
        <w:rPr>
          <w:b/>
        </w:rPr>
        <w:t xml:space="preserve">by these bodies </w:t>
      </w:r>
      <w:r w:rsidR="0016615D">
        <w:rPr>
          <w:b/>
        </w:rPr>
        <w:t>where necessary</w:t>
      </w:r>
      <w:r w:rsidR="008902CB" w:rsidRPr="00F5028E">
        <w:rPr>
          <w:b/>
        </w:rPr>
        <w:t>.</w:t>
      </w:r>
    </w:p>
    <w:p w14:paraId="784477E7" w14:textId="1C0E69F3" w:rsidR="00A85B01" w:rsidRDefault="00A85B01" w:rsidP="00E04308">
      <w:pPr>
        <w:pStyle w:val="Heading2"/>
      </w:pPr>
      <w:bookmarkStart w:id="14" w:name="_Toc11941615"/>
      <w:r>
        <w:t xml:space="preserve">Anaphylaxis due to </w:t>
      </w:r>
      <w:r w:rsidR="003803A3">
        <w:t>i</w:t>
      </w:r>
      <w:r>
        <w:t>nsect venom</w:t>
      </w:r>
      <w:bookmarkEnd w:id="14"/>
    </w:p>
    <w:p w14:paraId="75B8C244" w14:textId="20CE78C8" w:rsidR="00A85B01" w:rsidRDefault="00661380" w:rsidP="00A85B01">
      <w:pPr>
        <w:pStyle w:val="DHHSbody"/>
      </w:pPr>
      <w:r>
        <w:t xml:space="preserve">Notification </w:t>
      </w:r>
      <w:r w:rsidR="00A85B01">
        <w:t xml:space="preserve">data </w:t>
      </w:r>
      <w:r w:rsidR="00691483">
        <w:t>will be retained for possible future interrogation, for example</w:t>
      </w:r>
      <w:r w:rsidR="00E3320D">
        <w:t xml:space="preserve"> of</w:t>
      </w:r>
      <w:r w:rsidR="00A85B01">
        <w:t xml:space="preserve"> seasonal and geographical </w:t>
      </w:r>
      <w:r w:rsidR="00691483">
        <w:t xml:space="preserve">incidence of </w:t>
      </w:r>
      <w:r w:rsidR="00A85B01">
        <w:t>anaphylaxis</w:t>
      </w:r>
      <w:r>
        <w:t>, to contribute to the knowledge base and aid in policy development and service provision</w:t>
      </w:r>
      <w:r w:rsidR="00A85B01">
        <w:t xml:space="preserve">. </w:t>
      </w:r>
    </w:p>
    <w:p w14:paraId="4C00FEC3" w14:textId="030729F2" w:rsidR="00EE7036" w:rsidRPr="00371FEF" w:rsidRDefault="001C60EE" w:rsidP="00774BCF">
      <w:pPr>
        <w:pStyle w:val="Heading2"/>
        <w:rPr>
          <w:sz w:val="24"/>
          <w:szCs w:val="24"/>
        </w:rPr>
      </w:pPr>
      <w:bookmarkStart w:id="15" w:name="_Toc11941616"/>
      <w:r>
        <w:t xml:space="preserve">Data </w:t>
      </w:r>
      <w:r w:rsidR="00774BCF">
        <w:t xml:space="preserve">storage, </w:t>
      </w:r>
      <w:r>
        <w:t>analysis and reporting</w:t>
      </w:r>
      <w:bookmarkEnd w:id="15"/>
    </w:p>
    <w:p w14:paraId="58178238" w14:textId="5B30349E" w:rsidR="00774BCF" w:rsidRPr="006C7F60" w:rsidRDefault="008941DB" w:rsidP="006C7F60">
      <w:pPr>
        <w:pStyle w:val="DHHSbody"/>
      </w:pPr>
      <w:r>
        <w:t xml:space="preserve">All information about anaphylaxis presentations collected by the department is health information for the purposes of the </w:t>
      </w:r>
      <w:r w:rsidRPr="008941DB">
        <w:rPr>
          <w:i/>
        </w:rPr>
        <w:t>Health Records Act 2001</w:t>
      </w:r>
      <w:r>
        <w:t>. This Act aims to protect the privacy of an individual’s health information and how this information is managed. The department complies with this Act in dealing with any information collected</w:t>
      </w:r>
      <w:r w:rsidR="00E3320D">
        <w:t>.</w:t>
      </w:r>
      <w:r>
        <w:t xml:space="preserve"> </w:t>
      </w:r>
    </w:p>
    <w:p w14:paraId="36DF7D32" w14:textId="4937FC8B" w:rsidR="00774BCF" w:rsidRDefault="00774BCF" w:rsidP="006C7F60">
      <w:pPr>
        <w:pStyle w:val="DHHSbody"/>
      </w:pPr>
      <w:r w:rsidRPr="006C7F60">
        <w:t xml:space="preserve">The data collected through the anaphylaxis notification scheme will be monitored </w:t>
      </w:r>
      <w:r w:rsidR="00351FFF" w:rsidRPr="006C7F60">
        <w:t>to determine trends over time and descriptive</w:t>
      </w:r>
      <w:r w:rsidR="00661380">
        <w:t xml:space="preserve"> </w:t>
      </w:r>
      <w:r w:rsidR="00A7224D">
        <w:t>epidemiological analysis</w:t>
      </w:r>
      <w:r w:rsidR="00351FFF" w:rsidRPr="006C7F60">
        <w:t xml:space="preserve"> will be undertaken where possible. This information will be used to inform public health</w:t>
      </w:r>
      <w:r w:rsidR="00661380">
        <w:t xml:space="preserve"> policies and planning</w:t>
      </w:r>
      <w:r w:rsidR="007A2E3C" w:rsidRPr="006C7F60">
        <w:t xml:space="preserve"> </w:t>
      </w:r>
      <w:r w:rsidR="00351FFF" w:rsidRPr="006C7F60">
        <w:t>and provide reports to stakeholders, including hospitals.</w:t>
      </w:r>
    </w:p>
    <w:p w14:paraId="72CD7F22" w14:textId="77777777" w:rsidR="00316A44" w:rsidRDefault="00776792" w:rsidP="00E04308">
      <w:pPr>
        <w:pStyle w:val="Heading1"/>
      </w:pPr>
      <w:bookmarkStart w:id="16" w:name="_Toc11941617"/>
      <w:r>
        <w:lastRenderedPageBreak/>
        <w:t>Further assistance</w:t>
      </w:r>
      <w:bookmarkEnd w:id="16"/>
    </w:p>
    <w:p w14:paraId="5093327D" w14:textId="2FEEAEEE" w:rsidR="00F26206" w:rsidRPr="00232A1F" w:rsidRDefault="00F26206">
      <w:pPr>
        <w:pStyle w:val="DHHSbody"/>
      </w:pPr>
      <w:r w:rsidRPr="00F26206">
        <w:t>For any questions</w:t>
      </w:r>
      <w:r w:rsidRPr="00232A1F">
        <w:t xml:space="preserve"> about the scheme, phone </w:t>
      </w:r>
      <w:r w:rsidRPr="00F26206">
        <w:t>notifications</w:t>
      </w:r>
      <w:r w:rsidRPr="00232A1F">
        <w:t xml:space="preserve"> and the online notification process please contact </w:t>
      </w:r>
      <w:r w:rsidR="009A3A71" w:rsidRPr="009A3A71">
        <w:t>1300</w:t>
      </w:r>
      <w:r w:rsidR="006C7F60">
        <w:t xml:space="preserve"> 364 </w:t>
      </w:r>
      <w:r w:rsidR="009A3A71" w:rsidRPr="009A3A71">
        <w:t>352</w:t>
      </w:r>
      <w:r w:rsidR="009A3A71">
        <w:t xml:space="preserve"> </w:t>
      </w:r>
      <w:r w:rsidRPr="00232A1F">
        <w:t xml:space="preserve">or </w:t>
      </w:r>
      <w:hyperlink r:id="rId26" w:history="1">
        <w:r w:rsidR="00394D19">
          <w:rPr>
            <w:rStyle w:val="Hyperlink"/>
          </w:rPr>
          <w:t>em</w:t>
        </w:r>
        <w:r w:rsidR="00394D19">
          <w:rPr>
            <w:rStyle w:val="Hyperlink"/>
          </w:rPr>
          <w:t>a</w:t>
        </w:r>
        <w:r w:rsidR="00394D19">
          <w:rPr>
            <w:rStyle w:val="Hyperlink"/>
          </w:rPr>
          <w:t>il</w:t>
        </w:r>
      </w:hyperlink>
      <w:r w:rsidR="00394D19">
        <w:rPr>
          <w:rStyle w:val="Hyperlink"/>
        </w:rPr>
        <w:t xml:space="preserve"> </w:t>
      </w:r>
      <w:r w:rsidR="00394D19" w:rsidRPr="00394D19">
        <w:rPr>
          <w:rStyle w:val="Hyperlink"/>
          <w:color w:val="auto"/>
        </w:rPr>
        <w:t>&lt;</w:t>
      </w:r>
      <w:hyperlink r:id="rId27" w:history="1">
        <w:r w:rsidR="00394D19" w:rsidRPr="00394D19">
          <w:rPr>
            <w:rStyle w:val="Hyperlink"/>
            <w:color w:val="auto"/>
          </w:rPr>
          <w:t>anaphylaxis@dhhs.vic.gov.au</w:t>
        </w:r>
      </w:hyperlink>
      <w:r w:rsidR="00394D19" w:rsidRPr="00394D19">
        <w:rPr>
          <w:rStyle w:val="Hyperlink"/>
          <w:color w:val="auto"/>
        </w:rPr>
        <w:t>&gt;</w:t>
      </w:r>
      <w:r w:rsidR="00394D19">
        <w:rPr>
          <w:rStyle w:val="Hyperlink"/>
          <w:color w:val="auto"/>
        </w:rPr>
        <w:t>.</w:t>
      </w:r>
    </w:p>
    <w:p w14:paraId="3A04B80F" w14:textId="77777777" w:rsidR="00F26206" w:rsidRPr="00F26206" w:rsidRDefault="00F26206">
      <w:pPr>
        <w:pStyle w:val="DHHSbody"/>
      </w:pPr>
    </w:p>
    <w:p w14:paraId="6215D856" w14:textId="77777777" w:rsidR="00776792" w:rsidRPr="00776792" w:rsidRDefault="00776792">
      <w:pPr>
        <w:pStyle w:val="DHHSbody"/>
      </w:pPr>
    </w:p>
    <w:p w14:paraId="7B19409E" w14:textId="77777777" w:rsidR="00316A44" w:rsidRDefault="00316A44" w:rsidP="00371FEF">
      <w:pPr>
        <w:pStyle w:val="DHHSbody"/>
        <w:rPr>
          <w:sz w:val="24"/>
          <w:szCs w:val="24"/>
        </w:rPr>
      </w:pPr>
    </w:p>
    <w:p w14:paraId="12D0E463" w14:textId="77777777" w:rsidR="00316A44" w:rsidRDefault="00316A44">
      <w:pPr>
        <w:rPr>
          <w:rFonts w:ascii="Arial" w:eastAsia="Times" w:hAnsi="Arial"/>
          <w:sz w:val="24"/>
          <w:szCs w:val="24"/>
        </w:rPr>
      </w:pPr>
      <w:r>
        <w:rPr>
          <w:sz w:val="24"/>
          <w:szCs w:val="24"/>
        </w:rPr>
        <w:br w:type="page"/>
      </w:r>
    </w:p>
    <w:p w14:paraId="275AEC3D" w14:textId="77777777" w:rsidR="00036F08" w:rsidRDefault="00036F08" w:rsidP="00036F08">
      <w:pPr>
        <w:pStyle w:val="Heading1"/>
      </w:pPr>
      <w:bookmarkStart w:id="17" w:name="_Toc11941618"/>
      <w:r w:rsidRPr="00C10ADC">
        <w:lastRenderedPageBreak/>
        <w:t>Appendices</w:t>
      </w:r>
      <w:bookmarkEnd w:id="17"/>
    </w:p>
    <w:p w14:paraId="6625A6D1" w14:textId="1FEB3604" w:rsidR="001F51BA" w:rsidRDefault="001F51BA" w:rsidP="00E04308">
      <w:pPr>
        <w:pStyle w:val="Heading2"/>
      </w:pPr>
      <w:bookmarkStart w:id="18" w:name="_Toc11941619"/>
      <w:r>
        <w:t>Appendix 1 –</w:t>
      </w:r>
      <w:r w:rsidR="002A3B84">
        <w:t xml:space="preserve"> </w:t>
      </w:r>
      <w:r w:rsidR="00F85FEA" w:rsidRPr="00F85FEA">
        <w:rPr>
          <w:i/>
        </w:rPr>
        <w:t xml:space="preserve">Public </w:t>
      </w:r>
      <w:r w:rsidRPr="000167DE">
        <w:rPr>
          <w:i/>
        </w:rPr>
        <w:t xml:space="preserve">Health and </w:t>
      </w:r>
      <w:r w:rsidR="00F85FEA">
        <w:rPr>
          <w:i/>
        </w:rPr>
        <w:t xml:space="preserve">Wellbeing </w:t>
      </w:r>
      <w:r w:rsidRPr="000167DE">
        <w:rPr>
          <w:i/>
        </w:rPr>
        <w:t>Act 20</w:t>
      </w:r>
      <w:r w:rsidR="00F85FEA">
        <w:rPr>
          <w:i/>
        </w:rPr>
        <w:t>08</w:t>
      </w:r>
      <w:bookmarkEnd w:id="18"/>
    </w:p>
    <w:p w14:paraId="039ECE30" w14:textId="7BD927F3" w:rsidR="00390697" w:rsidRPr="000167DE" w:rsidRDefault="00390697" w:rsidP="004D57CF">
      <w:pPr>
        <w:autoSpaceDE w:val="0"/>
        <w:autoSpaceDN w:val="0"/>
        <w:adjustRightInd w:val="0"/>
        <w:rPr>
          <w:rFonts w:ascii="Arial" w:hAnsi="Arial" w:cs="Arial"/>
          <w:sz w:val="22"/>
          <w:szCs w:val="22"/>
        </w:rPr>
      </w:pPr>
    </w:p>
    <w:p w14:paraId="5FD1A5D3" w14:textId="6339CF2A" w:rsidR="00390697" w:rsidRDefault="00390697" w:rsidP="00390697">
      <w:pPr>
        <w:autoSpaceDE w:val="0"/>
        <w:autoSpaceDN w:val="0"/>
        <w:adjustRightInd w:val="0"/>
        <w:rPr>
          <w:rFonts w:ascii="Arial" w:hAnsi="Arial" w:cs="Arial"/>
          <w:b/>
          <w:bCs/>
          <w:sz w:val="22"/>
          <w:szCs w:val="22"/>
          <w:lang w:eastAsia="en-AU"/>
        </w:rPr>
      </w:pPr>
      <w:r w:rsidRPr="003C3135">
        <w:rPr>
          <w:rFonts w:ascii="Arial" w:hAnsi="Arial" w:cs="Arial"/>
          <w:b/>
          <w:bCs/>
          <w:sz w:val="22"/>
          <w:szCs w:val="22"/>
          <w:lang w:eastAsia="en-AU"/>
        </w:rPr>
        <w:t>Division 3A—Notification of anaphylaxis</w:t>
      </w:r>
      <w:r>
        <w:rPr>
          <w:rFonts w:ascii="Arial" w:hAnsi="Arial" w:cs="Arial"/>
          <w:b/>
          <w:bCs/>
          <w:sz w:val="22"/>
          <w:szCs w:val="22"/>
          <w:lang w:eastAsia="en-AU"/>
        </w:rPr>
        <w:t xml:space="preserve"> </w:t>
      </w:r>
      <w:r w:rsidRPr="003C3135">
        <w:rPr>
          <w:rFonts w:ascii="Arial" w:hAnsi="Arial" w:cs="Arial"/>
          <w:b/>
          <w:bCs/>
          <w:sz w:val="22"/>
          <w:szCs w:val="22"/>
          <w:lang w:eastAsia="en-AU"/>
        </w:rPr>
        <w:t>presentation</w:t>
      </w:r>
    </w:p>
    <w:p w14:paraId="3BCD7BFD" w14:textId="77777777" w:rsidR="00343BD5" w:rsidRPr="003C3135" w:rsidRDefault="00343BD5" w:rsidP="00390697">
      <w:pPr>
        <w:autoSpaceDE w:val="0"/>
        <w:autoSpaceDN w:val="0"/>
        <w:adjustRightInd w:val="0"/>
        <w:rPr>
          <w:rFonts w:ascii="Arial" w:hAnsi="Arial" w:cs="Arial"/>
          <w:b/>
          <w:bCs/>
          <w:sz w:val="22"/>
          <w:szCs w:val="22"/>
          <w:lang w:eastAsia="en-AU"/>
        </w:rPr>
      </w:pPr>
    </w:p>
    <w:p w14:paraId="08D376D5" w14:textId="77777777" w:rsidR="00390697" w:rsidRPr="003C3135" w:rsidRDefault="00390697" w:rsidP="002A3B84">
      <w:pPr>
        <w:autoSpaceDE w:val="0"/>
        <w:autoSpaceDN w:val="0"/>
        <w:adjustRightInd w:val="0"/>
        <w:spacing w:afterLines="60" w:after="144"/>
        <w:rPr>
          <w:rFonts w:ascii="Arial" w:hAnsi="Arial" w:cs="Arial"/>
          <w:b/>
          <w:bCs/>
          <w:sz w:val="22"/>
          <w:szCs w:val="22"/>
          <w:lang w:eastAsia="en-AU"/>
        </w:rPr>
      </w:pPr>
      <w:r w:rsidRPr="003C3135">
        <w:rPr>
          <w:rFonts w:ascii="Arial" w:hAnsi="Arial" w:cs="Arial"/>
          <w:b/>
          <w:bCs/>
          <w:sz w:val="22"/>
          <w:szCs w:val="22"/>
          <w:lang w:eastAsia="en-AU"/>
        </w:rPr>
        <w:t>130A Definitions</w:t>
      </w:r>
    </w:p>
    <w:p w14:paraId="5608E3CB" w14:textId="2E17D457" w:rsidR="00343BD5" w:rsidRPr="003C3135" w:rsidRDefault="00390697" w:rsidP="002A3B84">
      <w:pPr>
        <w:autoSpaceDE w:val="0"/>
        <w:autoSpaceDN w:val="0"/>
        <w:adjustRightInd w:val="0"/>
        <w:spacing w:afterLines="60" w:after="144"/>
        <w:rPr>
          <w:rFonts w:ascii="Arial" w:hAnsi="Arial" w:cs="Arial"/>
          <w:sz w:val="22"/>
          <w:szCs w:val="22"/>
          <w:lang w:eastAsia="en-AU"/>
        </w:rPr>
      </w:pPr>
      <w:r w:rsidRPr="003C3135">
        <w:rPr>
          <w:rFonts w:ascii="Arial" w:hAnsi="Arial" w:cs="Arial"/>
          <w:sz w:val="22"/>
          <w:szCs w:val="22"/>
          <w:lang w:eastAsia="en-AU"/>
        </w:rPr>
        <w:t>In this Division—</w:t>
      </w:r>
    </w:p>
    <w:p w14:paraId="30AC0758" w14:textId="77777777" w:rsidR="00390697" w:rsidRPr="003C3135" w:rsidRDefault="00390697" w:rsidP="002A3B84">
      <w:pPr>
        <w:autoSpaceDE w:val="0"/>
        <w:autoSpaceDN w:val="0"/>
        <w:adjustRightInd w:val="0"/>
        <w:spacing w:afterLines="60" w:after="144"/>
        <w:rPr>
          <w:rFonts w:ascii="Arial" w:hAnsi="Arial" w:cs="Arial"/>
          <w:sz w:val="22"/>
          <w:szCs w:val="22"/>
          <w:lang w:eastAsia="en-AU"/>
        </w:rPr>
      </w:pPr>
      <w:r w:rsidRPr="003C3135">
        <w:rPr>
          <w:rFonts w:ascii="Arial" w:hAnsi="Arial" w:cs="Arial"/>
          <w:b/>
          <w:bCs/>
          <w:i/>
          <w:iCs/>
          <w:sz w:val="22"/>
          <w:szCs w:val="22"/>
          <w:lang w:eastAsia="en-AU"/>
        </w:rPr>
        <w:t xml:space="preserve">anaphylaxis reporting body </w:t>
      </w:r>
      <w:r w:rsidRPr="003C3135">
        <w:rPr>
          <w:rFonts w:ascii="Arial" w:hAnsi="Arial" w:cs="Arial"/>
          <w:sz w:val="22"/>
          <w:szCs w:val="22"/>
          <w:lang w:eastAsia="en-AU"/>
        </w:rPr>
        <w:t>means—</w:t>
      </w:r>
    </w:p>
    <w:p w14:paraId="52A27F27" w14:textId="77777777" w:rsidR="00390697" w:rsidRPr="003C3135" w:rsidRDefault="00390697" w:rsidP="002A3B84">
      <w:pPr>
        <w:autoSpaceDE w:val="0"/>
        <w:autoSpaceDN w:val="0"/>
        <w:adjustRightInd w:val="0"/>
        <w:spacing w:afterLines="60" w:after="144"/>
        <w:rPr>
          <w:rFonts w:ascii="Arial" w:hAnsi="Arial" w:cs="Arial"/>
          <w:sz w:val="22"/>
          <w:szCs w:val="22"/>
          <w:lang w:eastAsia="en-AU"/>
        </w:rPr>
      </w:pPr>
      <w:r w:rsidRPr="003C3135">
        <w:rPr>
          <w:rFonts w:ascii="Arial" w:hAnsi="Arial" w:cs="Arial"/>
          <w:sz w:val="22"/>
          <w:szCs w:val="22"/>
          <w:lang w:eastAsia="en-AU"/>
        </w:rPr>
        <w:t>(a) a public hospital; or</w:t>
      </w:r>
    </w:p>
    <w:p w14:paraId="1912510C" w14:textId="77777777" w:rsidR="00390697" w:rsidRPr="003C3135" w:rsidRDefault="00390697" w:rsidP="002A3B84">
      <w:pPr>
        <w:spacing w:afterLines="60" w:after="144"/>
        <w:rPr>
          <w:rFonts w:ascii="Arial" w:hAnsi="Arial" w:cs="Arial"/>
          <w:sz w:val="22"/>
          <w:szCs w:val="22"/>
          <w:lang w:eastAsia="en-AU"/>
        </w:rPr>
      </w:pPr>
      <w:r w:rsidRPr="003C3135">
        <w:rPr>
          <w:rFonts w:ascii="Arial" w:hAnsi="Arial" w:cs="Arial"/>
          <w:sz w:val="22"/>
          <w:szCs w:val="22"/>
          <w:lang w:eastAsia="en-AU"/>
        </w:rPr>
        <w:t>(b) a denominational hospital; or</w:t>
      </w:r>
    </w:p>
    <w:p w14:paraId="121CCD7E" w14:textId="77777777" w:rsidR="00390697" w:rsidRPr="003C3135" w:rsidRDefault="00390697" w:rsidP="002A3B84">
      <w:pPr>
        <w:autoSpaceDE w:val="0"/>
        <w:autoSpaceDN w:val="0"/>
        <w:adjustRightInd w:val="0"/>
        <w:spacing w:afterLines="60" w:after="144"/>
        <w:rPr>
          <w:rFonts w:ascii="Arial" w:hAnsi="Arial" w:cs="Arial"/>
          <w:sz w:val="22"/>
          <w:szCs w:val="22"/>
          <w:lang w:eastAsia="en-AU"/>
        </w:rPr>
      </w:pPr>
      <w:r w:rsidRPr="003C3135">
        <w:rPr>
          <w:rFonts w:ascii="Arial" w:hAnsi="Arial" w:cs="Arial"/>
          <w:sz w:val="22"/>
          <w:szCs w:val="22"/>
          <w:lang w:eastAsia="en-AU"/>
        </w:rPr>
        <w:t>(c) a private hospital; or</w:t>
      </w:r>
    </w:p>
    <w:p w14:paraId="76041524" w14:textId="785BB1B2" w:rsidR="00390697" w:rsidRPr="003C3135" w:rsidRDefault="00390697" w:rsidP="002A3B84">
      <w:pPr>
        <w:autoSpaceDE w:val="0"/>
        <w:autoSpaceDN w:val="0"/>
        <w:adjustRightInd w:val="0"/>
        <w:spacing w:afterLines="60" w:after="144"/>
        <w:rPr>
          <w:rFonts w:ascii="Arial" w:hAnsi="Arial" w:cs="Arial"/>
          <w:sz w:val="22"/>
          <w:szCs w:val="22"/>
          <w:lang w:eastAsia="en-AU"/>
        </w:rPr>
      </w:pPr>
      <w:r w:rsidRPr="003C3135">
        <w:rPr>
          <w:rFonts w:ascii="Arial" w:hAnsi="Arial" w:cs="Arial"/>
          <w:sz w:val="22"/>
          <w:szCs w:val="22"/>
          <w:lang w:eastAsia="en-AU"/>
        </w:rPr>
        <w:t>(d) a multipurpose service; or</w:t>
      </w:r>
    </w:p>
    <w:p w14:paraId="193E4422" w14:textId="60BFD49D" w:rsidR="00390697" w:rsidRPr="002A3B84" w:rsidRDefault="00390697" w:rsidP="002A3B84">
      <w:pPr>
        <w:autoSpaceDE w:val="0"/>
        <w:autoSpaceDN w:val="0"/>
        <w:adjustRightInd w:val="0"/>
        <w:spacing w:afterLines="60" w:after="144"/>
        <w:rPr>
          <w:rFonts w:ascii="Arial" w:hAnsi="Arial" w:cs="Arial"/>
          <w:sz w:val="22"/>
          <w:szCs w:val="22"/>
          <w:lang w:eastAsia="en-AU"/>
        </w:rPr>
      </w:pPr>
      <w:r w:rsidRPr="003C3135">
        <w:rPr>
          <w:rFonts w:ascii="Arial" w:hAnsi="Arial" w:cs="Arial"/>
          <w:sz w:val="22"/>
          <w:szCs w:val="22"/>
          <w:lang w:eastAsia="en-AU"/>
        </w:rPr>
        <w:t>(e) a privately-operated hospital within</w:t>
      </w:r>
      <w:r>
        <w:rPr>
          <w:rFonts w:ascii="Arial" w:hAnsi="Arial" w:cs="Arial"/>
          <w:sz w:val="22"/>
          <w:szCs w:val="22"/>
          <w:lang w:eastAsia="en-AU"/>
        </w:rPr>
        <w:t xml:space="preserve"> </w:t>
      </w:r>
      <w:r w:rsidRPr="003C3135">
        <w:rPr>
          <w:rFonts w:ascii="Arial" w:hAnsi="Arial" w:cs="Arial"/>
          <w:sz w:val="22"/>
          <w:szCs w:val="22"/>
          <w:lang w:eastAsia="en-AU"/>
        </w:rPr>
        <w:t xml:space="preserve">the meaning of the </w:t>
      </w:r>
      <w:r w:rsidRPr="003C3135">
        <w:rPr>
          <w:rFonts w:ascii="Arial" w:hAnsi="Arial" w:cs="Arial"/>
          <w:b/>
          <w:bCs/>
          <w:sz w:val="22"/>
          <w:szCs w:val="22"/>
          <w:lang w:eastAsia="en-AU"/>
        </w:rPr>
        <w:t>Health Services</w:t>
      </w:r>
      <w:r>
        <w:rPr>
          <w:rFonts w:ascii="Arial" w:hAnsi="Arial" w:cs="Arial"/>
          <w:sz w:val="22"/>
          <w:szCs w:val="22"/>
          <w:lang w:eastAsia="en-AU"/>
        </w:rPr>
        <w:t xml:space="preserve"> </w:t>
      </w:r>
      <w:r w:rsidRPr="003C3135">
        <w:rPr>
          <w:rFonts w:ascii="Arial" w:hAnsi="Arial" w:cs="Arial"/>
          <w:b/>
          <w:bCs/>
          <w:sz w:val="22"/>
          <w:szCs w:val="22"/>
          <w:lang w:eastAsia="en-AU"/>
        </w:rPr>
        <w:t>Act 1988</w:t>
      </w:r>
      <w:r w:rsidRPr="003C3135">
        <w:rPr>
          <w:rFonts w:ascii="Arial" w:hAnsi="Arial" w:cs="Arial"/>
          <w:sz w:val="22"/>
          <w:szCs w:val="22"/>
          <w:lang w:eastAsia="en-AU"/>
        </w:rPr>
        <w:t>;</w:t>
      </w:r>
    </w:p>
    <w:p w14:paraId="41B9EAAE" w14:textId="29E38A52" w:rsidR="00390697" w:rsidRPr="003C3135" w:rsidRDefault="00390697" w:rsidP="002A3B84">
      <w:pPr>
        <w:autoSpaceDE w:val="0"/>
        <w:autoSpaceDN w:val="0"/>
        <w:adjustRightInd w:val="0"/>
        <w:spacing w:afterLines="60" w:after="144"/>
        <w:rPr>
          <w:rFonts w:ascii="Arial" w:hAnsi="Arial" w:cs="Arial"/>
          <w:sz w:val="22"/>
          <w:szCs w:val="22"/>
          <w:lang w:eastAsia="en-AU"/>
        </w:rPr>
      </w:pPr>
      <w:r w:rsidRPr="003C3135">
        <w:rPr>
          <w:rFonts w:ascii="Arial" w:hAnsi="Arial" w:cs="Arial"/>
          <w:b/>
          <w:bCs/>
          <w:i/>
          <w:iCs/>
          <w:sz w:val="22"/>
          <w:szCs w:val="22"/>
          <w:lang w:eastAsia="en-AU"/>
        </w:rPr>
        <w:t xml:space="preserve">person in charge </w:t>
      </w:r>
      <w:r w:rsidRPr="003C3135">
        <w:rPr>
          <w:rFonts w:ascii="Arial" w:hAnsi="Arial" w:cs="Arial"/>
          <w:sz w:val="22"/>
          <w:szCs w:val="22"/>
          <w:lang w:eastAsia="en-AU"/>
        </w:rPr>
        <w:t>means—</w:t>
      </w:r>
    </w:p>
    <w:p w14:paraId="601FA802" w14:textId="1BC8907C" w:rsidR="00390697" w:rsidRPr="003C3135" w:rsidRDefault="00390697" w:rsidP="002A3B84">
      <w:pPr>
        <w:autoSpaceDE w:val="0"/>
        <w:autoSpaceDN w:val="0"/>
        <w:adjustRightInd w:val="0"/>
        <w:spacing w:afterLines="60" w:after="144"/>
        <w:rPr>
          <w:rFonts w:ascii="Arial" w:hAnsi="Arial" w:cs="Arial"/>
          <w:sz w:val="22"/>
          <w:szCs w:val="22"/>
          <w:lang w:eastAsia="en-AU"/>
        </w:rPr>
      </w:pPr>
      <w:r w:rsidRPr="003C3135">
        <w:rPr>
          <w:rFonts w:ascii="Arial" w:hAnsi="Arial" w:cs="Arial"/>
          <w:sz w:val="22"/>
          <w:szCs w:val="22"/>
          <w:lang w:eastAsia="en-AU"/>
        </w:rPr>
        <w:t>(a) in the case of an anaphylaxis</w:t>
      </w:r>
      <w:r>
        <w:rPr>
          <w:rFonts w:ascii="Arial" w:hAnsi="Arial" w:cs="Arial"/>
          <w:sz w:val="22"/>
          <w:szCs w:val="22"/>
          <w:lang w:eastAsia="en-AU"/>
        </w:rPr>
        <w:t xml:space="preserve"> </w:t>
      </w:r>
      <w:r w:rsidRPr="003C3135">
        <w:rPr>
          <w:rFonts w:ascii="Arial" w:hAnsi="Arial" w:cs="Arial"/>
          <w:sz w:val="22"/>
          <w:szCs w:val="22"/>
          <w:lang w:eastAsia="en-AU"/>
        </w:rPr>
        <w:t>reporting body that is a public hospital,</w:t>
      </w:r>
      <w:r>
        <w:rPr>
          <w:rFonts w:ascii="Arial" w:hAnsi="Arial" w:cs="Arial"/>
          <w:sz w:val="22"/>
          <w:szCs w:val="22"/>
          <w:lang w:eastAsia="en-AU"/>
        </w:rPr>
        <w:t xml:space="preserve"> </w:t>
      </w:r>
      <w:r w:rsidRPr="003C3135">
        <w:rPr>
          <w:rFonts w:ascii="Arial" w:hAnsi="Arial" w:cs="Arial"/>
          <w:sz w:val="22"/>
          <w:szCs w:val="22"/>
          <w:lang w:eastAsia="en-AU"/>
        </w:rPr>
        <w:t>denominational</w:t>
      </w:r>
      <w:r>
        <w:rPr>
          <w:rFonts w:ascii="Arial" w:hAnsi="Arial" w:cs="Arial"/>
          <w:sz w:val="22"/>
          <w:szCs w:val="22"/>
          <w:lang w:eastAsia="en-AU"/>
        </w:rPr>
        <w:t xml:space="preserve"> </w:t>
      </w:r>
      <w:r w:rsidRPr="003C3135">
        <w:rPr>
          <w:rFonts w:ascii="Arial" w:hAnsi="Arial" w:cs="Arial"/>
          <w:sz w:val="22"/>
          <w:szCs w:val="22"/>
          <w:lang w:eastAsia="en-AU"/>
        </w:rPr>
        <w:t>hospital, multipurpose</w:t>
      </w:r>
      <w:r>
        <w:rPr>
          <w:rFonts w:ascii="Arial" w:hAnsi="Arial" w:cs="Arial"/>
          <w:sz w:val="22"/>
          <w:szCs w:val="22"/>
          <w:lang w:eastAsia="en-AU"/>
        </w:rPr>
        <w:t xml:space="preserve"> </w:t>
      </w:r>
      <w:r w:rsidRPr="003C3135">
        <w:rPr>
          <w:rFonts w:ascii="Arial" w:hAnsi="Arial" w:cs="Arial"/>
          <w:sz w:val="22"/>
          <w:szCs w:val="22"/>
          <w:lang w:eastAsia="en-AU"/>
        </w:rPr>
        <w:t>service or privately-operated hospital,</w:t>
      </w:r>
      <w:r>
        <w:rPr>
          <w:rFonts w:ascii="Arial" w:hAnsi="Arial" w:cs="Arial"/>
          <w:sz w:val="22"/>
          <w:szCs w:val="22"/>
          <w:lang w:eastAsia="en-AU"/>
        </w:rPr>
        <w:t xml:space="preserve"> </w:t>
      </w:r>
      <w:r w:rsidRPr="003C3135">
        <w:rPr>
          <w:rFonts w:ascii="Arial" w:hAnsi="Arial" w:cs="Arial"/>
          <w:sz w:val="22"/>
          <w:szCs w:val="22"/>
          <w:lang w:eastAsia="en-AU"/>
        </w:rPr>
        <w:t>the chief executive officer of the</w:t>
      </w:r>
      <w:r>
        <w:rPr>
          <w:rFonts w:ascii="Arial" w:hAnsi="Arial" w:cs="Arial"/>
          <w:sz w:val="22"/>
          <w:szCs w:val="22"/>
          <w:lang w:eastAsia="en-AU"/>
        </w:rPr>
        <w:t xml:space="preserve"> </w:t>
      </w:r>
      <w:r w:rsidRPr="003C3135">
        <w:rPr>
          <w:rFonts w:ascii="Arial" w:hAnsi="Arial" w:cs="Arial"/>
          <w:sz w:val="22"/>
          <w:szCs w:val="22"/>
          <w:lang w:eastAsia="en-AU"/>
        </w:rPr>
        <w:t>body;</w:t>
      </w:r>
      <w:r>
        <w:rPr>
          <w:rFonts w:ascii="Arial" w:hAnsi="Arial" w:cs="Arial"/>
          <w:sz w:val="22"/>
          <w:szCs w:val="22"/>
          <w:lang w:eastAsia="en-AU"/>
        </w:rPr>
        <w:t xml:space="preserve"> </w:t>
      </w:r>
      <w:r w:rsidRPr="003C3135">
        <w:rPr>
          <w:rFonts w:ascii="Arial" w:hAnsi="Arial" w:cs="Arial"/>
          <w:sz w:val="22"/>
          <w:szCs w:val="22"/>
          <w:lang w:eastAsia="en-AU"/>
        </w:rPr>
        <w:t>and</w:t>
      </w:r>
    </w:p>
    <w:p w14:paraId="1DA62A6B" w14:textId="3A4C7249" w:rsidR="00390697" w:rsidRPr="002A3B84" w:rsidRDefault="00390697" w:rsidP="002A3B84">
      <w:pPr>
        <w:autoSpaceDE w:val="0"/>
        <w:autoSpaceDN w:val="0"/>
        <w:adjustRightInd w:val="0"/>
        <w:spacing w:afterLines="60" w:after="144"/>
        <w:rPr>
          <w:rFonts w:ascii="Arial" w:hAnsi="Arial" w:cs="Arial"/>
          <w:sz w:val="22"/>
          <w:szCs w:val="22"/>
          <w:lang w:eastAsia="en-AU"/>
        </w:rPr>
      </w:pPr>
      <w:r w:rsidRPr="003C3135">
        <w:rPr>
          <w:rFonts w:ascii="Arial" w:hAnsi="Arial" w:cs="Arial"/>
          <w:sz w:val="22"/>
          <w:szCs w:val="22"/>
          <w:lang w:eastAsia="en-AU"/>
        </w:rPr>
        <w:t>(b) in the case of an anaphylaxis reporting</w:t>
      </w:r>
      <w:r>
        <w:rPr>
          <w:rFonts w:ascii="Arial" w:hAnsi="Arial" w:cs="Arial"/>
          <w:sz w:val="22"/>
          <w:szCs w:val="22"/>
          <w:lang w:eastAsia="en-AU"/>
        </w:rPr>
        <w:t xml:space="preserve"> </w:t>
      </w:r>
      <w:r w:rsidRPr="003C3135">
        <w:rPr>
          <w:rFonts w:ascii="Arial" w:hAnsi="Arial" w:cs="Arial"/>
          <w:sz w:val="22"/>
          <w:szCs w:val="22"/>
          <w:lang w:eastAsia="en-AU"/>
        </w:rPr>
        <w:t>body that is a private hospital, the</w:t>
      </w:r>
      <w:r>
        <w:rPr>
          <w:rFonts w:ascii="Arial" w:hAnsi="Arial" w:cs="Arial"/>
          <w:sz w:val="22"/>
          <w:szCs w:val="22"/>
          <w:lang w:eastAsia="en-AU"/>
        </w:rPr>
        <w:t xml:space="preserve"> </w:t>
      </w:r>
      <w:r w:rsidRPr="003C3135">
        <w:rPr>
          <w:rFonts w:ascii="Arial" w:hAnsi="Arial" w:cs="Arial"/>
          <w:sz w:val="22"/>
          <w:szCs w:val="22"/>
          <w:lang w:eastAsia="en-AU"/>
        </w:rPr>
        <w:t>proprietor of the</w:t>
      </w:r>
      <w:r>
        <w:rPr>
          <w:rFonts w:ascii="Arial" w:hAnsi="Arial" w:cs="Arial"/>
          <w:sz w:val="22"/>
          <w:szCs w:val="22"/>
          <w:lang w:eastAsia="en-AU"/>
        </w:rPr>
        <w:t xml:space="preserve"> </w:t>
      </w:r>
      <w:r w:rsidRPr="003C3135">
        <w:rPr>
          <w:rFonts w:ascii="Arial" w:hAnsi="Arial" w:cs="Arial"/>
          <w:sz w:val="22"/>
          <w:szCs w:val="22"/>
          <w:lang w:eastAsia="en-AU"/>
        </w:rPr>
        <w:t>private hospital.</w:t>
      </w:r>
    </w:p>
    <w:p w14:paraId="30555842" w14:textId="4B552CD8" w:rsidR="00390697" w:rsidRPr="003C3135" w:rsidRDefault="00390697" w:rsidP="002A3B84">
      <w:pPr>
        <w:autoSpaceDE w:val="0"/>
        <w:autoSpaceDN w:val="0"/>
        <w:adjustRightInd w:val="0"/>
        <w:spacing w:afterLines="60" w:after="144"/>
        <w:rPr>
          <w:rFonts w:ascii="Arial" w:hAnsi="Arial" w:cs="Arial"/>
          <w:b/>
          <w:bCs/>
          <w:sz w:val="22"/>
          <w:szCs w:val="22"/>
          <w:lang w:eastAsia="en-AU"/>
        </w:rPr>
      </w:pPr>
      <w:r w:rsidRPr="003C3135">
        <w:rPr>
          <w:rFonts w:ascii="Arial" w:hAnsi="Arial" w:cs="Arial"/>
          <w:b/>
          <w:bCs/>
          <w:sz w:val="22"/>
          <w:szCs w:val="22"/>
          <w:lang w:eastAsia="en-AU"/>
        </w:rPr>
        <w:t>130B Notification by anaphylaxis reporting body</w:t>
      </w:r>
    </w:p>
    <w:p w14:paraId="7D047CF0" w14:textId="0AFEFAED" w:rsidR="00390697" w:rsidRPr="003C3135" w:rsidRDefault="00390697" w:rsidP="002A3B84">
      <w:pPr>
        <w:autoSpaceDE w:val="0"/>
        <w:autoSpaceDN w:val="0"/>
        <w:adjustRightInd w:val="0"/>
        <w:spacing w:afterLines="60" w:after="144"/>
        <w:rPr>
          <w:rFonts w:ascii="Arial" w:hAnsi="Arial" w:cs="Arial"/>
          <w:sz w:val="22"/>
          <w:szCs w:val="22"/>
          <w:lang w:eastAsia="en-AU"/>
        </w:rPr>
      </w:pPr>
      <w:r w:rsidRPr="003C3135">
        <w:rPr>
          <w:rFonts w:ascii="Arial" w:hAnsi="Arial" w:cs="Arial"/>
          <w:sz w:val="22"/>
          <w:szCs w:val="22"/>
          <w:lang w:eastAsia="en-AU"/>
        </w:rPr>
        <w:t>(1) This section applies if a registered medical</w:t>
      </w:r>
      <w:r>
        <w:rPr>
          <w:rFonts w:ascii="Arial" w:hAnsi="Arial" w:cs="Arial"/>
          <w:sz w:val="22"/>
          <w:szCs w:val="22"/>
          <w:lang w:eastAsia="en-AU"/>
        </w:rPr>
        <w:t xml:space="preserve"> </w:t>
      </w:r>
      <w:r w:rsidRPr="003C3135">
        <w:rPr>
          <w:rFonts w:ascii="Arial" w:hAnsi="Arial" w:cs="Arial"/>
          <w:sz w:val="22"/>
          <w:szCs w:val="22"/>
          <w:lang w:eastAsia="en-AU"/>
        </w:rPr>
        <w:t>practitioner employed at, or otherwise engaged</w:t>
      </w:r>
      <w:r>
        <w:rPr>
          <w:rFonts w:ascii="Arial" w:hAnsi="Arial" w:cs="Arial"/>
          <w:sz w:val="22"/>
          <w:szCs w:val="22"/>
          <w:lang w:eastAsia="en-AU"/>
        </w:rPr>
        <w:t xml:space="preserve"> </w:t>
      </w:r>
      <w:r w:rsidRPr="003C3135">
        <w:rPr>
          <w:rFonts w:ascii="Arial" w:hAnsi="Arial" w:cs="Arial"/>
          <w:sz w:val="22"/>
          <w:szCs w:val="22"/>
          <w:lang w:eastAsia="en-AU"/>
        </w:rPr>
        <w:t>by, the anaphylaxis reporting body has reasonable</w:t>
      </w:r>
      <w:r>
        <w:rPr>
          <w:rFonts w:ascii="Arial" w:hAnsi="Arial" w:cs="Arial"/>
          <w:sz w:val="22"/>
          <w:szCs w:val="22"/>
          <w:lang w:eastAsia="en-AU"/>
        </w:rPr>
        <w:t xml:space="preserve"> </w:t>
      </w:r>
      <w:r w:rsidRPr="003C3135">
        <w:rPr>
          <w:rFonts w:ascii="Arial" w:hAnsi="Arial" w:cs="Arial"/>
          <w:sz w:val="22"/>
          <w:szCs w:val="22"/>
          <w:lang w:eastAsia="en-AU"/>
        </w:rPr>
        <w:t>grounds to believe that a person presenting</w:t>
      </w:r>
      <w:r>
        <w:rPr>
          <w:rFonts w:ascii="Arial" w:hAnsi="Arial" w:cs="Arial"/>
          <w:sz w:val="22"/>
          <w:szCs w:val="22"/>
          <w:lang w:eastAsia="en-AU"/>
        </w:rPr>
        <w:t xml:space="preserve"> </w:t>
      </w:r>
      <w:r w:rsidRPr="003C3135">
        <w:rPr>
          <w:rFonts w:ascii="Arial" w:hAnsi="Arial" w:cs="Arial"/>
          <w:sz w:val="22"/>
          <w:szCs w:val="22"/>
          <w:lang w:eastAsia="en-AU"/>
        </w:rPr>
        <w:t>for</w:t>
      </w:r>
      <w:r>
        <w:rPr>
          <w:rFonts w:ascii="Arial" w:hAnsi="Arial" w:cs="Arial"/>
          <w:sz w:val="22"/>
          <w:szCs w:val="22"/>
          <w:lang w:eastAsia="en-AU"/>
        </w:rPr>
        <w:t xml:space="preserve"> </w:t>
      </w:r>
      <w:r w:rsidRPr="003C3135">
        <w:rPr>
          <w:rFonts w:ascii="Arial" w:hAnsi="Arial" w:cs="Arial"/>
          <w:sz w:val="22"/>
          <w:szCs w:val="22"/>
          <w:lang w:eastAsia="en-AU"/>
        </w:rPr>
        <w:t>treatment at the anaphylaxis reporting body has</w:t>
      </w:r>
      <w:r>
        <w:rPr>
          <w:rFonts w:ascii="Arial" w:hAnsi="Arial" w:cs="Arial"/>
          <w:sz w:val="22"/>
          <w:szCs w:val="22"/>
          <w:lang w:eastAsia="en-AU"/>
        </w:rPr>
        <w:t xml:space="preserve"> </w:t>
      </w:r>
      <w:r w:rsidRPr="003C3135">
        <w:rPr>
          <w:rFonts w:ascii="Arial" w:hAnsi="Arial" w:cs="Arial"/>
          <w:sz w:val="22"/>
          <w:szCs w:val="22"/>
          <w:lang w:eastAsia="en-AU"/>
        </w:rPr>
        <w:t>anaphylaxis.</w:t>
      </w:r>
    </w:p>
    <w:p w14:paraId="7E4B3B21" w14:textId="063F4418" w:rsidR="00390697" w:rsidRPr="003C3135" w:rsidRDefault="00390697" w:rsidP="002A3B84">
      <w:pPr>
        <w:autoSpaceDE w:val="0"/>
        <w:autoSpaceDN w:val="0"/>
        <w:adjustRightInd w:val="0"/>
        <w:spacing w:afterLines="60" w:after="144"/>
        <w:rPr>
          <w:rFonts w:ascii="Arial" w:hAnsi="Arial" w:cs="Arial"/>
          <w:sz w:val="22"/>
          <w:szCs w:val="22"/>
          <w:lang w:eastAsia="en-AU"/>
        </w:rPr>
      </w:pPr>
      <w:r w:rsidRPr="003C3135">
        <w:rPr>
          <w:rFonts w:ascii="Arial" w:hAnsi="Arial" w:cs="Arial"/>
          <w:sz w:val="22"/>
          <w:szCs w:val="22"/>
          <w:lang w:eastAsia="en-AU"/>
        </w:rPr>
        <w:t>(2) An anaphylaxis reporting body must notify</w:t>
      </w:r>
      <w:r>
        <w:rPr>
          <w:rFonts w:ascii="Arial" w:hAnsi="Arial" w:cs="Arial"/>
          <w:sz w:val="22"/>
          <w:szCs w:val="22"/>
          <w:lang w:eastAsia="en-AU"/>
        </w:rPr>
        <w:t xml:space="preserve"> </w:t>
      </w:r>
      <w:r w:rsidRPr="003C3135">
        <w:rPr>
          <w:rFonts w:ascii="Arial" w:hAnsi="Arial" w:cs="Arial"/>
          <w:sz w:val="22"/>
          <w:szCs w:val="22"/>
          <w:lang w:eastAsia="en-AU"/>
        </w:rPr>
        <w:t>the Secretary in the prescribed manner of the</w:t>
      </w:r>
      <w:r>
        <w:rPr>
          <w:rFonts w:ascii="Arial" w:hAnsi="Arial" w:cs="Arial"/>
          <w:sz w:val="22"/>
          <w:szCs w:val="22"/>
          <w:lang w:eastAsia="en-AU"/>
        </w:rPr>
        <w:t xml:space="preserve"> </w:t>
      </w:r>
      <w:r w:rsidRPr="003C3135">
        <w:rPr>
          <w:rFonts w:ascii="Arial" w:hAnsi="Arial" w:cs="Arial"/>
          <w:sz w:val="22"/>
          <w:szCs w:val="22"/>
          <w:lang w:eastAsia="en-AU"/>
        </w:rPr>
        <w:t>prescribed notification details within the</w:t>
      </w:r>
      <w:r>
        <w:rPr>
          <w:rFonts w:ascii="Arial" w:hAnsi="Arial" w:cs="Arial"/>
          <w:sz w:val="22"/>
          <w:szCs w:val="22"/>
          <w:lang w:eastAsia="en-AU"/>
        </w:rPr>
        <w:t xml:space="preserve"> </w:t>
      </w:r>
      <w:r w:rsidRPr="003C3135">
        <w:rPr>
          <w:rFonts w:ascii="Arial" w:hAnsi="Arial" w:cs="Arial"/>
          <w:sz w:val="22"/>
          <w:szCs w:val="22"/>
          <w:lang w:eastAsia="en-AU"/>
        </w:rPr>
        <w:t>prescribed period.</w:t>
      </w:r>
    </w:p>
    <w:p w14:paraId="3A78A15A" w14:textId="21C93FE6" w:rsidR="00390697" w:rsidRPr="002A3B84" w:rsidRDefault="00390697" w:rsidP="002A3B84">
      <w:pPr>
        <w:autoSpaceDE w:val="0"/>
        <w:autoSpaceDN w:val="0"/>
        <w:adjustRightInd w:val="0"/>
        <w:spacing w:afterLines="60" w:after="144"/>
        <w:rPr>
          <w:rFonts w:ascii="Arial" w:hAnsi="Arial" w:cs="Arial"/>
          <w:sz w:val="22"/>
          <w:szCs w:val="22"/>
          <w:lang w:eastAsia="en-AU"/>
        </w:rPr>
      </w:pPr>
      <w:r w:rsidRPr="003C3135">
        <w:rPr>
          <w:rFonts w:ascii="Arial" w:hAnsi="Arial" w:cs="Arial"/>
          <w:sz w:val="22"/>
          <w:szCs w:val="22"/>
          <w:lang w:eastAsia="en-AU"/>
        </w:rPr>
        <w:t>(3) The person in charge of an anaphylaxis reporting</w:t>
      </w:r>
      <w:r>
        <w:rPr>
          <w:rFonts w:ascii="Arial" w:hAnsi="Arial" w:cs="Arial"/>
          <w:sz w:val="22"/>
          <w:szCs w:val="22"/>
          <w:lang w:eastAsia="en-AU"/>
        </w:rPr>
        <w:t xml:space="preserve"> </w:t>
      </w:r>
      <w:r w:rsidRPr="003C3135">
        <w:rPr>
          <w:rFonts w:ascii="Arial" w:hAnsi="Arial" w:cs="Arial"/>
          <w:sz w:val="22"/>
          <w:szCs w:val="22"/>
          <w:lang w:eastAsia="en-AU"/>
        </w:rPr>
        <w:t>body must implement processes to</w:t>
      </w:r>
      <w:r>
        <w:rPr>
          <w:rFonts w:ascii="Arial" w:hAnsi="Arial" w:cs="Arial"/>
          <w:sz w:val="22"/>
          <w:szCs w:val="22"/>
          <w:lang w:eastAsia="en-AU"/>
        </w:rPr>
        <w:t xml:space="preserve"> </w:t>
      </w:r>
      <w:r w:rsidRPr="003C3135">
        <w:rPr>
          <w:rFonts w:ascii="Arial" w:hAnsi="Arial" w:cs="Arial"/>
          <w:sz w:val="22"/>
          <w:szCs w:val="22"/>
          <w:lang w:eastAsia="en-AU"/>
        </w:rPr>
        <w:t>ensure that the</w:t>
      </w:r>
      <w:r>
        <w:rPr>
          <w:rFonts w:ascii="Arial" w:hAnsi="Arial" w:cs="Arial"/>
          <w:sz w:val="22"/>
          <w:szCs w:val="22"/>
          <w:lang w:eastAsia="en-AU"/>
        </w:rPr>
        <w:t xml:space="preserve"> </w:t>
      </w:r>
      <w:r w:rsidRPr="003C3135">
        <w:rPr>
          <w:rFonts w:ascii="Arial" w:hAnsi="Arial" w:cs="Arial"/>
          <w:sz w:val="22"/>
          <w:szCs w:val="22"/>
          <w:lang w:eastAsia="en-AU"/>
        </w:rPr>
        <w:t>anaphylaxis reporting body complies with</w:t>
      </w:r>
      <w:r>
        <w:rPr>
          <w:rFonts w:ascii="Arial" w:hAnsi="Arial" w:cs="Arial"/>
          <w:sz w:val="22"/>
          <w:szCs w:val="22"/>
          <w:lang w:eastAsia="en-AU"/>
        </w:rPr>
        <w:t xml:space="preserve"> </w:t>
      </w:r>
      <w:r w:rsidRPr="003C3135">
        <w:rPr>
          <w:rFonts w:ascii="Arial" w:hAnsi="Arial" w:cs="Arial"/>
          <w:sz w:val="22"/>
          <w:szCs w:val="22"/>
          <w:lang w:eastAsia="en-AU"/>
        </w:rPr>
        <w:t>subsection (2).</w:t>
      </w:r>
    </w:p>
    <w:p w14:paraId="1DEE29C0" w14:textId="73D33763" w:rsidR="00390697" w:rsidRPr="003C3135" w:rsidRDefault="00390697" w:rsidP="002A3B84">
      <w:pPr>
        <w:autoSpaceDE w:val="0"/>
        <w:autoSpaceDN w:val="0"/>
        <w:adjustRightInd w:val="0"/>
        <w:spacing w:afterLines="60" w:after="144"/>
        <w:rPr>
          <w:rFonts w:ascii="Arial" w:hAnsi="Arial" w:cs="Arial"/>
          <w:b/>
          <w:bCs/>
          <w:sz w:val="22"/>
          <w:szCs w:val="22"/>
          <w:lang w:eastAsia="en-AU"/>
        </w:rPr>
      </w:pPr>
      <w:r w:rsidRPr="003C3135">
        <w:rPr>
          <w:rFonts w:ascii="Arial" w:hAnsi="Arial" w:cs="Arial"/>
          <w:b/>
          <w:bCs/>
          <w:sz w:val="22"/>
          <w:szCs w:val="22"/>
          <w:lang w:eastAsia="en-AU"/>
        </w:rPr>
        <w:t>130C Secretary may provide anaphylaxis reporting</w:t>
      </w:r>
      <w:r>
        <w:rPr>
          <w:rFonts w:ascii="Arial" w:hAnsi="Arial" w:cs="Arial"/>
          <w:b/>
          <w:bCs/>
          <w:sz w:val="22"/>
          <w:szCs w:val="22"/>
          <w:lang w:eastAsia="en-AU"/>
        </w:rPr>
        <w:t xml:space="preserve"> </w:t>
      </w:r>
      <w:r w:rsidRPr="003C3135">
        <w:rPr>
          <w:rFonts w:ascii="Arial" w:hAnsi="Arial" w:cs="Arial"/>
          <w:b/>
          <w:bCs/>
          <w:sz w:val="22"/>
          <w:szCs w:val="22"/>
          <w:lang w:eastAsia="en-AU"/>
        </w:rPr>
        <w:t>information</w:t>
      </w:r>
    </w:p>
    <w:p w14:paraId="635BB2DD" w14:textId="74492285" w:rsidR="001F51BA" w:rsidRPr="003C3135" w:rsidRDefault="00390697" w:rsidP="002A3B84">
      <w:pPr>
        <w:autoSpaceDE w:val="0"/>
        <w:autoSpaceDN w:val="0"/>
        <w:adjustRightInd w:val="0"/>
        <w:spacing w:afterLines="60" w:after="144"/>
        <w:rPr>
          <w:rFonts w:ascii="Arial" w:hAnsi="Arial" w:cs="Arial"/>
          <w:sz w:val="22"/>
          <w:szCs w:val="22"/>
          <w:lang w:eastAsia="en-AU"/>
        </w:rPr>
      </w:pPr>
      <w:r w:rsidRPr="003C3135">
        <w:rPr>
          <w:rFonts w:ascii="Arial" w:hAnsi="Arial" w:cs="Arial"/>
          <w:sz w:val="22"/>
          <w:szCs w:val="22"/>
          <w:lang w:eastAsia="en-AU"/>
        </w:rPr>
        <w:t>If the Secretary considers that it is in the public</w:t>
      </w:r>
      <w:r>
        <w:rPr>
          <w:rFonts w:ascii="Arial" w:hAnsi="Arial" w:cs="Arial"/>
          <w:sz w:val="22"/>
          <w:szCs w:val="22"/>
          <w:lang w:eastAsia="en-AU"/>
        </w:rPr>
        <w:t xml:space="preserve"> </w:t>
      </w:r>
      <w:r w:rsidRPr="003C3135">
        <w:rPr>
          <w:rFonts w:ascii="Arial" w:hAnsi="Arial" w:cs="Arial"/>
          <w:sz w:val="22"/>
          <w:szCs w:val="22"/>
          <w:lang w:eastAsia="en-AU"/>
        </w:rPr>
        <w:t>interest to do so, the Secretary may provide</w:t>
      </w:r>
      <w:r>
        <w:rPr>
          <w:rFonts w:ascii="Arial" w:hAnsi="Arial" w:cs="Arial"/>
          <w:sz w:val="22"/>
          <w:szCs w:val="22"/>
          <w:lang w:eastAsia="en-AU"/>
        </w:rPr>
        <w:t xml:space="preserve"> </w:t>
      </w:r>
      <w:r w:rsidRPr="003C3135">
        <w:rPr>
          <w:rFonts w:ascii="Arial" w:hAnsi="Arial" w:cs="Arial"/>
          <w:sz w:val="22"/>
          <w:szCs w:val="22"/>
          <w:lang w:eastAsia="en-AU"/>
        </w:rPr>
        <w:t>information obtained under this Division to a</w:t>
      </w:r>
      <w:r>
        <w:rPr>
          <w:rFonts w:ascii="Arial" w:hAnsi="Arial" w:cs="Arial"/>
          <w:sz w:val="22"/>
          <w:szCs w:val="22"/>
          <w:lang w:eastAsia="en-AU"/>
        </w:rPr>
        <w:t xml:space="preserve"> </w:t>
      </w:r>
      <w:r w:rsidRPr="003C3135">
        <w:rPr>
          <w:rFonts w:ascii="Arial" w:hAnsi="Arial" w:cs="Arial"/>
          <w:sz w:val="22"/>
          <w:szCs w:val="22"/>
          <w:lang w:eastAsia="en-AU"/>
        </w:rPr>
        <w:t>person or class of person prescribed for the</w:t>
      </w:r>
      <w:r>
        <w:rPr>
          <w:rFonts w:ascii="Arial" w:hAnsi="Arial" w:cs="Arial"/>
          <w:sz w:val="22"/>
          <w:szCs w:val="22"/>
          <w:lang w:eastAsia="en-AU"/>
        </w:rPr>
        <w:t xml:space="preserve"> </w:t>
      </w:r>
      <w:r w:rsidRPr="003C3135">
        <w:rPr>
          <w:rFonts w:ascii="Arial" w:hAnsi="Arial" w:cs="Arial"/>
          <w:sz w:val="22"/>
          <w:szCs w:val="22"/>
          <w:lang w:eastAsia="en-AU"/>
        </w:rPr>
        <w:t>purposes of this section.</w:t>
      </w:r>
      <w:r w:rsidR="001F51BA" w:rsidRPr="000167DE">
        <w:rPr>
          <w:rFonts w:ascii="Arial" w:hAnsi="Arial" w:cs="Arial"/>
          <w:sz w:val="22"/>
          <w:szCs w:val="22"/>
        </w:rPr>
        <w:br w:type="page"/>
      </w:r>
    </w:p>
    <w:p w14:paraId="4FE9A9B1" w14:textId="1BBF3780" w:rsidR="001F51BA" w:rsidRDefault="001F51BA" w:rsidP="00E04308">
      <w:pPr>
        <w:pStyle w:val="Heading2"/>
      </w:pPr>
      <w:bookmarkStart w:id="19" w:name="_Toc11941620"/>
      <w:r>
        <w:lastRenderedPageBreak/>
        <w:t>Appendix 2 –</w:t>
      </w:r>
      <w:r w:rsidR="00F36F32">
        <w:t xml:space="preserve"> </w:t>
      </w:r>
      <w:r w:rsidRPr="00394D19">
        <w:rPr>
          <w:i/>
        </w:rPr>
        <w:t>Public Health and Wellbeing</w:t>
      </w:r>
      <w:r w:rsidR="00CF6C8C" w:rsidRPr="00394D19">
        <w:rPr>
          <w:i/>
        </w:rPr>
        <w:t xml:space="preserve"> Regulations</w:t>
      </w:r>
      <w:r w:rsidRPr="00394D19">
        <w:rPr>
          <w:i/>
        </w:rPr>
        <w:t xml:space="preserve"> 20</w:t>
      </w:r>
      <w:r w:rsidR="00F85FEA" w:rsidRPr="00394D19">
        <w:rPr>
          <w:i/>
        </w:rPr>
        <w:t>09</w:t>
      </w:r>
      <w:bookmarkEnd w:id="19"/>
    </w:p>
    <w:p w14:paraId="1319612E" w14:textId="77777777" w:rsidR="00CF6C8C" w:rsidRPr="007112DC" w:rsidRDefault="00CF6C8C" w:rsidP="00CF6C8C">
      <w:pPr>
        <w:autoSpaceDE w:val="0"/>
        <w:autoSpaceDN w:val="0"/>
        <w:adjustRightInd w:val="0"/>
        <w:rPr>
          <w:rFonts w:ascii="Arial" w:hAnsi="Arial" w:cs="Arial"/>
          <w:b/>
          <w:bCs/>
          <w:sz w:val="22"/>
          <w:szCs w:val="22"/>
        </w:rPr>
      </w:pPr>
    </w:p>
    <w:p w14:paraId="16A2B8FB" w14:textId="72B9C011" w:rsidR="00CF6C8C" w:rsidRPr="007112DC" w:rsidRDefault="00CF6C8C" w:rsidP="00394D19">
      <w:pPr>
        <w:tabs>
          <w:tab w:val="left" w:pos="7935"/>
        </w:tabs>
        <w:autoSpaceDE w:val="0"/>
        <w:autoSpaceDN w:val="0"/>
        <w:adjustRightInd w:val="0"/>
        <w:rPr>
          <w:rFonts w:ascii="Arial" w:hAnsi="Arial" w:cs="Arial"/>
          <w:b/>
          <w:bCs/>
          <w:sz w:val="22"/>
          <w:szCs w:val="22"/>
        </w:rPr>
      </w:pPr>
      <w:r w:rsidRPr="007112DC">
        <w:rPr>
          <w:rFonts w:ascii="Arial" w:hAnsi="Arial" w:cs="Arial"/>
          <w:b/>
          <w:bCs/>
          <w:sz w:val="22"/>
          <w:szCs w:val="22"/>
        </w:rPr>
        <w:t>Division 2A—Notification of anaphylaxis</w:t>
      </w:r>
      <w:r w:rsidR="00394D19">
        <w:rPr>
          <w:rFonts w:ascii="Arial" w:hAnsi="Arial" w:cs="Arial"/>
          <w:b/>
          <w:bCs/>
          <w:sz w:val="22"/>
          <w:szCs w:val="22"/>
        </w:rPr>
        <w:tab/>
      </w:r>
    </w:p>
    <w:p w14:paraId="7B9F3FE2" w14:textId="77777777" w:rsidR="00CF6C8C" w:rsidRPr="007112DC" w:rsidRDefault="00CF6C8C" w:rsidP="00CF6C8C">
      <w:pPr>
        <w:autoSpaceDE w:val="0"/>
        <w:autoSpaceDN w:val="0"/>
        <w:adjustRightInd w:val="0"/>
        <w:rPr>
          <w:rFonts w:ascii="Arial" w:hAnsi="Arial" w:cs="Arial"/>
          <w:b/>
          <w:bCs/>
          <w:sz w:val="22"/>
          <w:szCs w:val="22"/>
        </w:rPr>
      </w:pPr>
    </w:p>
    <w:p w14:paraId="2762C4FA" w14:textId="77777777" w:rsidR="00CF6C8C" w:rsidRPr="007112DC" w:rsidRDefault="00CF6C8C" w:rsidP="00CF6C8C">
      <w:pPr>
        <w:autoSpaceDE w:val="0"/>
        <w:autoSpaceDN w:val="0"/>
        <w:adjustRightInd w:val="0"/>
        <w:rPr>
          <w:rFonts w:ascii="Arial" w:hAnsi="Arial" w:cs="Arial"/>
          <w:b/>
          <w:bCs/>
          <w:sz w:val="22"/>
          <w:szCs w:val="22"/>
        </w:rPr>
      </w:pPr>
      <w:r w:rsidRPr="007112DC">
        <w:rPr>
          <w:rFonts w:ascii="Arial" w:hAnsi="Arial" w:cs="Arial"/>
          <w:b/>
          <w:bCs/>
          <w:sz w:val="22"/>
          <w:szCs w:val="22"/>
        </w:rPr>
        <w:t>76A Definitions</w:t>
      </w:r>
    </w:p>
    <w:p w14:paraId="132B78AD" w14:textId="77777777" w:rsidR="00CF6C8C" w:rsidRPr="007112DC" w:rsidRDefault="00CF6C8C" w:rsidP="00CF6C8C">
      <w:pPr>
        <w:autoSpaceDE w:val="0"/>
        <w:autoSpaceDN w:val="0"/>
        <w:adjustRightInd w:val="0"/>
        <w:rPr>
          <w:rFonts w:ascii="Arial" w:hAnsi="Arial" w:cs="Arial"/>
          <w:sz w:val="22"/>
          <w:szCs w:val="22"/>
        </w:rPr>
      </w:pPr>
    </w:p>
    <w:p w14:paraId="05C12DC3" w14:textId="77777777" w:rsidR="00CF6C8C" w:rsidRPr="007112DC" w:rsidRDefault="00CF6C8C" w:rsidP="00F36F32">
      <w:pPr>
        <w:autoSpaceDE w:val="0"/>
        <w:autoSpaceDN w:val="0"/>
        <w:adjustRightInd w:val="0"/>
        <w:spacing w:afterLines="60" w:after="144"/>
        <w:rPr>
          <w:rFonts w:ascii="Arial" w:hAnsi="Arial" w:cs="Arial"/>
          <w:sz w:val="22"/>
          <w:szCs w:val="22"/>
        </w:rPr>
      </w:pPr>
      <w:r w:rsidRPr="007112DC">
        <w:rPr>
          <w:rFonts w:ascii="Arial" w:hAnsi="Arial" w:cs="Arial"/>
          <w:sz w:val="22"/>
          <w:szCs w:val="22"/>
        </w:rPr>
        <w:t>In this Division—</w:t>
      </w:r>
    </w:p>
    <w:p w14:paraId="2BF13549" w14:textId="77777777" w:rsidR="00F36F32" w:rsidRDefault="00CF6C8C" w:rsidP="00F36F32">
      <w:pPr>
        <w:pStyle w:val="ListParagraph"/>
        <w:numPr>
          <w:ilvl w:val="0"/>
          <w:numId w:val="41"/>
        </w:numPr>
        <w:autoSpaceDE w:val="0"/>
        <w:autoSpaceDN w:val="0"/>
        <w:adjustRightInd w:val="0"/>
        <w:spacing w:afterLines="60" w:after="144"/>
        <w:rPr>
          <w:rFonts w:ascii="Arial" w:hAnsi="Arial" w:cs="Arial"/>
        </w:rPr>
      </w:pPr>
      <w:r w:rsidRPr="003C3135">
        <w:rPr>
          <w:rFonts w:ascii="Arial" w:hAnsi="Arial" w:cs="Arial"/>
          <w:b/>
          <w:bCs/>
          <w:i/>
          <w:iCs/>
        </w:rPr>
        <w:t xml:space="preserve">food </w:t>
      </w:r>
      <w:r w:rsidRPr="003C3135">
        <w:rPr>
          <w:rFonts w:ascii="Arial" w:hAnsi="Arial" w:cs="Arial"/>
        </w:rPr>
        <w:t xml:space="preserve">has the same meaning as it has in section 4(1) of the </w:t>
      </w:r>
      <w:r w:rsidRPr="003C3135">
        <w:rPr>
          <w:rFonts w:ascii="Arial" w:hAnsi="Arial" w:cs="Arial"/>
          <w:b/>
          <w:bCs/>
        </w:rPr>
        <w:t>Food Act 1984</w:t>
      </w:r>
      <w:r w:rsidRPr="003C3135">
        <w:rPr>
          <w:rFonts w:ascii="Arial" w:hAnsi="Arial" w:cs="Arial"/>
        </w:rPr>
        <w:t>;</w:t>
      </w:r>
    </w:p>
    <w:p w14:paraId="665500A1" w14:textId="45C183FC" w:rsidR="00CF6C8C" w:rsidRPr="00F36F32" w:rsidRDefault="00CF6C8C" w:rsidP="00F36F32">
      <w:pPr>
        <w:pStyle w:val="ListParagraph"/>
        <w:numPr>
          <w:ilvl w:val="0"/>
          <w:numId w:val="41"/>
        </w:numPr>
        <w:autoSpaceDE w:val="0"/>
        <w:autoSpaceDN w:val="0"/>
        <w:adjustRightInd w:val="0"/>
        <w:spacing w:afterLines="60" w:after="144"/>
        <w:rPr>
          <w:rFonts w:ascii="Arial" w:hAnsi="Arial" w:cs="Arial"/>
        </w:rPr>
      </w:pPr>
      <w:r w:rsidRPr="00F36F32">
        <w:rPr>
          <w:rFonts w:ascii="Arial" w:hAnsi="Arial" w:cs="Arial"/>
          <w:b/>
          <w:bCs/>
          <w:i/>
          <w:iCs/>
        </w:rPr>
        <w:t xml:space="preserve">package </w:t>
      </w:r>
      <w:r w:rsidRPr="00F36F32">
        <w:rPr>
          <w:rFonts w:ascii="Arial" w:hAnsi="Arial" w:cs="Arial"/>
        </w:rPr>
        <w:t xml:space="preserve">has the same meaning as it has in section 4(1) of the </w:t>
      </w:r>
      <w:r w:rsidRPr="00F36F32">
        <w:rPr>
          <w:rFonts w:ascii="Arial" w:hAnsi="Arial" w:cs="Arial"/>
          <w:b/>
          <w:bCs/>
        </w:rPr>
        <w:t>Food Act 1984</w:t>
      </w:r>
      <w:r w:rsidRPr="00F36F32">
        <w:rPr>
          <w:rFonts w:ascii="Arial" w:hAnsi="Arial" w:cs="Arial"/>
        </w:rPr>
        <w:t>.</w:t>
      </w:r>
    </w:p>
    <w:p w14:paraId="6606106E" w14:textId="77777777" w:rsidR="00CF6C8C" w:rsidRPr="007112DC" w:rsidRDefault="00CF6C8C" w:rsidP="00F36F32">
      <w:pPr>
        <w:autoSpaceDE w:val="0"/>
        <w:autoSpaceDN w:val="0"/>
        <w:adjustRightInd w:val="0"/>
        <w:spacing w:afterLines="60" w:after="144"/>
        <w:rPr>
          <w:rFonts w:ascii="Arial" w:hAnsi="Arial" w:cs="Arial"/>
          <w:b/>
          <w:bCs/>
          <w:sz w:val="22"/>
          <w:szCs w:val="22"/>
        </w:rPr>
      </w:pPr>
      <w:r w:rsidRPr="007112DC">
        <w:rPr>
          <w:rFonts w:ascii="Arial" w:hAnsi="Arial" w:cs="Arial"/>
          <w:b/>
          <w:bCs/>
          <w:sz w:val="22"/>
          <w:szCs w:val="22"/>
        </w:rPr>
        <w:t>76B Prescribed notification details for a person having anaphylaxis</w:t>
      </w:r>
    </w:p>
    <w:p w14:paraId="56262292" w14:textId="616A200F" w:rsidR="00CF6C8C" w:rsidRPr="007112DC" w:rsidRDefault="00CF6C8C" w:rsidP="00F36F32">
      <w:pPr>
        <w:autoSpaceDE w:val="0"/>
        <w:autoSpaceDN w:val="0"/>
        <w:adjustRightInd w:val="0"/>
        <w:spacing w:afterLines="60" w:after="144"/>
        <w:rPr>
          <w:rFonts w:ascii="Arial" w:hAnsi="Arial" w:cs="Arial"/>
          <w:sz w:val="22"/>
          <w:szCs w:val="22"/>
        </w:rPr>
      </w:pPr>
      <w:r w:rsidRPr="007112DC">
        <w:rPr>
          <w:rFonts w:ascii="Arial" w:hAnsi="Arial" w:cs="Arial"/>
          <w:sz w:val="22"/>
          <w:szCs w:val="22"/>
        </w:rPr>
        <w:t>For the purposes of section 130B(2) of the Act, the prescribed notification details are the  details specified in Schedule 6A.</w:t>
      </w:r>
    </w:p>
    <w:p w14:paraId="10092B0F" w14:textId="77777777" w:rsidR="00CF6C8C" w:rsidRPr="003C3135" w:rsidRDefault="00CF6C8C" w:rsidP="00F36F32">
      <w:pPr>
        <w:autoSpaceDE w:val="0"/>
        <w:autoSpaceDN w:val="0"/>
        <w:adjustRightInd w:val="0"/>
        <w:spacing w:afterLines="60" w:after="144"/>
        <w:rPr>
          <w:rFonts w:ascii="Arial" w:hAnsi="Arial" w:cs="Arial"/>
          <w:b/>
          <w:bCs/>
          <w:sz w:val="22"/>
          <w:szCs w:val="22"/>
        </w:rPr>
      </w:pPr>
      <w:r w:rsidRPr="003C3135">
        <w:rPr>
          <w:rFonts w:ascii="Arial" w:hAnsi="Arial" w:cs="Arial"/>
          <w:b/>
          <w:bCs/>
          <w:sz w:val="22"/>
          <w:szCs w:val="22"/>
        </w:rPr>
        <w:t>76C Prescribed manner and period for notification of anaphylaxis</w:t>
      </w:r>
    </w:p>
    <w:p w14:paraId="4AC5A721" w14:textId="1A265CBB" w:rsidR="00CF6C8C" w:rsidRPr="003C3135" w:rsidRDefault="00CF6C8C" w:rsidP="00F36F32">
      <w:pPr>
        <w:autoSpaceDE w:val="0"/>
        <w:autoSpaceDN w:val="0"/>
        <w:adjustRightInd w:val="0"/>
        <w:spacing w:afterLines="60" w:after="144"/>
        <w:rPr>
          <w:rFonts w:ascii="Arial" w:hAnsi="Arial" w:cs="Arial"/>
          <w:sz w:val="22"/>
          <w:szCs w:val="22"/>
        </w:rPr>
      </w:pPr>
      <w:r w:rsidRPr="003C3135">
        <w:rPr>
          <w:rFonts w:ascii="Arial" w:hAnsi="Arial" w:cs="Arial"/>
          <w:sz w:val="22"/>
          <w:szCs w:val="22"/>
        </w:rPr>
        <w:t>For the purposes of section 130B(2) of the Act—</w:t>
      </w:r>
    </w:p>
    <w:p w14:paraId="03F5095B" w14:textId="7FFDAE78" w:rsidR="002465D8" w:rsidRPr="003C3135" w:rsidRDefault="002465D8" w:rsidP="00F36F32">
      <w:pPr>
        <w:overflowPunct w:val="0"/>
        <w:autoSpaceDE w:val="0"/>
        <w:autoSpaceDN w:val="0"/>
        <w:adjustRightInd w:val="0"/>
        <w:ind w:left="397" w:hanging="397"/>
        <w:textAlignment w:val="baseline"/>
        <w:outlineLvl w:val="2"/>
        <w:rPr>
          <w:rFonts w:ascii="Arial" w:hAnsi="Arial" w:cs="Arial"/>
          <w:sz w:val="22"/>
          <w:szCs w:val="22"/>
        </w:rPr>
      </w:pPr>
      <w:bookmarkStart w:id="20" w:name="_Toc6239273"/>
      <w:bookmarkStart w:id="21" w:name="_Toc3819807"/>
      <w:bookmarkStart w:id="22" w:name="_Toc3971640"/>
      <w:r w:rsidRPr="003C3135">
        <w:rPr>
          <w:rFonts w:ascii="Arial" w:hAnsi="Arial" w:cs="Arial"/>
          <w:sz w:val="22"/>
          <w:szCs w:val="22"/>
        </w:rPr>
        <w:t xml:space="preserve"> </w:t>
      </w:r>
      <w:bookmarkStart w:id="23" w:name="_Toc3819809"/>
      <w:bookmarkStart w:id="24" w:name="_Toc3971642"/>
      <w:bookmarkStart w:id="25" w:name="_Toc6239274"/>
      <w:bookmarkEnd w:id="20"/>
      <w:bookmarkEnd w:id="21"/>
      <w:bookmarkEnd w:id="22"/>
      <w:r w:rsidRPr="003C3135">
        <w:rPr>
          <w:rFonts w:ascii="Arial" w:hAnsi="Arial" w:cs="Arial"/>
          <w:sz w:val="22"/>
          <w:szCs w:val="22"/>
        </w:rPr>
        <w:t>(a)</w:t>
      </w:r>
      <w:r w:rsidRPr="003C3135">
        <w:rPr>
          <w:rFonts w:ascii="Arial" w:hAnsi="Arial" w:cs="Arial"/>
          <w:sz w:val="22"/>
          <w:szCs w:val="22"/>
        </w:rPr>
        <w:tab/>
        <w:t>the prescribed manner for notification is electronically through the Department’s website; and</w:t>
      </w:r>
      <w:bookmarkEnd w:id="23"/>
      <w:bookmarkEnd w:id="24"/>
      <w:bookmarkEnd w:id="25"/>
    </w:p>
    <w:p w14:paraId="6A74A559" w14:textId="0561A7EF" w:rsidR="002465D8" w:rsidRPr="003C3135" w:rsidRDefault="002465D8" w:rsidP="00F36F32">
      <w:pPr>
        <w:overflowPunct w:val="0"/>
        <w:autoSpaceDE w:val="0"/>
        <w:autoSpaceDN w:val="0"/>
        <w:adjustRightInd w:val="0"/>
        <w:spacing w:after="60"/>
        <w:ind w:left="397" w:hanging="397"/>
        <w:textAlignment w:val="baseline"/>
        <w:outlineLvl w:val="2"/>
        <w:rPr>
          <w:rFonts w:ascii="Arial" w:hAnsi="Arial" w:cs="Arial"/>
          <w:sz w:val="22"/>
          <w:szCs w:val="22"/>
        </w:rPr>
      </w:pPr>
      <w:bookmarkStart w:id="26" w:name="_Toc3819810"/>
      <w:bookmarkStart w:id="27" w:name="_Toc3971643"/>
      <w:r w:rsidRPr="003C3135">
        <w:rPr>
          <w:rFonts w:ascii="Arial" w:hAnsi="Arial" w:cs="Arial"/>
          <w:sz w:val="22"/>
          <w:szCs w:val="22"/>
        </w:rPr>
        <w:t xml:space="preserve"> </w:t>
      </w:r>
      <w:bookmarkStart w:id="28" w:name="_Toc6239275"/>
      <w:r w:rsidRPr="003C3135">
        <w:rPr>
          <w:rFonts w:ascii="Arial" w:hAnsi="Arial" w:cs="Arial"/>
          <w:sz w:val="22"/>
          <w:szCs w:val="22"/>
        </w:rPr>
        <w:t>(b) the prescribed period for notification is-</w:t>
      </w:r>
      <w:bookmarkEnd w:id="26"/>
      <w:bookmarkEnd w:id="27"/>
      <w:bookmarkEnd w:id="28"/>
      <w:r w:rsidRPr="003C3135">
        <w:rPr>
          <w:rFonts w:ascii="Arial" w:hAnsi="Arial" w:cs="Arial"/>
          <w:sz w:val="22"/>
          <w:szCs w:val="22"/>
        </w:rPr>
        <w:t xml:space="preserve">  </w:t>
      </w:r>
    </w:p>
    <w:p w14:paraId="17F83781" w14:textId="75C4EDC7" w:rsidR="002465D8" w:rsidRPr="003C3135" w:rsidRDefault="002465D8" w:rsidP="00F36F32">
      <w:pPr>
        <w:pStyle w:val="ListParagraph"/>
        <w:numPr>
          <w:ilvl w:val="0"/>
          <w:numId w:val="42"/>
        </w:numPr>
        <w:overflowPunct w:val="0"/>
        <w:autoSpaceDE w:val="0"/>
        <w:autoSpaceDN w:val="0"/>
        <w:adjustRightInd w:val="0"/>
        <w:spacing w:after="60"/>
        <w:textAlignment w:val="baseline"/>
        <w:outlineLvl w:val="2"/>
        <w:rPr>
          <w:rFonts w:ascii="Arial" w:hAnsi="Arial" w:cs="Arial"/>
        </w:rPr>
      </w:pPr>
      <w:bookmarkStart w:id="29" w:name="_Toc3819811"/>
      <w:bookmarkStart w:id="30" w:name="_Toc3971644"/>
      <w:bookmarkStart w:id="31" w:name="_Toc6239276"/>
      <w:r w:rsidRPr="003C3135">
        <w:rPr>
          <w:rFonts w:ascii="Arial" w:hAnsi="Arial" w:cs="Arial"/>
        </w:rPr>
        <w:t>if the suspected cause of anaphylaxis is the consumption of packaged food, immediately upon the initial diagnosis of anaphylaxis; and</w:t>
      </w:r>
      <w:bookmarkEnd w:id="29"/>
      <w:bookmarkEnd w:id="30"/>
      <w:bookmarkEnd w:id="31"/>
    </w:p>
    <w:p w14:paraId="2DBDE69D" w14:textId="682E59A0" w:rsidR="00CF6C8C" w:rsidRPr="00F36F32" w:rsidRDefault="002465D8" w:rsidP="00F36F32">
      <w:pPr>
        <w:pStyle w:val="ListParagraph"/>
        <w:numPr>
          <w:ilvl w:val="0"/>
          <w:numId w:val="42"/>
        </w:numPr>
        <w:overflowPunct w:val="0"/>
        <w:autoSpaceDE w:val="0"/>
        <w:autoSpaceDN w:val="0"/>
        <w:adjustRightInd w:val="0"/>
        <w:spacing w:after="60"/>
        <w:textAlignment w:val="baseline"/>
        <w:outlineLvl w:val="2"/>
        <w:rPr>
          <w:rFonts w:ascii="Arial" w:hAnsi="Arial" w:cs="Arial"/>
        </w:rPr>
      </w:pPr>
      <w:bookmarkStart w:id="32" w:name="_Toc3819812"/>
      <w:bookmarkStart w:id="33" w:name="_Toc3971645"/>
      <w:bookmarkStart w:id="34" w:name="_Toc6239277"/>
      <w:r w:rsidRPr="003C3135">
        <w:rPr>
          <w:rFonts w:ascii="Arial" w:hAnsi="Arial" w:cs="Arial"/>
        </w:rPr>
        <w:t>in any other case, within 5 days of the initial diagnosis of anaphylaxis.</w:t>
      </w:r>
      <w:bookmarkEnd w:id="32"/>
      <w:bookmarkEnd w:id="33"/>
      <w:bookmarkEnd w:id="34"/>
    </w:p>
    <w:p w14:paraId="20F38320" w14:textId="77777777" w:rsidR="00F36F32" w:rsidRDefault="00F36F32" w:rsidP="00F36F32">
      <w:pPr>
        <w:autoSpaceDE w:val="0"/>
        <w:autoSpaceDN w:val="0"/>
        <w:adjustRightInd w:val="0"/>
        <w:spacing w:after="60"/>
        <w:rPr>
          <w:rFonts w:ascii="Arial" w:hAnsi="Arial" w:cs="Arial"/>
          <w:b/>
          <w:bCs/>
          <w:sz w:val="22"/>
          <w:szCs w:val="22"/>
        </w:rPr>
      </w:pPr>
    </w:p>
    <w:p w14:paraId="12900FF1" w14:textId="38FA21F1" w:rsidR="00CF6C8C" w:rsidRPr="00F36F32" w:rsidRDefault="00CF6C8C" w:rsidP="00F36F32">
      <w:pPr>
        <w:autoSpaceDE w:val="0"/>
        <w:autoSpaceDN w:val="0"/>
        <w:adjustRightInd w:val="0"/>
        <w:spacing w:after="60"/>
        <w:rPr>
          <w:rFonts w:ascii="Arial" w:hAnsi="Arial" w:cs="Arial"/>
          <w:b/>
          <w:bCs/>
          <w:sz w:val="22"/>
          <w:szCs w:val="22"/>
        </w:rPr>
      </w:pPr>
      <w:r w:rsidRPr="007112DC">
        <w:rPr>
          <w:rFonts w:ascii="Arial" w:hAnsi="Arial" w:cs="Arial"/>
          <w:b/>
          <w:bCs/>
          <w:sz w:val="22"/>
          <w:szCs w:val="22"/>
        </w:rPr>
        <w:t>Schedule 6A—Anaphylaxis—prescribed notification details</w:t>
      </w:r>
    </w:p>
    <w:p w14:paraId="3BC0441A" w14:textId="77777777" w:rsidR="00CF6C8C" w:rsidRPr="007112DC" w:rsidRDefault="00CF6C8C" w:rsidP="00F36F32">
      <w:pPr>
        <w:autoSpaceDE w:val="0"/>
        <w:autoSpaceDN w:val="0"/>
        <w:adjustRightInd w:val="0"/>
        <w:spacing w:afterLines="60" w:after="144"/>
        <w:rPr>
          <w:rFonts w:ascii="Arial" w:hAnsi="Arial" w:cs="Arial"/>
          <w:b/>
          <w:bCs/>
          <w:sz w:val="22"/>
          <w:szCs w:val="22"/>
        </w:rPr>
      </w:pPr>
      <w:r w:rsidRPr="007112DC">
        <w:rPr>
          <w:rFonts w:ascii="Arial" w:hAnsi="Arial" w:cs="Arial"/>
          <w:b/>
          <w:bCs/>
          <w:sz w:val="22"/>
          <w:szCs w:val="22"/>
        </w:rPr>
        <w:t>1 Notification details—case information</w:t>
      </w:r>
    </w:p>
    <w:p w14:paraId="5A017216" w14:textId="77777777" w:rsidR="00CF6C8C" w:rsidRPr="007112DC" w:rsidRDefault="00CF6C8C" w:rsidP="00F36F32">
      <w:pPr>
        <w:autoSpaceDE w:val="0"/>
        <w:autoSpaceDN w:val="0"/>
        <w:adjustRightInd w:val="0"/>
        <w:rPr>
          <w:rFonts w:ascii="Arial" w:hAnsi="Arial" w:cs="Arial"/>
          <w:sz w:val="22"/>
          <w:szCs w:val="22"/>
        </w:rPr>
      </w:pPr>
      <w:r w:rsidRPr="007112DC">
        <w:rPr>
          <w:rFonts w:ascii="Arial" w:hAnsi="Arial" w:cs="Arial"/>
          <w:sz w:val="22"/>
          <w:szCs w:val="22"/>
        </w:rPr>
        <w:t>1.1 Family name</w:t>
      </w:r>
    </w:p>
    <w:p w14:paraId="04828B44" w14:textId="77777777" w:rsidR="00CF6C8C" w:rsidRPr="007112DC" w:rsidRDefault="00CF6C8C" w:rsidP="00F36F32">
      <w:pPr>
        <w:autoSpaceDE w:val="0"/>
        <w:autoSpaceDN w:val="0"/>
        <w:adjustRightInd w:val="0"/>
        <w:rPr>
          <w:rFonts w:ascii="Arial" w:hAnsi="Arial" w:cs="Arial"/>
          <w:sz w:val="22"/>
          <w:szCs w:val="22"/>
        </w:rPr>
      </w:pPr>
      <w:r w:rsidRPr="007112DC">
        <w:rPr>
          <w:rFonts w:ascii="Arial" w:hAnsi="Arial" w:cs="Arial"/>
          <w:sz w:val="22"/>
          <w:szCs w:val="22"/>
        </w:rPr>
        <w:t>1.2 Given name(s)</w:t>
      </w:r>
    </w:p>
    <w:p w14:paraId="1F2557F1" w14:textId="77777777" w:rsidR="00CF6C8C" w:rsidRPr="007112DC" w:rsidRDefault="00CF6C8C" w:rsidP="00F36F32">
      <w:pPr>
        <w:autoSpaceDE w:val="0"/>
        <w:autoSpaceDN w:val="0"/>
        <w:adjustRightInd w:val="0"/>
        <w:rPr>
          <w:rFonts w:ascii="Arial" w:hAnsi="Arial" w:cs="Arial"/>
          <w:sz w:val="22"/>
          <w:szCs w:val="22"/>
        </w:rPr>
      </w:pPr>
      <w:r w:rsidRPr="007112DC">
        <w:rPr>
          <w:rFonts w:ascii="Arial" w:hAnsi="Arial" w:cs="Arial"/>
          <w:sz w:val="22"/>
          <w:szCs w:val="22"/>
        </w:rPr>
        <w:t>1.3 Date of birth</w:t>
      </w:r>
    </w:p>
    <w:p w14:paraId="76AB80C7" w14:textId="77777777" w:rsidR="00CF6C8C" w:rsidRPr="007112DC" w:rsidRDefault="00CF6C8C" w:rsidP="00F36F32">
      <w:pPr>
        <w:autoSpaceDE w:val="0"/>
        <w:autoSpaceDN w:val="0"/>
        <w:adjustRightInd w:val="0"/>
        <w:rPr>
          <w:rFonts w:ascii="Arial" w:hAnsi="Arial" w:cs="Arial"/>
          <w:sz w:val="22"/>
          <w:szCs w:val="22"/>
        </w:rPr>
      </w:pPr>
      <w:r w:rsidRPr="007112DC">
        <w:rPr>
          <w:rFonts w:ascii="Arial" w:hAnsi="Arial" w:cs="Arial"/>
          <w:sz w:val="22"/>
          <w:szCs w:val="22"/>
        </w:rPr>
        <w:t>1.4 Sex</w:t>
      </w:r>
    </w:p>
    <w:p w14:paraId="2C785665" w14:textId="77777777" w:rsidR="00CF6C8C" w:rsidRPr="007112DC" w:rsidRDefault="00CF6C8C" w:rsidP="00F36F32">
      <w:pPr>
        <w:autoSpaceDE w:val="0"/>
        <w:autoSpaceDN w:val="0"/>
        <w:adjustRightInd w:val="0"/>
        <w:rPr>
          <w:rFonts w:ascii="Arial" w:hAnsi="Arial" w:cs="Arial"/>
          <w:sz w:val="22"/>
          <w:szCs w:val="22"/>
        </w:rPr>
      </w:pPr>
      <w:r w:rsidRPr="007112DC">
        <w:rPr>
          <w:rFonts w:ascii="Arial" w:hAnsi="Arial" w:cs="Arial"/>
          <w:sz w:val="22"/>
          <w:szCs w:val="22"/>
        </w:rPr>
        <w:t>1.5 Aboriginal or Torres Strait Islander status</w:t>
      </w:r>
    </w:p>
    <w:p w14:paraId="1F971D29" w14:textId="77777777" w:rsidR="00CF6C8C" w:rsidRPr="007112DC" w:rsidRDefault="00CF6C8C" w:rsidP="00F36F32">
      <w:pPr>
        <w:autoSpaceDE w:val="0"/>
        <w:autoSpaceDN w:val="0"/>
        <w:adjustRightInd w:val="0"/>
        <w:rPr>
          <w:rFonts w:ascii="Arial" w:hAnsi="Arial" w:cs="Arial"/>
          <w:sz w:val="22"/>
          <w:szCs w:val="22"/>
        </w:rPr>
      </w:pPr>
      <w:r w:rsidRPr="007112DC">
        <w:rPr>
          <w:rFonts w:ascii="Arial" w:hAnsi="Arial" w:cs="Arial"/>
          <w:sz w:val="22"/>
          <w:szCs w:val="22"/>
        </w:rPr>
        <w:t>1.6 Residential address</w:t>
      </w:r>
    </w:p>
    <w:p w14:paraId="416DC484" w14:textId="1BD13965" w:rsidR="00CF6C8C" w:rsidRDefault="00CF6C8C" w:rsidP="00F36F32">
      <w:pPr>
        <w:autoSpaceDE w:val="0"/>
        <w:autoSpaceDN w:val="0"/>
        <w:adjustRightInd w:val="0"/>
        <w:rPr>
          <w:rFonts w:ascii="Arial" w:hAnsi="Arial" w:cs="Arial"/>
          <w:sz w:val="22"/>
          <w:szCs w:val="22"/>
        </w:rPr>
      </w:pPr>
      <w:r w:rsidRPr="007112DC">
        <w:rPr>
          <w:rFonts w:ascii="Arial" w:hAnsi="Arial" w:cs="Arial"/>
          <w:sz w:val="22"/>
          <w:szCs w:val="22"/>
        </w:rPr>
        <w:t>1.7 Contact details of the person/parent/guardian</w:t>
      </w:r>
    </w:p>
    <w:p w14:paraId="449394C3" w14:textId="77777777" w:rsidR="00F36F32" w:rsidRPr="007112DC" w:rsidRDefault="00F36F32" w:rsidP="00F36F32">
      <w:pPr>
        <w:autoSpaceDE w:val="0"/>
        <w:autoSpaceDN w:val="0"/>
        <w:adjustRightInd w:val="0"/>
        <w:rPr>
          <w:rFonts w:ascii="Arial" w:hAnsi="Arial" w:cs="Arial"/>
          <w:sz w:val="22"/>
          <w:szCs w:val="22"/>
        </w:rPr>
      </w:pPr>
    </w:p>
    <w:p w14:paraId="2B18D0C7" w14:textId="77777777" w:rsidR="00CF6C8C" w:rsidRPr="007112DC" w:rsidRDefault="00CF6C8C" w:rsidP="00F36F32">
      <w:pPr>
        <w:autoSpaceDE w:val="0"/>
        <w:autoSpaceDN w:val="0"/>
        <w:adjustRightInd w:val="0"/>
        <w:spacing w:afterLines="60" w:after="144"/>
        <w:rPr>
          <w:rFonts w:ascii="Arial" w:hAnsi="Arial" w:cs="Arial"/>
          <w:b/>
          <w:bCs/>
          <w:sz w:val="22"/>
          <w:szCs w:val="22"/>
        </w:rPr>
      </w:pPr>
      <w:r w:rsidRPr="007112DC">
        <w:rPr>
          <w:rFonts w:ascii="Arial" w:hAnsi="Arial" w:cs="Arial"/>
          <w:b/>
          <w:bCs/>
          <w:sz w:val="22"/>
          <w:szCs w:val="22"/>
        </w:rPr>
        <w:t>2 Notification details—clinical information</w:t>
      </w:r>
    </w:p>
    <w:p w14:paraId="720E1E15" w14:textId="77777777" w:rsidR="00CF6C8C" w:rsidRPr="007112DC" w:rsidRDefault="00CF6C8C" w:rsidP="00F36F32">
      <w:pPr>
        <w:autoSpaceDE w:val="0"/>
        <w:autoSpaceDN w:val="0"/>
        <w:adjustRightInd w:val="0"/>
        <w:rPr>
          <w:rFonts w:ascii="Arial" w:hAnsi="Arial" w:cs="Arial"/>
          <w:sz w:val="22"/>
          <w:szCs w:val="22"/>
        </w:rPr>
      </w:pPr>
      <w:r w:rsidRPr="007112DC">
        <w:rPr>
          <w:rFonts w:ascii="Arial" w:hAnsi="Arial" w:cs="Arial"/>
          <w:sz w:val="22"/>
          <w:szCs w:val="22"/>
        </w:rPr>
        <w:t>2.1 Mortality details</w:t>
      </w:r>
    </w:p>
    <w:p w14:paraId="22A509E3" w14:textId="77777777" w:rsidR="00CF6C8C" w:rsidRPr="007112DC" w:rsidRDefault="00CF6C8C" w:rsidP="00F36F32">
      <w:pPr>
        <w:autoSpaceDE w:val="0"/>
        <w:autoSpaceDN w:val="0"/>
        <w:adjustRightInd w:val="0"/>
        <w:rPr>
          <w:rFonts w:ascii="Arial" w:hAnsi="Arial" w:cs="Arial"/>
          <w:sz w:val="22"/>
          <w:szCs w:val="22"/>
        </w:rPr>
      </w:pPr>
      <w:r w:rsidRPr="007112DC">
        <w:rPr>
          <w:rFonts w:ascii="Arial" w:hAnsi="Arial" w:cs="Arial"/>
          <w:sz w:val="22"/>
          <w:szCs w:val="22"/>
        </w:rPr>
        <w:t>2.2 Morbidity details</w:t>
      </w:r>
    </w:p>
    <w:p w14:paraId="3078FF7D" w14:textId="77777777" w:rsidR="00CF6C8C" w:rsidRPr="007112DC" w:rsidRDefault="00CF6C8C" w:rsidP="00F36F32">
      <w:pPr>
        <w:autoSpaceDE w:val="0"/>
        <w:autoSpaceDN w:val="0"/>
        <w:adjustRightInd w:val="0"/>
        <w:rPr>
          <w:rFonts w:ascii="Arial" w:hAnsi="Arial" w:cs="Arial"/>
          <w:sz w:val="22"/>
          <w:szCs w:val="22"/>
        </w:rPr>
      </w:pPr>
      <w:r w:rsidRPr="007112DC">
        <w:rPr>
          <w:rFonts w:ascii="Arial" w:hAnsi="Arial" w:cs="Arial"/>
          <w:sz w:val="22"/>
          <w:szCs w:val="22"/>
        </w:rPr>
        <w:t>2.3 Allergies or other history of anaphylaxis reported by the person</w:t>
      </w:r>
    </w:p>
    <w:p w14:paraId="2CEE36D4" w14:textId="77777777" w:rsidR="00CF6C8C" w:rsidRPr="007112DC" w:rsidRDefault="00CF6C8C" w:rsidP="00F36F32">
      <w:pPr>
        <w:autoSpaceDE w:val="0"/>
        <w:autoSpaceDN w:val="0"/>
        <w:adjustRightInd w:val="0"/>
        <w:rPr>
          <w:rFonts w:ascii="Arial" w:hAnsi="Arial" w:cs="Arial"/>
          <w:sz w:val="22"/>
          <w:szCs w:val="22"/>
        </w:rPr>
      </w:pPr>
      <w:r w:rsidRPr="007112DC">
        <w:rPr>
          <w:rFonts w:ascii="Arial" w:hAnsi="Arial" w:cs="Arial"/>
          <w:sz w:val="22"/>
          <w:szCs w:val="22"/>
        </w:rPr>
        <w:t>2.4 Date of presentation for treatment for anaphylaxis</w:t>
      </w:r>
    </w:p>
    <w:p w14:paraId="49BA2361" w14:textId="77777777" w:rsidR="00CF6C8C" w:rsidRPr="007112DC" w:rsidRDefault="00CF6C8C" w:rsidP="00CF6C8C">
      <w:pPr>
        <w:autoSpaceDE w:val="0"/>
        <w:autoSpaceDN w:val="0"/>
        <w:adjustRightInd w:val="0"/>
        <w:rPr>
          <w:rFonts w:ascii="Arial" w:hAnsi="Arial" w:cs="Arial"/>
          <w:sz w:val="22"/>
          <w:szCs w:val="22"/>
        </w:rPr>
      </w:pPr>
    </w:p>
    <w:p w14:paraId="6EB4281F" w14:textId="77777777" w:rsidR="00CF6C8C" w:rsidRDefault="00CF6C8C">
      <w:pPr>
        <w:rPr>
          <w:rFonts w:ascii="Arial" w:hAnsi="Arial" w:cs="Arial"/>
          <w:b/>
          <w:bCs/>
          <w:sz w:val="22"/>
          <w:szCs w:val="22"/>
        </w:rPr>
      </w:pPr>
      <w:r>
        <w:rPr>
          <w:rFonts w:ascii="Arial" w:hAnsi="Arial" w:cs="Arial"/>
          <w:b/>
          <w:bCs/>
          <w:sz w:val="22"/>
          <w:szCs w:val="22"/>
        </w:rPr>
        <w:br w:type="page"/>
      </w:r>
    </w:p>
    <w:p w14:paraId="04EC1B35" w14:textId="6EA29828" w:rsidR="00CF6C8C" w:rsidRPr="007C77AA" w:rsidRDefault="00CF6C8C" w:rsidP="00CF6C8C">
      <w:pPr>
        <w:autoSpaceDE w:val="0"/>
        <w:autoSpaceDN w:val="0"/>
        <w:adjustRightInd w:val="0"/>
        <w:rPr>
          <w:rFonts w:ascii="Arial" w:hAnsi="Arial" w:cs="Arial"/>
          <w:b/>
          <w:bCs/>
          <w:sz w:val="22"/>
          <w:szCs w:val="22"/>
        </w:rPr>
      </w:pPr>
      <w:r w:rsidRPr="007C77AA">
        <w:rPr>
          <w:rFonts w:ascii="Arial" w:hAnsi="Arial" w:cs="Arial"/>
          <w:b/>
          <w:bCs/>
          <w:sz w:val="22"/>
          <w:szCs w:val="22"/>
        </w:rPr>
        <w:lastRenderedPageBreak/>
        <w:t>3 Notification details—details of anaphylaxis reporting body</w:t>
      </w:r>
    </w:p>
    <w:p w14:paraId="70DC60FF" w14:textId="77777777" w:rsidR="00CF6C8C" w:rsidRPr="007C77AA" w:rsidRDefault="00CF6C8C" w:rsidP="00CF6C8C">
      <w:pPr>
        <w:autoSpaceDE w:val="0"/>
        <w:autoSpaceDN w:val="0"/>
        <w:adjustRightInd w:val="0"/>
        <w:rPr>
          <w:rFonts w:ascii="Arial" w:hAnsi="Arial" w:cs="Arial"/>
          <w:sz w:val="22"/>
          <w:szCs w:val="22"/>
        </w:rPr>
      </w:pPr>
      <w:r w:rsidRPr="007C77AA">
        <w:rPr>
          <w:rFonts w:ascii="Arial" w:hAnsi="Arial" w:cs="Arial"/>
          <w:sz w:val="22"/>
          <w:szCs w:val="22"/>
        </w:rPr>
        <w:t>3.1 Name and address of anaphylaxis reporting body</w:t>
      </w:r>
    </w:p>
    <w:p w14:paraId="5181FEF0" w14:textId="77777777" w:rsidR="00CF6C8C" w:rsidRPr="007C77AA" w:rsidRDefault="00CF6C8C" w:rsidP="00CF6C8C">
      <w:pPr>
        <w:autoSpaceDE w:val="0"/>
        <w:autoSpaceDN w:val="0"/>
        <w:adjustRightInd w:val="0"/>
        <w:rPr>
          <w:rFonts w:ascii="Arial" w:hAnsi="Arial" w:cs="Arial"/>
          <w:sz w:val="22"/>
          <w:szCs w:val="22"/>
        </w:rPr>
      </w:pPr>
      <w:r w:rsidRPr="007C77AA">
        <w:rPr>
          <w:rFonts w:ascii="Arial" w:hAnsi="Arial" w:cs="Arial"/>
          <w:sz w:val="22"/>
          <w:szCs w:val="22"/>
        </w:rPr>
        <w:t>3.2 Telephone number and email address of anaphylaxis reporting body</w:t>
      </w:r>
    </w:p>
    <w:p w14:paraId="031E1109" w14:textId="77777777" w:rsidR="00CF6C8C" w:rsidRPr="007C77AA" w:rsidRDefault="00CF6C8C" w:rsidP="00CF6C8C">
      <w:pPr>
        <w:autoSpaceDE w:val="0"/>
        <w:autoSpaceDN w:val="0"/>
        <w:adjustRightInd w:val="0"/>
        <w:rPr>
          <w:rFonts w:ascii="Arial" w:hAnsi="Arial" w:cs="Arial"/>
          <w:sz w:val="22"/>
          <w:szCs w:val="22"/>
        </w:rPr>
      </w:pPr>
      <w:r w:rsidRPr="007C77AA">
        <w:rPr>
          <w:rFonts w:ascii="Arial" w:hAnsi="Arial" w:cs="Arial"/>
          <w:sz w:val="22"/>
          <w:szCs w:val="22"/>
        </w:rPr>
        <w:t>3.3 Name and telephone number of registered medical practitioner who formed the reasonable belief that the person had anaphylaxis</w:t>
      </w:r>
    </w:p>
    <w:p w14:paraId="33804390" w14:textId="77777777" w:rsidR="00CF6C8C" w:rsidRPr="007C77AA" w:rsidRDefault="00CF6C8C" w:rsidP="00CF6C8C">
      <w:pPr>
        <w:autoSpaceDE w:val="0"/>
        <w:autoSpaceDN w:val="0"/>
        <w:adjustRightInd w:val="0"/>
        <w:rPr>
          <w:rFonts w:ascii="Arial" w:hAnsi="Arial" w:cs="Arial"/>
          <w:sz w:val="22"/>
          <w:szCs w:val="22"/>
        </w:rPr>
      </w:pPr>
      <w:r w:rsidRPr="007C77AA">
        <w:rPr>
          <w:rFonts w:ascii="Arial" w:hAnsi="Arial" w:cs="Arial"/>
          <w:sz w:val="22"/>
          <w:szCs w:val="22"/>
        </w:rPr>
        <w:t>3.4 Report date</w:t>
      </w:r>
    </w:p>
    <w:p w14:paraId="5AACB51E" w14:textId="77777777" w:rsidR="00CF6C8C" w:rsidRPr="007C77AA" w:rsidRDefault="00CF6C8C" w:rsidP="00CF6C8C">
      <w:pPr>
        <w:autoSpaceDE w:val="0"/>
        <w:autoSpaceDN w:val="0"/>
        <w:adjustRightInd w:val="0"/>
        <w:rPr>
          <w:rFonts w:ascii="Arial" w:hAnsi="Arial" w:cs="Arial"/>
          <w:sz w:val="22"/>
          <w:szCs w:val="22"/>
        </w:rPr>
      </w:pPr>
    </w:p>
    <w:p w14:paraId="2EAD2D85" w14:textId="77777777" w:rsidR="00CF6C8C" w:rsidRPr="007C77AA" w:rsidRDefault="00CF6C8C" w:rsidP="00CF6C8C">
      <w:pPr>
        <w:autoSpaceDE w:val="0"/>
        <w:autoSpaceDN w:val="0"/>
        <w:adjustRightInd w:val="0"/>
        <w:rPr>
          <w:rFonts w:ascii="Arial" w:hAnsi="Arial" w:cs="Arial"/>
          <w:b/>
          <w:bCs/>
          <w:sz w:val="22"/>
          <w:szCs w:val="22"/>
        </w:rPr>
      </w:pPr>
      <w:r w:rsidRPr="007C77AA">
        <w:rPr>
          <w:rFonts w:ascii="Arial" w:hAnsi="Arial" w:cs="Arial"/>
          <w:b/>
          <w:bCs/>
          <w:sz w:val="22"/>
          <w:szCs w:val="22"/>
        </w:rPr>
        <w:t>4 Notification details—suspected cause of anaphylaxis</w:t>
      </w:r>
    </w:p>
    <w:p w14:paraId="44B81731" w14:textId="77777777" w:rsidR="00CF6C8C" w:rsidRPr="007C77AA" w:rsidRDefault="00CF6C8C" w:rsidP="00CF6C8C">
      <w:pPr>
        <w:autoSpaceDE w:val="0"/>
        <w:autoSpaceDN w:val="0"/>
        <w:adjustRightInd w:val="0"/>
        <w:rPr>
          <w:rFonts w:ascii="Arial" w:hAnsi="Arial" w:cs="Arial"/>
          <w:sz w:val="22"/>
          <w:szCs w:val="22"/>
        </w:rPr>
      </w:pPr>
      <w:r w:rsidRPr="007C77AA">
        <w:rPr>
          <w:rFonts w:ascii="Arial" w:hAnsi="Arial" w:cs="Arial"/>
          <w:sz w:val="22"/>
          <w:szCs w:val="22"/>
        </w:rPr>
        <w:t>The notification details are to include one of the causes listed in column A of the Table as the suspected cause of the anaphylaxis of the person presenting for treatment, and the details in column B of the Table to the extent known to the anaphylaxis reporting body.</w:t>
      </w:r>
    </w:p>
    <w:p w14:paraId="655E7E67" w14:textId="77777777" w:rsidR="00CF6C8C" w:rsidRPr="007C77AA" w:rsidRDefault="00CF6C8C" w:rsidP="00CF6C8C">
      <w:pPr>
        <w:autoSpaceDE w:val="0"/>
        <w:autoSpaceDN w:val="0"/>
        <w:adjustRightInd w:val="0"/>
        <w:rPr>
          <w:rFonts w:ascii="Arial" w:hAnsi="Arial" w:cs="Arial"/>
          <w:sz w:val="22"/>
          <w:szCs w:val="22"/>
        </w:rPr>
      </w:pPr>
    </w:p>
    <w:p w14:paraId="752419D2" w14:textId="77777777" w:rsidR="00CF6C8C" w:rsidRPr="007112DC" w:rsidRDefault="00CF6C8C" w:rsidP="00CF6C8C">
      <w:pPr>
        <w:autoSpaceDE w:val="0"/>
        <w:autoSpaceDN w:val="0"/>
        <w:adjustRightInd w:val="0"/>
        <w:rPr>
          <w:rFonts w:ascii="Arial" w:hAnsi="Arial" w:cs="Arial"/>
          <w:b/>
          <w:bCs/>
          <w:sz w:val="22"/>
          <w:szCs w:val="22"/>
        </w:rPr>
      </w:pPr>
      <w:r w:rsidRPr="007112DC">
        <w:rPr>
          <w:rFonts w:ascii="Arial" w:hAnsi="Arial" w:cs="Arial"/>
          <w:b/>
          <w:bCs/>
          <w:sz w:val="22"/>
          <w:szCs w:val="22"/>
        </w:rPr>
        <w:t>Table</w:t>
      </w:r>
    </w:p>
    <w:tbl>
      <w:tblPr>
        <w:tblStyle w:val="TableGrid"/>
        <w:tblW w:w="0" w:type="auto"/>
        <w:tblLook w:val="04A0" w:firstRow="1" w:lastRow="0" w:firstColumn="1" w:lastColumn="0" w:noHBand="0" w:noVBand="1"/>
      </w:tblPr>
      <w:tblGrid>
        <w:gridCol w:w="4253"/>
        <w:gridCol w:w="4360"/>
      </w:tblGrid>
      <w:tr w:rsidR="00CF6C8C" w:rsidRPr="007112DC" w14:paraId="483E245A" w14:textId="77777777" w:rsidTr="00C36AEB">
        <w:tc>
          <w:tcPr>
            <w:tcW w:w="4253" w:type="dxa"/>
            <w:tcBorders>
              <w:bottom w:val="nil"/>
            </w:tcBorders>
          </w:tcPr>
          <w:p w14:paraId="04FF766B" w14:textId="77777777" w:rsidR="00CF6C8C" w:rsidRPr="002605F8" w:rsidRDefault="00CF6C8C" w:rsidP="0098240B">
            <w:pPr>
              <w:autoSpaceDE w:val="0"/>
              <w:autoSpaceDN w:val="0"/>
              <w:adjustRightInd w:val="0"/>
              <w:rPr>
                <w:rFonts w:ascii="Arial" w:hAnsi="Arial" w:cs="Arial"/>
                <w:b/>
                <w:bCs/>
              </w:rPr>
            </w:pPr>
            <w:r w:rsidRPr="002605F8">
              <w:rPr>
                <w:rFonts w:ascii="Arial" w:hAnsi="Arial" w:cs="Arial"/>
                <w:b/>
                <w:bCs/>
              </w:rPr>
              <w:t>Column A</w:t>
            </w:r>
          </w:p>
        </w:tc>
        <w:tc>
          <w:tcPr>
            <w:tcW w:w="4360" w:type="dxa"/>
            <w:tcBorders>
              <w:bottom w:val="nil"/>
            </w:tcBorders>
          </w:tcPr>
          <w:p w14:paraId="576E945A" w14:textId="77777777" w:rsidR="00CF6C8C" w:rsidRPr="002605F8" w:rsidRDefault="00CF6C8C" w:rsidP="0098240B">
            <w:pPr>
              <w:autoSpaceDE w:val="0"/>
              <w:autoSpaceDN w:val="0"/>
              <w:adjustRightInd w:val="0"/>
              <w:rPr>
                <w:rFonts w:ascii="Arial" w:hAnsi="Arial" w:cs="Arial"/>
                <w:b/>
                <w:bCs/>
              </w:rPr>
            </w:pPr>
            <w:r w:rsidRPr="002605F8">
              <w:rPr>
                <w:rFonts w:ascii="Arial" w:hAnsi="Arial" w:cs="Arial"/>
                <w:b/>
                <w:bCs/>
              </w:rPr>
              <w:t>Column B</w:t>
            </w:r>
          </w:p>
        </w:tc>
      </w:tr>
      <w:tr w:rsidR="00CF6C8C" w:rsidRPr="007112DC" w14:paraId="3F16D2D7" w14:textId="77777777" w:rsidTr="00C36AEB">
        <w:trPr>
          <w:trHeight w:val="424"/>
        </w:trPr>
        <w:tc>
          <w:tcPr>
            <w:tcW w:w="4253" w:type="dxa"/>
            <w:tcBorders>
              <w:top w:val="nil"/>
              <w:bottom w:val="single" w:sz="4" w:space="0" w:color="auto"/>
            </w:tcBorders>
          </w:tcPr>
          <w:p w14:paraId="13055A81" w14:textId="752143B2" w:rsidR="00CF6C8C" w:rsidRPr="002605F8" w:rsidRDefault="002605F8" w:rsidP="0098240B">
            <w:pPr>
              <w:autoSpaceDE w:val="0"/>
              <w:autoSpaceDN w:val="0"/>
              <w:adjustRightInd w:val="0"/>
              <w:rPr>
                <w:rFonts w:ascii="Arial" w:hAnsi="Arial" w:cs="Arial"/>
                <w:b/>
                <w:bCs/>
                <w:sz w:val="22"/>
                <w:szCs w:val="22"/>
              </w:rPr>
            </w:pPr>
            <w:r>
              <w:rPr>
                <w:rFonts w:ascii="Arial" w:hAnsi="Arial" w:cs="Arial"/>
                <w:b/>
                <w:bCs/>
                <w:sz w:val="22"/>
                <w:szCs w:val="22"/>
              </w:rPr>
              <w:br/>
            </w:r>
            <w:r w:rsidR="00CF6C8C" w:rsidRPr="002605F8">
              <w:rPr>
                <w:rFonts w:ascii="Arial" w:hAnsi="Arial" w:cs="Arial"/>
                <w:b/>
                <w:bCs/>
                <w:sz w:val="22"/>
                <w:szCs w:val="22"/>
              </w:rPr>
              <w:t>Suspected cause of anaphylaxis</w:t>
            </w:r>
          </w:p>
        </w:tc>
        <w:tc>
          <w:tcPr>
            <w:tcW w:w="4360" w:type="dxa"/>
            <w:tcBorders>
              <w:top w:val="nil"/>
              <w:bottom w:val="single" w:sz="4" w:space="0" w:color="auto"/>
            </w:tcBorders>
          </w:tcPr>
          <w:p w14:paraId="4F6DB71E" w14:textId="182F04EB" w:rsidR="00CF6C8C" w:rsidRPr="007112DC" w:rsidRDefault="002605F8" w:rsidP="0098240B">
            <w:pPr>
              <w:autoSpaceDE w:val="0"/>
              <w:autoSpaceDN w:val="0"/>
              <w:adjustRightInd w:val="0"/>
              <w:rPr>
                <w:rFonts w:ascii="Arial" w:hAnsi="Arial" w:cs="Arial"/>
                <w:b/>
                <w:bCs/>
                <w:sz w:val="22"/>
                <w:szCs w:val="22"/>
              </w:rPr>
            </w:pPr>
            <w:r>
              <w:rPr>
                <w:rFonts w:ascii="Arial" w:hAnsi="Arial" w:cs="Arial"/>
                <w:b/>
                <w:bCs/>
                <w:sz w:val="22"/>
                <w:szCs w:val="22"/>
              </w:rPr>
              <w:br/>
            </w:r>
            <w:r w:rsidR="00CF6C8C" w:rsidRPr="007112DC">
              <w:rPr>
                <w:rFonts w:ascii="Arial" w:hAnsi="Arial" w:cs="Arial"/>
                <w:b/>
                <w:bCs/>
                <w:sz w:val="22"/>
                <w:szCs w:val="22"/>
              </w:rPr>
              <w:t>Additional notification details</w:t>
            </w:r>
          </w:p>
        </w:tc>
      </w:tr>
      <w:tr w:rsidR="00CF6C8C" w:rsidRPr="007112DC" w14:paraId="203E43DC" w14:textId="77777777" w:rsidTr="00C36AEB">
        <w:tc>
          <w:tcPr>
            <w:tcW w:w="4253" w:type="dxa"/>
            <w:tcBorders>
              <w:bottom w:val="nil"/>
            </w:tcBorders>
          </w:tcPr>
          <w:p w14:paraId="69A34CE2" w14:textId="77777777" w:rsidR="00CF6C8C" w:rsidRPr="007112DC" w:rsidRDefault="00CF6C8C" w:rsidP="0098240B">
            <w:pPr>
              <w:autoSpaceDE w:val="0"/>
              <w:autoSpaceDN w:val="0"/>
              <w:adjustRightInd w:val="0"/>
              <w:rPr>
                <w:rFonts w:ascii="Arial" w:hAnsi="Arial" w:cs="Arial"/>
                <w:bCs/>
                <w:sz w:val="22"/>
                <w:szCs w:val="22"/>
              </w:rPr>
            </w:pPr>
            <w:r w:rsidRPr="007112DC">
              <w:rPr>
                <w:rFonts w:ascii="Arial" w:hAnsi="Arial" w:cs="Arial"/>
                <w:bCs/>
                <w:sz w:val="22"/>
                <w:szCs w:val="22"/>
              </w:rPr>
              <w:t>Consumption of packaged food</w:t>
            </w:r>
          </w:p>
        </w:tc>
        <w:tc>
          <w:tcPr>
            <w:tcW w:w="4360" w:type="dxa"/>
            <w:tcBorders>
              <w:bottom w:val="nil"/>
            </w:tcBorders>
          </w:tcPr>
          <w:p w14:paraId="38C95E95" w14:textId="2410A508" w:rsidR="00CF6C8C" w:rsidRPr="00C36AEB" w:rsidRDefault="00CF6C8C" w:rsidP="00C36AEB">
            <w:pPr>
              <w:pStyle w:val="ListParagraph"/>
              <w:numPr>
                <w:ilvl w:val="0"/>
                <w:numId w:val="32"/>
              </w:numPr>
              <w:autoSpaceDE w:val="0"/>
              <w:autoSpaceDN w:val="0"/>
              <w:adjustRightInd w:val="0"/>
              <w:rPr>
                <w:rFonts w:ascii="Arial" w:hAnsi="Arial" w:cs="Arial"/>
                <w:bCs/>
              </w:rPr>
            </w:pPr>
            <w:r w:rsidRPr="00C36AEB">
              <w:rPr>
                <w:rFonts w:ascii="Arial" w:hAnsi="Arial" w:cs="Arial"/>
                <w:bCs/>
              </w:rPr>
              <w:t>Type of food product</w:t>
            </w:r>
          </w:p>
        </w:tc>
      </w:tr>
      <w:tr w:rsidR="00CF6C8C" w:rsidRPr="007112DC" w14:paraId="394F43DA" w14:textId="77777777" w:rsidTr="00C36AEB">
        <w:tc>
          <w:tcPr>
            <w:tcW w:w="4253" w:type="dxa"/>
            <w:tcBorders>
              <w:top w:val="nil"/>
              <w:bottom w:val="nil"/>
            </w:tcBorders>
          </w:tcPr>
          <w:p w14:paraId="0FBE1E93" w14:textId="77777777" w:rsidR="00CF6C8C" w:rsidRPr="007112DC" w:rsidRDefault="00CF6C8C" w:rsidP="0098240B">
            <w:pPr>
              <w:autoSpaceDE w:val="0"/>
              <w:autoSpaceDN w:val="0"/>
              <w:adjustRightInd w:val="0"/>
              <w:rPr>
                <w:rFonts w:ascii="Arial" w:hAnsi="Arial" w:cs="Arial"/>
                <w:bCs/>
                <w:sz w:val="22"/>
                <w:szCs w:val="22"/>
              </w:rPr>
            </w:pPr>
          </w:p>
        </w:tc>
        <w:tc>
          <w:tcPr>
            <w:tcW w:w="4360" w:type="dxa"/>
            <w:tcBorders>
              <w:top w:val="nil"/>
              <w:bottom w:val="nil"/>
            </w:tcBorders>
          </w:tcPr>
          <w:p w14:paraId="0BA7A41B" w14:textId="33DB324C" w:rsidR="00CF6C8C" w:rsidRPr="00C36AEB" w:rsidRDefault="00CF6C8C" w:rsidP="00C36AEB">
            <w:pPr>
              <w:pStyle w:val="ListParagraph"/>
              <w:numPr>
                <w:ilvl w:val="0"/>
                <w:numId w:val="32"/>
              </w:numPr>
              <w:autoSpaceDE w:val="0"/>
              <w:autoSpaceDN w:val="0"/>
              <w:adjustRightInd w:val="0"/>
              <w:rPr>
                <w:rFonts w:ascii="Arial" w:hAnsi="Arial" w:cs="Arial"/>
                <w:bCs/>
              </w:rPr>
            </w:pPr>
            <w:r w:rsidRPr="00C36AEB">
              <w:rPr>
                <w:rFonts w:ascii="Arial" w:hAnsi="Arial" w:cs="Arial"/>
                <w:bCs/>
              </w:rPr>
              <w:t>Brand of food product</w:t>
            </w:r>
          </w:p>
        </w:tc>
      </w:tr>
      <w:tr w:rsidR="00CF6C8C" w:rsidRPr="007112DC" w14:paraId="578D5A41" w14:textId="77777777" w:rsidTr="00C36AEB">
        <w:tc>
          <w:tcPr>
            <w:tcW w:w="4253" w:type="dxa"/>
            <w:tcBorders>
              <w:top w:val="nil"/>
              <w:bottom w:val="single" w:sz="4" w:space="0" w:color="auto"/>
            </w:tcBorders>
          </w:tcPr>
          <w:p w14:paraId="30EAC3D5" w14:textId="77777777" w:rsidR="00CF6C8C" w:rsidRPr="007112DC" w:rsidRDefault="00CF6C8C" w:rsidP="0098240B">
            <w:pPr>
              <w:autoSpaceDE w:val="0"/>
              <w:autoSpaceDN w:val="0"/>
              <w:adjustRightInd w:val="0"/>
              <w:rPr>
                <w:rFonts w:ascii="Arial" w:hAnsi="Arial" w:cs="Arial"/>
                <w:bCs/>
                <w:sz w:val="22"/>
                <w:szCs w:val="22"/>
              </w:rPr>
            </w:pPr>
          </w:p>
        </w:tc>
        <w:tc>
          <w:tcPr>
            <w:tcW w:w="4360" w:type="dxa"/>
            <w:tcBorders>
              <w:top w:val="nil"/>
              <w:bottom w:val="single" w:sz="4" w:space="0" w:color="auto"/>
            </w:tcBorders>
          </w:tcPr>
          <w:p w14:paraId="3967A0B7" w14:textId="5C2E7ABC" w:rsidR="00CF6C8C" w:rsidRPr="00C36AEB" w:rsidRDefault="00CF6C8C" w:rsidP="00C36AEB">
            <w:pPr>
              <w:pStyle w:val="ListParagraph"/>
              <w:numPr>
                <w:ilvl w:val="0"/>
                <w:numId w:val="32"/>
              </w:numPr>
              <w:autoSpaceDE w:val="0"/>
              <w:autoSpaceDN w:val="0"/>
              <w:adjustRightInd w:val="0"/>
              <w:rPr>
                <w:rFonts w:ascii="Arial" w:hAnsi="Arial" w:cs="Arial"/>
                <w:bCs/>
              </w:rPr>
            </w:pPr>
            <w:r w:rsidRPr="00C36AEB">
              <w:rPr>
                <w:rFonts w:ascii="Arial" w:hAnsi="Arial" w:cs="Arial"/>
                <w:bCs/>
              </w:rPr>
              <w:t>Date and time of consumption</w:t>
            </w:r>
          </w:p>
        </w:tc>
      </w:tr>
      <w:tr w:rsidR="00CF6C8C" w:rsidRPr="007112DC" w14:paraId="1E77DA8F" w14:textId="77777777" w:rsidTr="00C36AEB">
        <w:tc>
          <w:tcPr>
            <w:tcW w:w="4253" w:type="dxa"/>
            <w:tcBorders>
              <w:bottom w:val="nil"/>
            </w:tcBorders>
          </w:tcPr>
          <w:p w14:paraId="64CC5E48" w14:textId="77777777" w:rsidR="00CF6C8C" w:rsidRPr="007112DC" w:rsidRDefault="00CF6C8C" w:rsidP="0098240B">
            <w:pPr>
              <w:autoSpaceDE w:val="0"/>
              <w:autoSpaceDN w:val="0"/>
              <w:adjustRightInd w:val="0"/>
              <w:rPr>
                <w:rFonts w:ascii="Arial" w:hAnsi="Arial" w:cs="Arial"/>
                <w:bCs/>
                <w:sz w:val="22"/>
                <w:szCs w:val="22"/>
              </w:rPr>
            </w:pPr>
            <w:r w:rsidRPr="007112DC">
              <w:rPr>
                <w:rFonts w:ascii="Arial" w:hAnsi="Arial" w:cs="Arial"/>
                <w:bCs/>
                <w:sz w:val="22"/>
                <w:szCs w:val="22"/>
              </w:rPr>
              <w:t>Unpackaged food from a food premises</w:t>
            </w:r>
          </w:p>
        </w:tc>
        <w:tc>
          <w:tcPr>
            <w:tcW w:w="4360" w:type="dxa"/>
            <w:tcBorders>
              <w:bottom w:val="nil"/>
            </w:tcBorders>
          </w:tcPr>
          <w:p w14:paraId="0F49D4DD" w14:textId="1223C3E7" w:rsidR="00CF6C8C" w:rsidRPr="00C36AEB" w:rsidRDefault="00CF6C8C" w:rsidP="00C36AEB">
            <w:pPr>
              <w:pStyle w:val="ListParagraph"/>
              <w:numPr>
                <w:ilvl w:val="0"/>
                <w:numId w:val="32"/>
              </w:numPr>
              <w:autoSpaceDE w:val="0"/>
              <w:autoSpaceDN w:val="0"/>
              <w:adjustRightInd w:val="0"/>
              <w:rPr>
                <w:rFonts w:ascii="Arial" w:hAnsi="Arial" w:cs="Arial"/>
                <w:bCs/>
              </w:rPr>
            </w:pPr>
            <w:r w:rsidRPr="00C36AEB">
              <w:rPr>
                <w:rFonts w:ascii="Arial" w:hAnsi="Arial" w:cs="Arial"/>
                <w:bCs/>
              </w:rPr>
              <w:t>Details of the food consumed</w:t>
            </w:r>
            <w:r w:rsidR="002605F8" w:rsidRPr="00C36AEB">
              <w:rPr>
                <w:rFonts w:ascii="Arial" w:hAnsi="Arial" w:cs="Arial"/>
                <w:bCs/>
              </w:rPr>
              <w:t>.</w:t>
            </w:r>
          </w:p>
        </w:tc>
      </w:tr>
      <w:tr w:rsidR="00CF6C8C" w:rsidRPr="007112DC" w14:paraId="3451CD76" w14:textId="77777777" w:rsidTr="00C36AEB">
        <w:tc>
          <w:tcPr>
            <w:tcW w:w="4253" w:type="dxa"/>
            <w:tcBorders>
              <w:top w:val="nil"/>
              <w:bottom w:val="nil"/>
            </w:tcBorders>
          </w:tcPr>
          <w:p w14:paraId="7708633B" w14:textId="77777777" w:rsidR="00CF6C8C" w:rsidRPr="007112DC" w:rsidRDefault="00CF6C8C" w:rsidP="0098240B">
            <w:pPr>
              <w:autoSpaceDE w:val="0"/>
              <w:autoSpaceDN w:val="0"/>
              <w:adjustRightInd w:val="0"/>
              <w:rPr>
                <w:rFonts w:ascii="Arial" w:hAnsi="Arial" w:cs="Arial"/>
                <w:bCs/>
                <w:sz w:val="22"/>
                <w:szCs w:val="22"/>
              </w:rPr>
            </w:pPr>
          </w:p>
        </w:tc>
        <w:tc>
          <w:tcPr>
            <w:tcW w:w="4360" w:type="dxa"/>
            <w:tcBorders>
              <w:top w:val="nil"/>
              <w:bottom w:val="nil"/>
            </w:tcBorders>
          </w:tcPr>
          <w:p w14:paraId="17D3D2FC" w14:textId="162B8306" w:rsidR="00CF6C8C" w:rsidRPr="00C36AEB" w:rsidRDefault="00CF6C8C" w:rsidP="00C36AEB">
            <w:pPr>
              <w:pStyle w:val="ListParagraph"/>
              <w:numPr>
                <w:ilvl w:val="0"/>
                <w:numId w:val="32"/>
              </w:numPr>
              <w:autoSpaceDE w:val="0"/>
              <w:autoSpaceDN w:val="0"/>
              <w:adjustRightInd w:val="0"/>
              <w:rPr>
                <w:rFonts w:ascii="Arial" w:hAnsi="Arial" w:cs="Arial"/>
                <w:bCs/>
              </w:rPr>
            </w:pPr>
            <w:r w:rsidRPr="00C36AEB">
              <w:rPr>
                <w:rFonts w:ascii="Arial" w:hAnsi="Arial" w:cs="Arial"/>
                <w:bCs/>
              </w:rPr>
              <w:t>Name of the food premises</w:t>
            </w:r>
            <w:r w:rsidR="002605F8" w:rsidRPr="00C36AEB">
              <w:rPr>
                <w:rFonts w:ascii="Arial" w:hAnsi="Arial" w:cs="Arial"/>
                <w:bCs/>
              </w:rPr>
              <w:t>.</w:t>
            </w:r>
          </w:p>
        </w:tc>
      </w:tr>
      <w:tr w:rsidR="00CF6C8C" w:rsidRPr="007112DC" w14:paraId="3E00B261" w14:textId="77777777" w:rsidTr="00C36AEB">
        <w:tc>
          <w:tcPr>
            <w:tcW w:w="4253" w:type="dxa"/>
            <w:tcBorders>
              <w:top w:val="nil"/>
            </w:tcBorders>
          </w:tcPr>
          <w:p w14:paraId="4143FF62" w14:textId="77777777" w:rsidR="00CF6C8C" w:rsidRPr="007112DC" w:rsidRDefault="00CF6C8C" w:rsidP="0098240B">
            <w:pPr>
              <w:autoSpaceDE w:val="0"/>
              <w:autoSpaceDN w:val="0"/>
              <w:adjustRightInd w:val="0"/>
              <w:rPr>
                <w:rFonts w:ascii="Arial" w:hAnsi="Arial" w:cs="Arial"/>
                <w:bCs/>
                <w:sz w:val="22"/>
                <w:szCs w:val="22"/>
              </w:rPr>
            </w:pPr>
          </w:p>
        </w:tc>
        <w:tc>
          <w:tcPr>
            <w:tcW w:w="4360" w:type="dxa"/>
            <w:tcBorders>
              <w:top w:val="nil"/>
            </w:tcBorders>
          </w:tcPr>
          <w:p w14:paraId="68A9326F" w14:textId="47D57D2B" w:rsidR="00CF6C8C" w:rsidRPr="00C36AEB" w:rsidRDefault="00CF6C8C" w:rsidP="00C36AEB">
            <w:pPr>
              <w:pStyle w:val="ListParagraph"/>
              <w:numPr>
                <w:ilvl w:val="0"/>
                <w:numId w:val="32"/>
              </w:numPr>
              <w:autoSpaceDE w:val="0"/>
              <w:autoSpaceDN w:val="0"/>
              <w:adjustRightInd w:val="0"/>
              <w:rPr>
                <w:rFonts w:ascii="Arial" w:hAnsi="Arial" w:cs="Arial"/>
                <w:bCs/>
              </w:rPr>
            </w:pPr>
            <w:r w:rsidRPr="00C36AEB">
              <w:rPr>
                <w:rFonts w:ascii="Arial" w:hAnsi="Arial" w:cs="Arial"/>
                <w:bCs/>
              </w:rPr>
              <w:t>Date and time of consumption</w:t>
            </w:r>
            <w:r w:rsidR="002605F8" w:rsidRPr="00C36AEB">
              <w:rPr>
                <w:rFonts w:ascii="Arial" w:hAnsi="Arial" w:cs="Arial"/>
                <w:bCs/>
              </w:rPr>
              <w:t>.</w:t>
            </w:r>
          </w:p>
        </w:tc>
      </w:tr>
      <w:tr w:rsidR="00CF6C8C" w:rsidRPr="007112DC" w14:paraId="14365B79" w14:textId="77777777" w:rsidTr="00EB0C04">
        <w:tc>
          <w:tcPr>
            <w:tcW w:w="4253" w:type="dxa"/>
            <w:tcBorders>
              <w:bottom w:val="single" w:sz="4" w:space="0" w:color="auto"/>
            </w:tcBorders>
          </w:tcPr>
          <w:p w14:paraId="3BC7F5DA" w14:textId="77777777" w:rsidR="00CF6C8C" w:rsidRPr="007112DC" w:rsidRDefault="00CF6C8C" w:rsidP="0098240B">
            <w:pPr>
              <w:autoSpaceDE w:val="0"/>
              <w:autoSpaceDN w:val="0"/>
              <w:adjustRightInd w:val="0"/>
              <w:rPr>
                <w:rFonts w:ascii="Arial" w:hAnsi="Arial" w:cs="Arial"/>
                <w:bCs/>
                <w:sz w:val="22"/>
                <w:szCs w:val="22"/>
              </w:rPr>
            </w:pPr>
            <w:r w:rsidRPr="007112DC">
              <w:rPr>
                <w:rFonts w:ascii="Arial" w:hAnsi="Arial" w:cs="Arial"/>
                <w:bCs/>
                <w:sz w:val="22"/>
                <w:szCs w:val="22"/>
              </w:rPr>
              <w:t>Consumption of any other food</w:t>
            </w:r>
          </w:p>
        </w:tc>
        <w:tc>
          <w:tcPr>
            <w:tcW w:w="4360" w:type="dxa"/>
            <w:tcBorders>
              <w:bottom w:val="single" w:sz="4" w:space="0" w:color="auto"/>
            </w:tcBorders>
          </w:tcPr>
          <w:p w14:paraId="012F7208" w14:textId="5345F903" w:rsidR="00CF6C8C" w:rsidRPr="00EB0C04" w:rsidRDefault="00CF6C8C" w:rsidP="00EB0C04">
            <w:pPr>
              <w:pStyle w:val="ListParagraph"/>
              <w:numPr>
                <w:ilvl w:val="0"/>
                <w:numId w:val="32"/>
              </w:numPr>
              <w:autoSpaceDE w:val="0"/>
              <w:autoSpaceDN w:val="0"/>
              <w:adjustRightInd w:val="0"/>
              <w:rPr>
                <w:rFonts w:ascii="Arial" w:hAnsi="Arial" w:cs="Arial"/>
                <w:bCs/>
              </w:rPr>
            </w:pPr>
            <w:r w:rsidRPr="00EB0C04">
              <w:rPr>
                <w:rFonts w:ascii="Arial" w:hAnsi="Arial" w:cs="Arial"/>
                <w:bCs/>
              </w:rPr>
              <w:t>Details of the food consumed</w:t>
            </w:r>
            <w:r w:rsidR="002605F8" w:rsidRPr="00EB0C04">
              <w:rPr>
                <w:rFonts w:ascii="Arial" w:hAnsi="Arial" w:cs="Arial"/>
                <w:bCs/>
              </w:rPr>
              <w:t>.</w:t>
            </w:r>
          </w:p>
        </w:tc>
      </w:tr>
      <w:tr w:rsidR="00CF6C8C" w:rsidRPr="007112DC" w14:paraId="6CA6F7AB" w14:textId="77777777" w:rsidTr="00EB0C04">
        <w:tc>
          <w:tcPr>
            <w:tcW w:w="4253" w:type="dxa"/>
            <w:tcBorders>
              <w:bottom w:val="nil"/>
            </w:tcBorders>
          </w:tcPr>
          <w:p w14:paraId="045FFE23" w14:textId="77777777" w:rsidR="00CF6C8C" w:rsidRPr="007112DC" w:rsidRDefault="00CF6C8C" w:rsidP="0098240B">
            <w:pPr>
              <w:autoSpaceDE w:val="0"/>
              <w:autoSpaceDN w:val="0"/>
              <w:adjustRightInd w:val="0"/>
              <w:rPr>
                <w:rFonts w:ascii="Arial" w:hAnsi="Arial" w:cs="Arial"/>
                <w:bCs/>
                <w:sz w:val="22"/>
                <w:szCs w:val="22"/>
              </w:rPr>
            </w:pPr>
            <w:r w:rsidRPr="007112DC">
              <w:rPr>
                <w:rFonts w:ascii="Arial" w:hAnsi="Arial" w:cs="Arial"/>
                <w:bCs/>
                <w:sz w:val="22"/>
                <w:szCs w:val="22"/>
              </w:rPr>
              <w:t>Drug</w:t>
            </w:r>
          </w:p>
        </w:tc>
        <w:tc>
          <w:tcPr>
            <w:tcW w:w="4360" w:type="dxa"/>
            <w:tcBorders>
              <w:bottom w:val="nil"/>
            </w:tcBorders>
          </w:tcPr>
          <w:p w14:paraId="71A54723" w14:textId="52383732" w:rsidR="00CF6C8C" w:rsidRPr="00EB0C04" w:rsidRDefault="00CF6C8C" w:rsidP="00EB0C04">
            <w:pPr>
              <w:pStyle w:val="ListParagraph"/>
              <w:numPr>
                <w:ilvl w:val="0"/>
                <w:numId w:val="32"/>
              </w:numPr>
              <w:autoSpaceDE w:val="0"/>
              <w:autoSpaceDN w:val="0"/>
              <w:adjustRightInd w:val="0"/>
              <w:rPr>
                <w:rFonts w:ascii="Arial" w:hAnsi="Arial" w:cs="Arial"/>
                <w:bCs/>
              </w:rPr>
            </w:pPr>
            <w:r w:rsidRPr="00EB0C04">
              <w:rPr>
                <w:rFonts w:ascii="Arial" w:hAnsi="Arial" w:cs="Arial"/>
                <w:bCs/>
              </w:rPr>
              <w:t>Type of drug</w:t>
            </w:r>
            <w:r w:rsidR="002605F8" w:rsidRPr="00EB0C04">
              <w:rPr>
                <w:rFonts w:ascii="Arial" w:hAnsi="Arial" w:cs="Arial"/>
                <w:bCs/>
              </w:rPr>
              <w:t>.</w:t>
            </w:r>
          </w:p>
        </w:tc>
      </w:tr>
      <w:tr w:rsidR="00CF6C8C" w:rsidRPr="007112DC" w14:paraId="79F0D0A1" w14:textId="77777777" w:rsidTr="00EB0C04">
        <w:tc>
          <w:tcPr>
            <w:tcW w:w="4253" w:type="dxa"/>
            <w:tcBorders>
              <w:top w:val="nil"/>
              <w:bottom w:val="single" w:sz="4" w:space="0" w:color="auto"/>
            </w:tcBorders>
          </w:tcPr>
          <w:p w14:paraId="5C785D92" w14:textId="77777777" w:rsidR="00CF6C8C" w:rsidRPr="007112DC" w:rsidRDefault="00CF6C8C" w:rsidP="0098240B">
            <w:pPr>
              <w:autoSpaceDE w:val="0"/>
              <w:autoSpaceDN w:val="0"/>
              <w:adjustRightInd w:val="0"/>
              <w:rPr>
                <w:rFonts w:ascii="Arial" w:hAnsi="Arial" w:cs="Arial"/>
                <w:bCs/>
                <w:sz w:val="22"/>
                <w:szCs w:val="22"/>
              </w:rPr>
            </w:pPr>
          </w:p>
        </w:tc>
        <w:tc>
          <w:tcPr>
            <w:tcW w:w="4360" w:type="dxa"/>
            <w:tcBorders>
              <w:top w:val="nil"/>
              <w:bottom w:val="single" w:sz="4" w:space="0" w:color="auto"/>
            </w:tcBorders>
          </w:tcPr>
          <w:p w14:paraId="10AA8D06" w14:textId="75B80367" w:rsidR="00CF6C8C" w:rsidRPr="00EB0C04" w:rsidRDefault="00CF6C8C" w:rsidP="00EB0C04">
            <w:pPr>
              <w:pStyle w:val="ListParagraph"/>
              <w:numPr>
                <w:ilvl w:val="0"/>
                <w:numId w:val="32"/>
              </w:numPr>
              <w:autoSpaceDE w:val="0"/>
              <w:autoSpaceDN w:val="0"/>
              <w:adjustRightInd w:val="0"/>
              <w:rPr>
                <w:rFonts w:ascii="Arial" w:hAnsi="Arial" w:cs="Arial"/>
                <w:bCs/>
              </w:rPr>
            </w:pPr>
            <w:r w:rsidRPr="00EB0C04">
              <w:rPr>
                <w:rFonts w:ascii="Arial" w:hAnsi="Arial" w:cs="Arial"/>
                <w:bCs/>
              </w:rPr>
              <w:t>Name of drug</w:t>
            </w:r>
            <w:r w:rsidR="002605F8" w:rsidRPr="00EB0C04">
              <w:rPr>
                <w:rFonts w:ascii="Arial" w:hAnsi="Arial" w:cs="Arial"/>
                <w:bCs/>
              </w:rPr>
              <w:t>.</w:t>
            </w:r>
          </w:p>
        </w:tc>
      </w:tr>
      <w:tr w:rsidR="00CF6C8C" w:rsidRPr="007112DC" w14:paraId="03E30348" w14:textId="77777777" w:rsidTr="00EB0C04">
        <w:tc>
          <w:tcPr>
            <w:tcW w:w="4253" w:type="dxa"/>
            <w:tcBorders>
              <w:bottom w:val="nil"/>
            </w:tcBorders>
          </w:tcPr>
          <w:p w14:paraId="2680AC32" w14:textId="77777777" w:rsidR="00CF6C8C" w:rsidRPr="007112DC" w:rsidRDefault="00CF6C8C" w:rsidP="0098240B">
            <w:pPr>
              <w:autoSpaceDE w:val="0"/>
              <w:autoSpaceDN w:val="0"/>
              <w:adjustRightInd w:val="0"/>
              <w:rPr>
                <w:rFonts w:ascii="Arial" w:hAnsi="Arial" w:cs="Arial"/>
                <w:bCs/>
                <w:sz w:val="22"/>
                <w:szCs w:val="22"/>
              </w:rPr>
            </w:pPr>
            <w:r w:rsidRPr="007112DC">
              <w:rPr>
                <w:rFonts w:ascii="Arial" w:hAnsi="Arial" w:cs="Arial"/>
                <w:bCs/>
                <w:sz w:val="22"/>
                <w:szCs w:val="22"/>
              </w:rPr>
              <w:t>Blood-derived products</w:t>
            </w:r>
          </w:p>
        </w:tc>
        <w:tc>
          <w:tcPr>
            <w:tcW w:w="4360" w:type="dxa"/>
            <w:tcBorders>
              <w:bottom w:val="nil"/>
            </w:tcBorders>
          </w:tcPr>
          <w:p w14:paraId="315ACFCF" w14:textId="30F3670C" w:rsidR="00CF6C8C" w:rsidRPr="00EB0C04" w:rsidRDefault="00CF6C8C" w:rsidP="00EB0C04">
            <w:pPr>
              <w:pStyle w:val="ListParagraph"/>
              <w:numPr>
                <w:ilvl w:val="0"/>
                <w:numId w:val="32"/>
              </w:numPr>
              <w:autoSpaceDE w:val="0"/>
              <w:autoSpaceDN w:val="0"/>
              <w:adjustRightInd w:val="0"/>
              <w:rPr>
                <w:rFonts w:ascii="Arial" w:hAnsi="Arial" w:cs="Arial"/>
                <w:bCs/>
              </w:rPr>
            </w:pPr>
            <w:r w:rsidRPr="00EB0C04">
              <w:rPr>
                <w:rFonts w:ascii="Arial" w:hAnsi="Arial" w:cs="Arial"/>
                <w:bCs/>
              </w:rPr>
              <w:t>Name of product</w:t>
            </w:r>
            <w:r w:rsidR="002605F8" w:rsidRPr="00EB0C04">
              <w:rPr>
                <w:rFonts w:ascii="Arial" w:hAnsi="Arial" w:cs="Arial"/>
                <w:bCs/>
              </w:rPr>
              <w:t>.</w:t>
            </w:r>
          </w:p>
        </w:tc>
      </w:tr>
      <w:tr w:rsidR="00CF6C8C" w:rsidRPr="007112DC" w14:paraId="1C38ADDA" w14:textId="77777777" w:rsidTr="00EB0C04">
        <w:tc>
          <w:tcPr>
            <w:tcW w:w="4253" w:type="dxa"/>
            <w:tcBorders>
              <w:top w:val="nil"/>
              <w:bottom w:val="single" w:sz="4" w:space="0" w:color="auto"/>
            </w:tcBorders>
          </w:tcPr>
          <w:p w14:paraId="370194C8" w14:textId="77777777" w:rsidR="00CF6C8C" w:rsidRPr="007112DC" w:rsidRDefault="00CF6C8C" w:rsidP="0098240B">
            <w:pPr>
              <w:autoSpaceDE w:val="0"/>
              <w:autoSpaceDN w:val="0"/>
              <w:adjustRightInd w:val="0"/>
              <w:rPr>
                <w:rFonts w:ascii="Arial" w:hAnsi="Arial" w:cs="Arial"/>
                <w:bCs/>
                <w:sz w:val="22"/>
                <w:szCs w:val="22"/>
              </w:rPr>
            </w:pPr>
          </w:p>
        </w:tc>
        <w:tc>
          <w:tcPr>
            <w:tcW w:w="4360" w:type="dxa"/>
            <w:tcBorders>
              <w:top w:val="nil"/>
              <w:bottom w:val="single" w:sz="4" w:space="0" w:color="auto"/>
            </w:tcBorders>
          </w:tcPr>
          <w:p w14:paraId="52B59C44" w14:textId="6238BD9A" w:rsidR="00CF6C8C" w:rsidRPr="00EB0C04" w:rsidRDefault="00CF6C8C" w:rsidP="00EB0C04">
            <w:pPr>
              <w:pStyle w:val="ListParagraph"/>
              <w:numPr>
                <w:ilvl w:val="0"/>
                <w:numId w:val="32"/>
              </w:numPr>
              <w:autoSpaceDE w:val="0"/>
              <w:autoSpaceDN w:val="0"/>
              <w:adjustRightInd w:val="0"/>
              <w:rPr>
                <w:rFonts w:ascii="Arial" w:hAnsi="Arial" w:cs="Arial"/>
                <w:bCs/>
              </w:rPr>
            </w:pPr>
            <w:r w:rsidRPr="00EB0C04">
              <w:rPr>
                <w:rFonts w:ascii="Arial" w:hAnsi="Arial" w:cs="Arial"/>
                <w:bCs/>
              </w:rPr>
              <w:t>Batch number</w:t>
            </w:r>
            <w:r w:rsidR="002605F8" w:rsidRPr="00EB0C04">
              <w:rPr>
                <w:rFonts w:ascii="Arial" w:hAnsi="Arial" w:cs="Arial"/>
                <w:bCs/>
              </w:rPr>
              <w:t>.</w:t>
            </w:r>
          </w:p>
        </w:tc>
      </w:tr>
      <w:tr w:rsidR="00CF6C8C" w:rsidRPr="007112DC" w14:paraId="2BE20CCC" w14:textId="77777777" w:rsidTr="00EB0C04">
        <w:tc>
          <w:tcPr>
            <w:tcW w:w="4253" w:type="dxa"/>
            <w:tcBorders>
              <w:bottom w:val="nil"/>
            </w:tcBorders>
          </w:tcPr>
          <w:p w14:paraId="4572532B" w14:textId="77777777" w:rsidR="00CF6C8C" w:rsidRPr="007112DC" w:rsidRDefault="00CF6C8C" w:rsidP="0098240B">
            <w:pPr>
              <w:autoSpaceDE w:val="0"/>
              <w:autoSpaceDN w:val="0"/>
              <w:adjustRightInd w:val="0"/>
              <w:rPr>
                <w:rFonts w:ascii="Arial" w:hAnsi="Arial" w:cs="Arial"/>
                <w:bCs/>
                <w:sz w:val="22"/>
                <w:szCs w:val="22"/>
              </w:rPr>
            </w:pPr>
            <w:r w:rsidRPr="007112DC">
              <w:rPr>
                <w:rFonts w:ascii="Arial" w:hAnsi="Arial" w:cs="Arial"/>
                <w:bCs/>
                <w:sz w:val="22"/>
                <w:szCs w:val="22"/>
              </w:rPr>
              <w:t>Vaccine</w:t>
            </w:r>
          </w:p>
        </w:tc>
        <w:tc>
          <w:tcPr>
            <w:tcW w:w="4360" w:type="dxa"/>
            <w:tcBorders>
              <w:bottom w:val="nil"/>
            </w:tcBorders>
          </w:tcPr>
          <w:p w14:paraId="4DED83B1" w14:textId="23C4BF49" w:rsidR="00CF6C8C" w:rsidRPr="00EB0C04" w:rsidRDefault="00CF6C8C" w:rsidP="00EB0C04">
            <w:pPr>
              <w:pStyle w:val="ListParagraph"/>
              <w:numPr>
                <w:ilvl w:val="0"/>
                <w:numId w:val="32"/>
              </w:numPr>
              <w:autoSpaceDE w:val="0"/>
              <w:autoSpaceDN w:val="0"/>
              <w:adjustRightInd w:val="0"/>
              <w:rPr>
                <w:rFonts w:ascii="Arial" w:hAnsi="Arial" w:cs="Arial"/>
                <w:bCs/>
              </w:rPr>
            </w:pPr>
            <w:r w:rsidRPr="00EB0C04">
              <w:rPr>
                <w:rFonts w:ascii="Arial" w:hAnsi="Arial" w:cs="Arial"/>
                <w:bCs/>
              </w:rPr>
              <w:t>Type of vaccine</w:t>
            </w:r>
            <w:r w:rsidR="002605F8" w:rsidRPr="00EB0C04">
              <w:rPr>
                <w:rFonts w:ascii="Arial" w:hAnsi="Arial" w:cs="Arial"/>
                <w:bCs/>
              </w:rPr>
              <w:t>.</w:t>
            </w:r>
          </w:p>
        </w:tc>
      </w:tr>
      <w:tr w:rsidR="00CF6C8C" w:rsidRPr="007112DC" w14:paraId="567DB9E7" w14:textId="77777777" w:rsidTr="00EB0C04">
        <w:tc>
          <w:tcPr>
            <w:tcW w:w="4253" w:type="dxa"/>
            <w:tcBorders>
              <w:top w:val="nil"/>
            </w:tcBorders>
          </w:tcPr>
          <w:p w14:paraId="1A11AC61" w14:textId="77777777" w:rsidR="00CF6C8C" w:rsidRPr="007112DC" w:rsidRDefault="00CF6C8C" w:rsidP="0098240B">
            <w:pPr>
              <w:autoSpaceDE w:val="0"/>
              <w:autoSpaceDN w:val="0"/>
              <w:adjustRightInd w:val="0"/>
              <w:rPr>
                <w:rFonts w:ascii="Arial" w:hAnsi="Arial" w:cs="Arial"/>
                <w:bCs/>
                <w:sz w:val="22"/>
                <w:szCs w:val="22"/>
              </w:rPr>
            </w:pPr>
          </w:p>
        </w:tc>
        <w:tc>
          <w:tcPr>
            <w:tcW w:w="4360" w:type="dxa"/>
            <w:tcBorders>
              <w:top w:val="nil"/>
            </w:tcBorders>
          </w:tcPr>
          <w:p w14:paraId="330EB68B" w14:textId="071E6FE7" w:rsidR="00CF6C8C" w:rsidRPr="00EB0C04" w:rsidRDefault="00CF6C8C" w:rsidP="00EB0C04">
            <w:pPr>
              <w:pStyle w:val="ListParagraph"/>
              <w:numPr>
                <w:ilvl w:val="0"/>
                <w:numId w:val="32"/>
              </w:numPr>
              <w:autoSpaceDE w:val="0"/>
              <w:autoSpaceDN w:val="0"/>
              <w:adjustRightInd w:val="0"/>
              <w:rPr>
                <w:rFonts w:ascii="Arial" w:hAnsi="Arial" w:cs="Arial"/>
                <w:bCs/>
              </w:rPr>
            </w:pPr>
            <w:r w:rsidRPr="00EB0C04">
              <w:rPr>
                <w:rFonts w:ascii="Arial" w:hAnsi="Arial" w:cs="Arial"/>
                <w:bCs/>
              </w:rPr>
              <w:t>Name of vaccine</w:t>
            </w:r>
            <w:r w:rsidR="002605F8" w:rsidRPr="00EB0C04">
              <w:rPr>
                <w:rFonts w:ascii="Arial" w:hAnsi="Arial" w:cs="Arial"/>
                <w:bCs/>
              </w:rPr>
              <w:t>.</w:t>
            </w:r>
          </w:p>
        </w:tc>
      </w:tr>
      <w:tr w:rsidR="00CF6C8C" w:rsidRPr="007112DC" w14:paraId="15D25767" w14:textId="77777777" w:rsidTr="00C36AEB">
        <w:tc>
          <w:tcPr>
            <w:tcW w:w="4253" w:type="dxa"/>
          </w:tcPr>
          <w:p w14:paraId="3051B0BB" w14:textId="77777777" w:rsidR="00CF6C8C" w:rsidRPr="007112DC" w:rsidRDefault="00CF6C8C" w:rsidP="0098240B">
            <w:pPr>
              <w:autoSpaceDE w:val="0"/>
              <w:autoSpaceDN w:val="0"/>
              <w:adjustRightInd w:val="0"/>
              <w:rPr>
                <w:rFonts w:ascii="Arial" w:hAnsi="Arial" w:cs="Arial"/>
                <w:bCs/>
                <w:sz w:val="22"/>
                <w:szCs w:val="22"/>
              </w:rPr>
            </w:pPr>
            <w:r w:rsidRPr="007112DC">
              <w:rPr>
                <w:rFonts w:ascii="Arial" w:hAnsi="Arial" w:cs="Arial"/>
                <w:bCs/>
                <w:sz w:val="22"/>
                <w:szCs w:val="22"/>
              </w:rPr>
              <w:t>Insect venom</w:t>
            </w:r>
          </w:p>
        </w:tc>
        <w:tc>
          <w:tcPr>
            <w:tcW w:w="4360" w:type="dxa"/>
          </w:tcPr>
          <w:p w14:paraId="48F5B94B" w14:textId="2B84ECA6" w:rsidR="00CF6C8C" w:rsidRPr="00EB0C04" w:rsidRDefault="00CF6C8C" w:rsidP="00EB0C04">
            <w:pPr>
              <w:pStyle w:val="ListParagraph"/>
              <w:numPr>
                <w:ilvl w:val="0"/>
                <w:numId w:val="32"/>
              </w:numPr>
              <w:autoSpaceDE w:val="0"/>
              <w:autoSpaceDN w:val="0"/>
              <w:adjustRightInd w:val="0"/>
              <w:rPr>
                <w:rFonts w:ascii="Arial" w:hAnsi="Arial" w:cs="Arial"/>
                <w:bCs/>
              </w:rPr>
            </w:pPr>
            <w:r w:rsidRPr="00EB0C04">
              <w:rPr>
                <w:rFonts w:ascii="Arial" w:hAnsi="Arial" w:cs="Arial"/>
                <w:bCs/>
              </w:rPr>
              <w:t>Type of insect</w:t>
            </w:r>
            <w:r w:rsidR="002605F8" w:rsidRPr="00EB0C04">
              <w:rPr>
                <w:rFonts w:ascii="Arial" w:hAnsi="Arial" w:cs="Arial"/>
                <w:bCs/>
              </w:rPr>
              <w:t>.</w:t>
            </w:r>
          </w:p>
        </w:tc>
      </w:tr>
      <w:tr w:rsidR="00CF6C8C" w:rsidRPr="007112DC" w14:paraId="3EDF36A6" w14:textId="77777777" w:rsidTr="00C36AEB">
        <w:tc>
          <w:tcPr>
            <w:tcW w:w="4253" w:type="dxa"/>
          </w:tcPr>
          <w:p w14:paraId="416FC623" w14:textId="77777777" w:rsidR="00CF6C8C" w:rsidRPr="007112DC" w:rsidRDefault="00CF6C8C" w:rsidP="0098240B">
            <w:pPr>
              <w:autoSpaceDE w:val="0"/>
              <w:autoSpaceDN w:val="0"/>
              <w:adjustRightInd w:val="0"/>
              <w:rPr>
                <w:rFonts w:ascii="Arial" w:hAnsi="Arial" w:cs="Arial"/>
                <w:bCs/>
                <w:sz w:val="22"/>
                <w:szCs w:val="22"/>
              </w:rPr>
            </w:pPr>
            <w:r w:rsidRPr="007112DC">
              <w:rPr>
                <w:rFonts w:ascii="Arial" w:hAnsi="Arial" w:cs="Arial"/>
                <w:bCs/>
                <w:sz w:val="22"/>
                <w:szCs w:val="22"/>
              </w:rPr>
              <w:t>Other</w:t>
            </w:r>
          </w:p>
        </w:tc>
        <w:tc>
          <w:tcPr>
            <w:tcW w:w="4360" w:type="dxa"/>
          </w:tcPr>
          <w:p w14:paraId="7810FDA2" w14:textId="0023744E" w:rsidR="00CF6C8C" w:rsidRPr="00EB0C04" w:rsidRDefault="00CF6C8C" w:rsidP="00EB0C04">
            <w:pPr>
              <w:pStyle w:val="ListParagraph"/>
              <w:numPr>
                <w:ilvl w:val="0"/>
                <w:numId w:val="32"/>
              </w:numPr>
              <w:autoSpaceDE w:val="0"/>
              <w:autoSpaceDN w:val="0"/>
              <w:adjustRightInd w:val="0"/>
              <w:rPr>
                <w:rFonts w:ascii="Arial" w:hAnsi="Arial" w:cs="Arial"/>
                <w:bCs/>
              </w:rPr>
            </w:pPr>
            <w:r w:rsidRPr="00EB0C04">
              <w:rPr>
                <w:rFonts w:ascii="Arial" w:hAnsi="Arial" w:cs="Arial"/>
                <w:bCs/>
              </w:rPr>
              <w:t>Details of the suspected cause of anaphylaxis</w:t>
            </w:r>
            <w:r w:rsidR="002605F8" w:rsidRPr="00EB0C04">
              <w:rPr>
                <w:rFonts w:ascii="Arial" w:hAnsi="Arial" w:cs="Arial"/>
                <w:bCs/>
              </w:rPr>
              <w:t>.</w:t>
            </w:r>
          </w:p>
        </w:tc>
      </w:tr>
      <w:tr w:rsidR="00CF6C8C" w:rsidRPr="007112DC" w14:paraId="4220179C" w14:textId="77777777" w:rsidTr="00C36AEB">
        <w:tc>
          <w:tcPr>
            <w:tcW w:w="4253" w:type="dxa"/>
          </w:tcPr>
          <w:p w14:paraId="14404F74" w14:textId="77777777" w:rsidR="00CF6C8C" w:rsidRPr="007112DC" w:rsidRDefault="00CF6C8C" w:rsidP="0098240B">
            <w:pPr>
              <w:autoSpaceDE w:val="0"/>
              <w:autoSpaceDN w:val="0"/>
              <w:adjustRightInd w:val="0"/>
              <w:rPr>
                <w:rFonts w:ascii="Arial" w:hAnsi="Arial" w:cs="Arial"/>
                <w:bCs/>
                <w:sz w:val="22"/>
                <w:szCs w:val="22"/>
              </w:rPr>
            </w:pPr>
            <w:r w:rsidRPr="007112DC">
              <w:rPr>
                <w:rFonts w:ascii="Arial" w:hAnsi="Arial" w:cs="Arial"/>
                <w:bCs/>
                <w:sz w:val="22"/>
                <w:szCs w:val="22"/>
              </w:rPr>
              <w:t>Unknown</w:t>
            </w:r>
          </w:p>
        </w:tc>
        <w:tc>
          <w:tcPr>
            <w:tcW w:w="4360" w:type="dxa"/>
          </w:tcPr>
          <w:p w14:paraId="0234E41F" w14:textId="4E609581" w:rsidR="00CF6C8C" w:rsidRPr="00EB0C04" w:rsidRDefault="00CF6C8C" w:rsidP="00EB0C04">
            <w:pPr>
              <w:pStyle w:val="ListParagraph"/>
              <w:numPr>
                <w:ilvl w:val="0"/>
                <w:numId w:val="32"/>
              </w:numPr>
              <w:autoSpaceDE w:val="0"/>
              <w:autoSpaceDN w:val="0"/>
              <w:adjustRightInd w:val="0"/>
              <w:rPr>
                <w:rFonts w:ascii="Arial" w:hAnsi="Arial" w:cs="Arial"/>
                <w:bCs/>
              </w:rPr>
            </w:pPr>
            <w:r w:rsidRPr="00EB0C04">
              <w:rPr>
                <w:rFonts w:ascii="Arial" w:hAnsi="Arial" w:cs="Arial"/>
                <w:bCs/>
              </w:rPr>
              <w:t>Any relevant details</w:t>
            </w:r>
            <w:r w:rsidR="002605F8" w:rsidRPr="00EB0C04">
              <w:rPr>
                <w:rFonts w:ascii="Arial" w:hAnsi="Arial" w:cs="Arial"/>
                <w:bCs/>
              </w:rPr>
              <w:t>.</w:t>
            </w:r>
          </w:p>
        </w:tc>
      </w:tr>
    </w:tbl>
    <w:p w14:paraId="643684CD" w14:textId="77777777" w:rsidR="00CF6C8C" w:rsidRPr="007112DC" w:rsidRDefault="00CF6C8C" w:rsidP="00CF6C8C">
      <w:pPr>
        <w:autoSpaceDE w:val="0"/>
        <w:autoSpaceDN w:val="0"/>
        <w:adjustRightInd w:val="0"/>
        <w:rPr>
          <w:rFonts w:ascii="Arial" w:hAnsi="Arial" w:cs="Arial"/>
          <w:b/>
          <w:bCs/>
          <w:sz w:val="22"/>
          <w:szCs w:val="22"/>
        </w:rPr>
      </w:pPr>
    </w:p>
    <w:p w14:paraId="521FCA3C" w14:textId="1DC2A390" w:rsidR="001F51BA" w:rsidRDefault="001F51BA" w:rsidP="00E04308">
      <w:pPr>
        <w:pStyle w:val="DHHSbody"/>
      </w:pPr>
    </w:p>
    <w:p w14:paraId="289E3EF5" w14:textId="77777777" w:rsidR="001F51BA" w:rsidRDefault="001F51BA">
      <w:pPr>
        <w:rPr>
          <w:rFonts w:ascii="Arial" w:eastAsia="Times" w:hAnsi="Arial"/>
        </w:rPr>
      </w:pPr>
      <w:r>
        <w:br w:type="page"/>
      </w:r>
    </w:p>
    <w:p w14:paraId="172DACF9" w14:textId="423E59DE" w:rsidR="00ED669C" w:rsidRDefault="00ED669C" w:rsidP="00E04308">
      <w:pPr>
        <w:pStyle w:val="Heading2"/>
      </w:pPr>
      <w:bookmarkStart w:id="35" w:name="_Toc11941621"/>
      <w:r>
        <w:lastRenderedPageBreak/>
        <w:t xml:space="preserve">Appendix </w:t>
      </w:r>
      <w:r w:rsidR="007B26FE">
        <w:t>3</w:t>
      </w:r>
      <w:r w:rsidR="0062060D">
        <w:t xml:space="preserve"> – S</w:t>
      </w:r>
      <w:r>
        <w:t>tatutory definitions of ‘food’ and ‘package’</w:t>
      </w:r>
      <w:bookmarkEnd w:id="35"/>
    </w:p>
    <w:p w14:paraId="4E519344" w14:textId="77777777" w:rsidR="00ED669C" w:rsidRDefault="00ED669C" w:rsidP="00E04308">
      <w:pPr>
        <w:pStyle w:val="DHHSbody"/>
      </w:pPr>
    </w:p>
    <w:p w14:paraId="2A8B6422" w14:textId="2618D3C0" w:rsidR="00ED669C" w:rsidRPr="0062060D" w:rsidRDefault="00ED669C" w:rsidP="00ED669C">
      <w:pPr>
        <w:pStyle w:val="DraftHeading1"/>
        <w:tabs>
          <w:tab w:val="right" w:pos="680"/>
        </w:tabs>
        <w:ind w:left="850" w:hanging="850"/>
        <w:rPr>
          <w:rFonts w:ascii="Arial" w:hAnsi="Arial" w:cs="Arial"/>
          <w:b w:val="0"/>
          <w:sz w:val="22"/>
          <w:szCs w:val="22"/>
        </w:rPr>
      </w:pPr>
      <w:bookmarkStart w:id="36" w:name="_Toc511891208"/>
      <w:r w:rsidRPr="004C3460">
        <w:rPr>
          <w:rFonts w:ascii="Arial" w:hAnsi="Arial" w:cs="Arial"/>
          <w:sz w:val="22"/>
          <w:szCs w:val="22"/>
        </w:rPr>
        <w:t>4A</w:t>
      </w:r>
      <w:r w:rsidR="000653B1">
        <w:rPr>
          <w:rFonts w:ascii="Arial" w:hAnsi="Arial" w:cs="Arial"/>
          <w:sz w:val="22"/>
          <w:szCs w:val="22"/>
        </w:rPr>
        <w:t xml:space="preserve"> </w:t>
      </w:r>
      <w:r w:rsidRPr="004C3460">
        <w:rPr>
          <w:rFonts w:ascii="Arial" w:hAnsi="Arial" w:cs="Arial"/>
          <w:sz w:val="22"/>
          <w:szCs w:val="22"/>
        </w:rPr>
        <w:t xml:space="preserve">Meaning of </w:t>
      </w:r>
      <w:r w:rsidRPr="004C3460">
        <w:rPr>
          <w:rFonts w:ascii="Arial" w:hAnsi="Arial" w:cs="Arial"/>
          <w:i/>
          <w:iCs/>
          <w:sz w:val="22"/>
          <w:szCs w:val="22"/>
        </w:rPr>
        <w:t>food</w:t>
      </w:r>
      <w:bookmarkEnd w:id="36"/>
      <w:r w:rsidR="0062060D">
        <w:rPr>
          <w:rFonts w:ascii="Arial" w:hAnsi="Arial" w:cs="Arial"/>
          <w:i/>
          <w:iCs/>
          <w:sz w:val="22"/>
          <w:szCs w:val="22"/>
        </w:rPr>
        <w:t xml:space="preserve"> </w:t>
      </w:r>
      <w:r w:rsidR="0062060D" w:rsidRPr="0062060D">
        <w:rPr>
          <w:rFonts w:ascii="Arial" w:hAnsi="Arial" w:cs="Arial"/>
          <w:b w:val="0"/>
          <w:iCs/>
          <w:sz w:val="22"/>
          <w:szCs w:val="22"/>
        </w:rPr>
        <w:t>(Victorian Food Act 1984</w:t>
      </w:r>
      <w:r w:rsidR="0062060D">
        <w:rPr>
          <w:rFonts w:ascii="Arial" w:hAnsi="Arial" w:cs="Arial"/>
          <w:b w:val="0"/>
          <w:iCs/>
          <w:sz w:val="22"/>
          <w:szCs w:val="22"/>
        </w:rPr>
        <w:t>)</w:t>
      </w:r>
    </w:p>
    <w:p w14:paraId="3EF6193F" w14:textId="77777777" w:rsidR="007C77AA" w:rsidRDefault="00ED669C" w:rsidP="007C77AA">
      <w:pPr>
        <w:pStyle w:val="DraftHeading1"/>
        <w:numPr>
          <w:ilvl w:val="0"/>
          <w:numId w:val="45"/>
        </w:numPr>
        <w:tabs>
          <w:tab w:val="right" w:pos="680"/>
        </w:tabs>
        <w:rPr>
          <w:rFonts w:ascii="Arial" w:hAnsi="Arial" w:cs="Arial"/>
          <w:b w:val="0"/>
          <w:sz w:val="22"/>
          <w:szCs w:val="22"/>
        </w:rPr>
      </w:pPr>
      <w:r w:rsidRPr="007C77AA">
        <w:rPr>
          <w:rFonts w:ascii="Arial" w:hAnsi="Arial" w:cs="Arial"/>
          <w:b w:val="0"/>
          <w:sz w:val="22"/>
          <w:szCs w:val="22"/>
        </w:rPr>
        <w:t xml:space="preserve">In this Act, </w:t>
      </w:r>
      <w:r w:rsidRPr="007C77AA">
        <w:rPr>
          <w:rFonts w:ascii="Arial" w:hAnsi="Arial" w:cs="Arial"/>
          <w:sz w:val="22"/>
          <w:szCs w:val="22"/>
        </w:rPr>
        <w:t>food</w:t>
      </w:r>
      <w:r w:rsidRPr="007C77AA">
        <w:rPr>
          <w:rFonts w:ascii="Arial" w:hAnsi="Arial" w:cs="Arial"/>
          <w:b w:val="0"/>
          <w:sz w:val="22"/>
          <w:szCs w:val="22"/>
        </w:rPr>
        <w:t xml:space="preserve"> includes—</w:t>
      </w:r>
    </w:p>
    <w:p w14:paraId="58891A8A" w14:textId="77777777" w:rsidR="007C77AA" w:rsidRDefault="00ED669C" w:rsidP="007C77AA">
      <w:pPr>
        <w:pStyle w:val="DraftHeading1"/>
        <w:numPr>
          <w:ilvl w:val="1"/>
          <w:numId w:val="45"/>
        </w:numPr>
        <w:tabs>
          <w:tab w:val="right" w:pos="680"/>
        </w:tabs>
        <w:rPr>
          <w:rFonts w:ascii="Arial" w:hAnsi="Arial" w:cs="Arial"/>
          <w:b w:val="0"/>
          <w:sz w:val="22"/>
          <w:szCs w:val="22"/>
        </w:rPr>
      </w:pPr>
      <w:r w:rsidRPr="007C77AA">
        <w:rPr>
          <w:rFonts w:ascii="Arial" w:hAnsi="Arial" w:cs="Arial"/>
          <w:b w:val="0"/>
          <w:sz w:val="22"/>
          <w:szCs w:val="22"/>
        </w:rPr>
        <w:t>any substance or thing of a kind used, or represented as being for use, for human consumption (whether it is live, raw, prepared or partly prepared);</w:t>
      </w:r>
    </w:p>
    <w:p w14:paraId="66CFF705" w14:textId="43E58E18" w:rsidR="00ED669C" w:rsidRPr="007C77AA" w:rsidRDefault="00ED669C" w:rsidP="007C77AA">
      <w:pPr>
        <w:pStyle w:val="DraftHeading1"/>
        <w:numPr>
          <w:ilvl w:val="1"/>
          <w:numId w:val="45"/>
        </w:numPr>
        <w:tabs>
          <w:tab w:val="right" w:pos="680"/>
        </w:tabs>
        <w:rPr>
          <w:rFonts w:ascii="Arial" w:hAnsi="Arial" w:cs="Arial"/>
          <w:b w:val="0"/>
          <w:sz w:val="22"/>
          <w:szCs w:val="22"/>
        </w:rPr>
      </w:pPr>
      <w:r w:rsidRPr="007C77AA">
        <w:rPr>
          <w:rFonts w:ascii="Arial" w:hAnsi="Arial" w:cs="Arial"/>
          <w:b w:val="0"/>
          <w:sz w:val="22"/>
          <w:szCs w:val="22"/>
        </w:rPr>
        <w:t>any substance or thing of a kind used, or represented as being for use, as an ingredient or additive in a substance or thing referred to in paragraph (a);</w:t>
      </w:r>
    </w:p>
    <w:p w14:paraId="53445721" w14:textId="18051657" w:rsidR="00ED669C" w:rsidRPr="007C77AA" w:rsidRDefault="00ED669C" w:rsidP="007C77AA">
      <w:pPr>
        <w:pStyle w:val="DraftHeading1"/>
        <w:numPr>
          <w:ilvl w:val="1"/>
          <w:numId w:val="45"/>
        </w:numPr>
        <w:tabs>
          <w:tab w:val="right" w:pos="680"/>
        </w:tabs>
        <w:rPr>
          <w:rFonts w:ascii="Arial" w:hAnsi="Arial" w:cs="Arial"/>
          <w:b w:val="0"/>
          <w:sz w:val="22"/>
          <w:szCs w:val="22"/>
        </w:rPr>
      </w:pPr>
      <w:r w:rsidRPr="007C77AA">
        <w:rPr>
          <w:rFonts w:ascii="Arial" w:hAnsi="Arial" w:cs="Arial"/>
          <w:b w:val="0"/>
          <w:sz w:val="22"/>
          <w:szCs w:val="22"/>
        </w:rPr>
        <w:t>any substance used in preparing a substance or thing referred to in paragraph (a) (other than a substance used in preparing a living thing) if it comes into direct contact with the substance or thing referred to in that paragraph, such as a processing aid;</w:t>
      </w:r>
    </w:p>
    <w:p w14:paraId="7FCF756F" w14:textId="4E5A734A" w:rsidR="00ED669C" w:rsidRPr="007C77AA" w:rsidRDefault="00ED669C" w:rsidP="007C77AA">
      <w:pPr>
        <w:pStyle w:val="DraftHeading1"/>
        <w:numPr>
          <w:ilvl w:val="1"/>
          <w:numId w:val="45"/>
        </w:numPr>
        <w:tabs>
          <w:tab w:val="right" w:pos="680"/>
        </w:tabs>
        <w:rPr>
          <w:rFonts w:ascii="Arial" w:hAnsi="Arial" w:cs="Arial"/>
          <w:b w:val="0"/>
          <w:sz w:val="22"/>
          <w:szCs w:val="22"/>
        </w:rPr>
      </w:pPr>
      <w:r w:rsidRPr="007C77AA">
        <w:rPr>
          <w:rFonts w:ascii="Arial" w:hAnsi="Arial" w:cs="Arial"/>
          <w:b w:val="0"/>
          <w:sz w:val="22"/>
          <w:szCs w:val="22"/>
        </w:rPr>
        <w:t>chewing gum or an ingredient or additive in chewing gum, or any substance used in preparing chewing gum;</w:t>
      </w:r>
    </w:p>
    <w:p w14:paraId="7C802735" w14:textId="77777777" w:rsidR="007C77AA" w:rsidRDefault="00ED669C" w:rsidP="007C77AA">
      <w:pPr>
        <w:pStyle w:val="DraftHeading1"/>
        <w:numPr>
          <w:ilvl w:val="1"/>
          <w:numId w:val="45"/>
        </w:numPr>
        <w:tabs>
          <w:tab w:val="right" w:pos="680"/>
        </w:tabs>
        <w:rPr>
          <w:rFonts w:ascii="Arial" w:hAnsi="Arial" w:cs="Arial"/>
          <w:b w:val="0"/>
          <w:sz w:val="22"/>
          <w:szCs w:val="22"/>
        </w:rPr>
      </w:pPr>
      <w:r w:rsidRPr="007C77AA">
        <w:rPr>
          <w:rFonts w:ascii="Arial" w:hAnsi="Arial" w:cs="Arial"/>
          <w:b w:val="0"/>
          <w:sz w:val="22"/>
          <w:szCs w:val="22"/>
        </w:rPr>
        <w:t>any substance or thing declared to be a food under a declaration in force under section 3B of the Australia New Zealand Food Authority Act 1991 of the Commonwealth.</w:t>
      </w:r>
    </w:p>
    <w:p w14:paraId="64C51BF9" w14:textId="77777777" w:rsidR="007C77AA" w:rsidRDefault="00ED669C" w:rsidP="007C77AA">
      <w:pPr>
        <w:pStyle w:val="DraftHeading1"/>
        <w:numPr>
          <w:ilvl w:val="0"/>
          <w:numId w:val="45"/>
        </w:numPr>
        <w:tabs>
          <w:tab w:val="right" w:pos="680"/>
        </w:tabs>
        <w:rPr>
          <w:rFonts w:ascii="Arial" w:hAnsi="Arial" w:cs="Arial"/>
          <w:b w:val="0"/>
          <w:sz w:val="22"/>
          <w:szCs w:val="22"/>
        </w:rPr>
      </w:pPr>
      <w:r w:rsidRPr="007C77AA">
        <w:rPr>
          <w:rFonts w:ascii="Arial" w:hAnsi="Arial" w:cs="Arial"/>
          <w:b w:val="0"/>
          <w:sz w:val="22"/>
          <w:szCs w:val="22"/>
        </w:rPr>
        <w:t>A substance, thing, chewing gum or ingredient or additive in chewing gum described in subsection (1) is food regardless of whether or not it is in a condition fit for human consumption.</w:t>
      </w:r>
    </w:p>
    <w:p w14:paraId="116FD527" w14:textId="65C229A9" w:rsidR="00ED669C" w:rsidRPr="007C77AA" w:rsidRDefault="00ED669C" w:rsidP="007C77AA">
      <w:pPr>
        <w:pStyle w:val="DraftHeading1"/>
        <w:tabs>
          <w:tab w:val="right" w:pos="680"/>
        </w:tabs>
        <w:ind w:left="720"/>
        <w:rPr>
          <w:rFonts w:ascii="Arial" w:hAnsi="Arial" w:cs="Arial"/>
          <w:b w:val="0"/>
          <w:sz w:val="22"/>
          <w:szCs w:val="22"/>
        </w:rPr>
      </w:pPr>
      <w:r w:rsidRPr="007C77AA">
        <w:rPr>
          <w:rFonts w:ascii="Arial" w:hAnsi="Arial" w:cs="Arial"/>
          <w:b w:val="0"/>
          <w:sz w:val="22"/>
          <w:szCs w:val="22"/>
        </w:rPr>
        <w:t>However, food does not include a therapeutic good.</w:t>
      </w:r>
    </w:p>
    <w:p w14:paraId="0A5104A0" w14:textId="677551CD" w:rsidR="00ED669C" w:rsidRPr="007C77AA" w:rsidRDefault="00ED669C" w:rsidP="007C77AA">
      <w:pPr>
        <w:pStyle w:val="DraftHeading1"/>
        <w:tabs>
          <w:tab w:val="right" w:pos="680"/>
        </w:tabs>
        <w:ind w:left="720"/>
        <w:rPr>
          <w:rFonts w:ascii="Arial" w:hAnsi="Arial" w:cs="Arial"/>
          <w:b w:val="0"/>
          <w:sz w:val="22"/>
          <w:szCs w:val="22"/>
        </w:rPr>
      </w:pPr>
      <w:r w:rsidRPr="007C77AA">
        <w:rPr>
          <w:rFonts w:ascii="Arial" w:hAnsi="Arial" w:cs="Arial"/>
          <w:b w:val="0"/>
          <w:sz w:val="22"/>
          <w:szCs w:val="22"/>
        </w:rPr>
        <w:t>To avoid doubt, food may include live animals and plants.</w:t>
      </w:r>
    </w:p>
    <w:p w14:paraId="612B1E3A" w14:textId="77777777" w:rsidR="00ED669C" w:rsidRPr="004C3460" w:rsidRDefault="00ED669C" w:rsidP="007C77AA">
      <w:pPr>
        <w:pStyle w:val="DHHSbody"/>
        <w:rPr>
          <w:rFonts w:cs="Arial"/>
        </w:rPr>
      </w:pPr>
    </w:p>
    <w:p w14:paraId="4E338870" w14:textId="2F8B624D" w:rsidR="00ED669C" w:rsidRPr="004C3460" w:rsidRDefault="007C77AA" w:rsidP="007C77AA">
      <w:pPr>
        <w:autoSpaceDE w:val="0"/>
        <w:autoSpaceDN w:val="0"/>
        <w:adjustRightInd w:val="0"/>
        <w:rPr>
          <w:rFonts w:ascii="Arial" w:hAnsi="Arial" w:cs="Arial"/>
          <w:sz w:val="22"/>
          <w:szCs w:val="22"/>
        </w:rPr>
      </w:pPr>
      <w:r>
        <w:rPr>
          <w:rFonts w:ascii="Arial" w:hAnsi="Arial" w:cs="Arial"/>
          <w:b/>
          <w:sz w:val="22"/>
          <w:szCs w:val="22"/>
        </w:rPr>
        <w:t>P</w:t>
      </w:r>
      <w:r w:rsidR="00ED669C" w:rsidRPr="00BD4B1A">
        <w:rPr>
          <w:rFonts w:ascii="Arial" w:hAnsi="Arial" w:cs="Arial"/>
          <w:b/>
          <w:sz w:val="22"/>
          <w:szCs w:val="22"/>
        </w:rPr>
        <w:t>ackage</w:t>
      </w:r>
      <w:r w:rsidR="00ED669C" w:rsidRPr="00BD4B1A">
        <w:rPr>
          <w:rFonts w:ascii="Arial" w:hAnsi="Arial" w:cs="Arial"/>
          <w:sz w:val="22"/>
          <w:szCs w:val="22"/>
        </w:rPr>
        <w:t xml:space="preserve"> </w:t>
      </w:r>
      <w:r w:rsidR="00ED669C" w:rsidRPr="004C3460">
        <w:rPr>
          <w:rFonts w:ascii="Arial" w:hAnsi="Arial" w:cs="Arial"/>
          <w:sz w:val="22"/>
          <w:szCs w:val="22"/>
        </w:rPr>
        <w:t xml:space="preserve">includes any container or wrapper in or </w:t>
      </w:r>
      <w:r w:rsidR="00BD4B1A">
        <w:rPr>
          <w:rFonts w:ascii="Arial" w:hAnsi="Arial" w:cs="Arial"/>
          <w:sz w:val="22"/>
          <w:szCs w:val="22"/>
        </w:rPr>
        <w:t>by which food intended for sale</w:t>
      </w:r>
      <w:r>
        <w:rPr>
          <w:rFonts w:ascii="Arial" w:hAnsi="Arial" w:cs="Arial"/>
          <w:sz w:val="22"/>
          <w:szCs w:val="22"/>
        </w:rPr>
        <w:t xml:space="preserve"> </w:t>
      </w:r>
      <w:r w:rsidR="00ED669C" w:rsidRPr="004C3460">
        <w:rPr>
          <w:rFonts w:ascii="Arial" w:hAnsi="Arial" w:cs="Arial"/>
          <w:sz w:val="22"/>
          <w:szCs w:val="22"/>
        </w:rPr>
        <w:t>is wholly or partly encased, covered, enclosed, contained or packed and, in the case of food carried or sold or intended to be carried or sold in more than one package, includes every such package;</w:t>
      </w:r>
    </w:p>
    <w:p w14:paraId="2A0603B6" w14:textId="77777777" w:rsidR="00ED669C" w:rsidRPr="004C3460" w:rsidRDefault="00ED669C" w:rsidP="007C77AA">
      <w:pPr>
        <w:pStyle w:val="DHHSbody"/>
        <w:rPr>
          <w:rFonts w:cs="Arial"/>
        </w:rPr>
      </w:pPr>
    </w:p>
    <w:p w14:paraId="43C91A7C" w14:textId="77777777" w:rsidR="00ED669C" w:rsidRDefault="00ED669C">
      <w:pPr>
        <w:rPr>
          <w:rFonts w:ascii="Arial" w:eastAsia="Times" w:hAnsi="Arial"/>
        </w:rPr>
      </w:pPr>
      <w:r>
        <w:br w:type="page"/>
      </w:r>
    </w:p>
    <w:p w14:paraId="5D9C3B7A" w14:textId="03B92E5A" w:rsidR="00316A44" w:rsidRPr="00C65C19" w:rsidRDefault="00F93F58" w:rsidP="00C65C19">
      <w:pPr>
        <w:pStyle w:val="Heading2"/>
      </w:pPr>
      <w:bookmarkStart w:id="37" w:name="_Toc11941622"/>
      <w:r>
        <w:lastRenderedPageBreak/>
        <w:t xml:space="preserve">Appendix </w:t>
      </w:r>
      <w:r w:rsidR="007B26FE">
        <w:t>4</w:t>
      </w:r>
      <w:r w:rsidR="00C65C19">
        <w:t xml:space="preserve"> –</w:t>
      </w:r>
      <w:r w:rsidR="00752A0D">
        <w:t xml:space="preserve"> </w:t>
      </w:r>
      <w:r w:rsidR="007B26FE">
        <w:t>Questions and answers</w:t>
      </w:r>
      <w:bookmarkEnd w:id="37"/>
      <w:r w:rsidR="00B75770">
        <w:t xml:space="preserve"> </w:t>
      </w:r>
    </w:p>
    <w:p w14:paraId="7F906C75" w14:textId="77777777" w:rsidR="00C36D75" w:rsidRPr="00FE738B" w:rsidRDefault="00C36D75" w:rsidP="00D91F6D">
      <w:pPr>
        <w:pStyle w:val="Heading3"/>
      </w:pPr>
      <w:bookmarkStart w:id="38" w:name="_Hlk7785017"/>
      <w:r w:rsidRPr="00FE738B">
        <w:t xml:space="preserve">Do I notify anaphylaxis to food only or other allergens as well? </w:t>
      </w:r>
    </w:p>
    <w:p w14:paraId="3733D9E7" w14:textId="7F000122" w:rsidR="008C08D9" w:rsidRPr="002C299D" w:rsidRDefault="008C08D9" w:rsidP="00BD4B1A">
      <w:pPr>
        <w:pStyle w:val="DHHSbullet1"/>
        <w:numPr>
          <w:ilvl w:val="0"/>
          <w:numId w:val="0"/>
        </w:numPr>
      </w:pPr>
      <w:r w:rsidRPr="002C299D">
        <w:t>Yes, you are required to notify all confirmed cases of a</w:t>
      </w:r>
      <w:r w:rsidR="00C36D75" w:rsidRPr="002C299D">
        <w:t xml:space="preserve">naphylaxis to </w:t>
      </w:r>
      <w:r w:rsidR="00C36D75" w:rsidRPr="00C65C19">
        <w:rPr>
          <w:b/>
        </w:rPr>
        <w:t>all</w:t>
      </w:r>
      <w:r w:rsidR="00C36D75" w:rsidRPr="002C299D">
        <w:t xml:space="preserve"> allergens</w:t>
      </w:r>
      <w:r w:rsidR="00BD4B1A">
        <w:t>.</w:t>
      </w:r>
      <w:r w:rsidR="009B3671">
        <w:t xml:space="preserve"> </w:t>
      </w:r>
    </w:p>
    <w:p w14:paraId="6C7B3A0B" w14:textId="77777777" w:rsidR="00C36D75" w:rsidRPr="008C08D9" w:rsidRDefault="00C36D75" w:rsidP="00D91F6D">
      <w:pPr>
        <w:pStyle w:val="Heading3"/>
      </w:pPr>
      <w:r w:rsidRPr="008C08D9">
        <w:t>What if I’m not sure what caused the anaphylaxis or there were several possibilities?</w:t>
      </w:r>
    </w:p>
    <w:p w14:paraId="4E6EA0F8" w14:textId="6B0A4178" w:rsidR="00C36D75" w:rsidRPr="009E3A54" w:rsidRDefault="00C36D75" w:rsidP="00D91F6D">
      <w:pPr>
        <w:pStyle w:val="DHHSbullet1"/>
      </w:pPr>
      <w:r w:rsidRPr="009E3A54">
        <w:t xml:space="preserve">You are </w:t>
      </w:r>
      <w:r w:rsidR="00661380">
        <w:t xml:space="preserve">still </w:t>
      </w:r>
      <w:r w:rsidRPr="009E3A54">
        <w:t>required to notify</w:t>
      </w:r>
      <w:r w:rsidR="0062060D">
        <w:t xml:space="preserve"> all cases of</w:t>
      </w:r>
      <w:r w:rsidRPr="009E3A54">
        <w:t xml:space="preserve"> anaphylaxis</w:t>
      </w:r>
      <w:r w:rsidR="0062060D">
        <w:t>, whether</w:t>
      </w:r>
      <w:r w:rsidRPr="009E3A54">
        <w:t xml:space="preserve"> due to known and unknown allergens.</w:t>
      </w:r>
      <w:r w:rsidR="008C08D9">
        <w:t xml:space="preserve"> </w:t>
      </w:r>
    </w:p>
    <w:p w14:paraId="0C8C79AF" w14:textId="502129B6" w:rsidR="00C36D75" w:rsidRDefault="008C08D9" w:rsidP="00D91F6D">
      <w:pPr>
        <w:pStyle w:val="DHHSbullet1lastline"/>
      </w:pPr>
      <w:r w:rsidRPr="008C08D9">
        <w:t>Please provide as much information as possible to help us make a risk assessment and take any necessary public health action.</w:t>
      </w:r>
    </w:p>
    <w:p w14:paraId="0424F7A2" w14:textId="5220933A" w:rsidR="00C36D75" w:rsidRPr="009E3A54" w:rsidRDefault="00C36D75" w:rsidP="00D91F6D">
      <w:pPr>
        <w:pStyle w:val="Heading3"/>
      </w:pPr>
      <w:r w:rsidRPr="009E3A54">
        <w:t>My patient received adrenaline prior to arriving at hospital and now has mild symptoms</w:t>
      </w:r>
      <w:r w:rsidR="002C299D">
        <w:t>,</w:t>
      </w:r>
      <w:r w:rsidRPr="009E3A54">
        <w:t xml:space="preserve"> </w:t>
      </w:r>
      <w:r w:rsidR="002C299D">
        <w:t>so</w:t>
      </w:r>
      <w:r w:rsidRPr="009E3A54">
        <w:t xml:space="preserve"> does not meet all the criteria for the clinical definition of anaphylaxis, do I still notify?</w:t>
      </w:r>
    </w:p>
    <w:p w14:paraId="46BD0BD6" w14:textId="2A3EFBDB" w:rsidR="002C299D" w:rsidRDefault="00C36D75" w:rsidP="00BD4B1A">
      <w:pPr>
        <w:pStyle w:val="DHHSbullet1"/>
        <w:numPr>
          <w:ilvl w:val="0"/>
          <w:numId w:val="0"/>
        </w:numPr>
      </w:pPr>
      <w:r w:rsidRPr="009E3A54">
        <w:t>Yes,</w:t>
      </w:r>
      <w:r w:rsidR="00362284">
        <w:t xml:space="preserve"> notify the case. For the purposes of this scheme,</w:t>
      </w:r>
      <w:r w:rsidRPr="009E3A54">
        <w:t xml:space="preserve"> </w:t>
      </w:r>
      <w:r w:rsidR="002C299D">
        <w:t>a case is considered confirmed even if one or more symptoms have resolved</w:t>
      </w:r>
      <w:r w:rsidRPr="009E3A54">
        <w:t>.</w:t>
      </w:r>
      <w:r w:rsidR="007105BD">
        <w:t xml:space="preserve"> </w:t>
      </w:r>
    </w:p>
    <w:p w14:paraId="378BA7D0" w14:textId="484B8663" w:rsidR="00CE3E1E" w:rsidRDefault="00CE3E1E" w:rsidP="00D91F6D">
      <w:pPr>
        <w:pStyle w:val="Heading3"/>
        <w:rPr>
          <w:lang w:val="en"/>
        </w:rPr>
      </w:pPr>
      <w:r>
        <w:rPr>
          <w:lang w:val="en"/>
        </w:rPr>
        <w:t>My patient</w:t>
      </w:r>
      <w:r w:rsidR="007E59BA">
        <w:rPr>
          <w:lang w:val="en"/>
        </w:rPr>
        <w:t xml:space="preserve"> has </w:t>
      </w:r>
      <w:r w:rsidR="0016615D">
        <w:rPr>
          <w:lang w:val="en"/>
        </w:rPr>
        <w:t xml:space="preserve">had </w:t>
      </w:r>
      <w:r w:rsidR="007E59BA">
        <w:rPr>
          <w:lang w:val="en"/>
        </w:rPr>
        <w:t xml:space="preserve">an allergic reaction, but </w:t>
      </w:r>
      <w:r w:rsidR="00C65C19">
        <w:rPr>
          <w:lang w:val="en"/>
        </w:rPr>
        <w:t>not anaphylaxis.</w:t>
      </w:r>
      <w:r w:rsidR="007E59BA">
        <w:rPr>
          <w:lang w:val="en"/>
        </w:rPr>
        <w:t xml:space="preserve"> Should I notify?</w:t>
      </w:r>
    </w:p>
    <w:p w14:paraId="2A243084" w14:textId="170391C8" w:rsidR="00E06A95" w:rsidRPr="007E59BA" w:rsidRDefault="0016615D" w:rsidP="00BD4B1A">
      <w:pPr>
        <w:pStyle w:val="DHHSbullet1"/>
        <w:numPr>
          <w:ilvl w:val="0"/>
          <w:numId w:val="0"/>
        </w:numPr>
      </w:pPr>
      <w:r>
        <w:t>There is no legal obligation to notify in this situation, h</w:t>
      </w:r>
      <w:r w:rsidR="00E06A95">
        <w:t xml:space="preserve">owever, if you think the cause of the allergic reaction may be </w:t>
      </w:r>
      <w:r>
        <w:t>(</w:t>
      </w:r>
      <w:r w:rsidR="00E06A95">
        <w:t>mislabelled</w:t>
      </w:r>
      <w:r>
        <w:t>)</w:t>
      </w:r>
      <w:r w:rsidR="00E06A95">
        <w:t xml:space="preserve"> packaged food</w:t>
      </w:r>
      <w:r w:rsidR="000653B1">
        <w:t xml:space="preserve"> or mishandling (e.g. cross-contamination) at a food premises such as a restaurant or child care centre,</w:t>
      </w:r>
      <w:r w:rsidR="00E06A95">
        <w:t xml:space="preserve"> please report the matter </w:t>
      </w:r>
      <w:r w:rsidR="000653B1">
        <w:t xml:space="preserve">for investigation </w:t>
      </w:r>
      <w:r w:rsidR="00E06A95">
        <w:t xml:space="preserve">to the Food Safety Unit at </w:t>
      </w:r>
      <w:hyperlink r:id="rId28" w:history="1">
        <w:r w:rsidR="00E06A95" w:rsidRPr="0016615D">
          <w:rPr>
            <w:rStyle w:val="Hyperlink"/>
            <w:rFonts w:eastAsiaTheme="minorHAnsi" w:cs="Arial"/>
          </w:rPr>
          <w:t>foodsafety@dhhs.vic.gov.au</w:t>
        </w:r>
      </w:hyperlink>
      <w:r w:rsidR="00C65C19">
        <w:t xml:space="preserve"> or 1300 364 </w:t>
      </w:r>
      <w:r w:rsidR="00E06A95">
        <w:t>352.</w:t>
      </w:r>
    </w:p>
    <w:p w14:paraId="53B83D44" w14:textId="76D0059A" w:rsidR="00316A44" w:rsidRPr="000A178B" w:rsidRDefault="00316A44" w:rsidP="00D91F6D">
      <w:pPr>
        <w:pStyle w:val="Heading3"/>
        <w:rPr>
          <w:lang w:val="en"/>
        </w:rPr>
      </w:pPr>
      <w:r w:rsidRPr="000A178B">
        <w:t xml:space="preserve">What if my patient developed anaphylaxis on the ward while an inpatient </w:t>
      </w:r>
      <w:r w:rsidR="00C36D75" w:rsidRPr="000A178B">
        <w:t xml:space="preserve">and </w:t>
      </w:r>
      <w:r w:rsidR="000A178B">
        <w:t>was sent to ED for observation, assessment or treatment</w:t>
      </w:r>
      <w:r w:rsidRPr="000A178B">
        <w:t>, do I notify then?</w:t>
      </w:r>
    </w:p>
    <w:p w14:paraId="5E134560" w14:textId="2A5641C5" w:rsidR="00316A44" w:rsidRPr="009E3A54" w:rsidRDefault="00316A44" w:rsidP="00BD4B1A">
      <w:pPr>
        <w:pStyle w:val="DHHSbullet1"/>
        <w:numPr>
          <w:ilvl w:val="0"/>
          <w:numId w:val="0"/>
        </w:numPr>
      </w:pPr>
      <w:r w:rsidRPr="009E3A54">
        <w:t>Yes, if a patient is sent to ED</w:t>
      </w:r>
      <w:r w:rsidR="0016615D">
        <w:t>,</w:t>
      </w:r>
      <w:r w:rsidRPr="009E3A54">
        <w:t xml:space="preserve"> even from within the hospital,</w:t>
      </w:r>
      <w:r w:rsidR="000A178B">
        <w:t xml:space="preserve"> for </w:t>
      </w:r>
      <w:r w:rsidRPr="009E3A54">
        <w:t>treatment of anaphylaxis</w:t>
      </w:r>
      <w:r w:rsidR="000A178B">
        <w:t>,</w:t>
      </w:r>
      <w:r w:rsidRPr="009E3A54">
        <w:t xml:space="preserve"> you should notify</w:t>
      </w:r>
      <w:r w:rsidR="00C65C19">
        <w:t>.</w:t>
      </w:r>
    </w:p>
    <w:p w14:paraId="112115FE" w14:textId="4E165912" w:rsidR="00316A44" w:rsidRPr="000A178B" w:rsidRDefault="00316A44" w:rsidP="00D91F6D">
      <w:pPr>
        <w:pStyle w:val="Heading3"/>
      </w:pPr>
      <w:r w:rsidRPr="000A178B">
        <w:t>What about patients who present to outpatients for follow up and testing for allergies and anaphylaxis, do I notify those?</w:t>
      </w:r>
    </w:p>
    <w:p w14:paraId="567389EE" w14:textId="72344FD6" w:rsidR="00C65C19" w:rsidRDefault="0016615D" w:rsidP="00D91F6D">
      <w:pPr>
        <w:pStyle w:val="DHHSbullet1"/>
      </w:pPr>
      <w:r>
        <w:t>There is no legal obligation to notify in this situation, as</w:t>
      </w:r>
      <w:r w:rsidR="00316A44" w:rsidRPr="009E3A54">
        <w:t xml:space="preserve"> only </w:t>
      </w:r>
      <w:r>
        <w:t xml:space="preserve">presentations </w:t>
      </w:r>
      <w:r w:rsidR="00C65C19">
        <w:t>in the acute setting</w:t>
      </w:r>
      <w:r w:rsidR="00316A44" w:rsidRPr="009E3A54">
        <w:t xml:space="preserve"> </w:t>
      </w:r>
      <w:r w:rsidR="00C65C19">
        <w:t>(</w:t>
      </w:r>
      <w:r w:rsidR="00316A44" w:rsidRPr="009E3A54">
        <w:t>e</w:t>
      </w:r>
      <w:r w:rsidR="00C65C19">
        <w:t>.</w:t>
      </w:r>
      <w:r w:rsidR="00316A44" w:rsidRPr="009E3A54">
        <w:t>g. emergency departments</w:t>
      </w:r>
      <w:r w:rsidR="00C65C19">
        <w:t>)</w:t>
      </w:r>
      <w:r w:rsidR="00316A44" w:rsidRPr="009E3A54">
        <w:t xml:space="preserve"> </w:t>
      </w:r>
      <w:r w:rsidR="00C65C19">
        <w:t>need to be notified.</w:t>
      </w:r>
      <w:r w:rsidR="00316A44" w:rsidRPr="009E3A54">
        <w:t xml:space="preserve"> </w:t>
      </w:r>
    </w:p>
    <w:p w14:paraId="3D556593" w14:textId="0B9BE6FC" w:rsidR="00316A44" w:rsidRDefault="00316A44" w:rsidP="00D91F6D">
      <w:pPr>
        <w:pStyle w:val="DHHSbullet1"/>
      </w:pPr>
      <w:r w:rsidRPr="009E3A54">
        <w:t>If</w:t>
      </w:r>
      <w:r w:rsidR="0016615D">
        <w:t>,</w:t>
      </w:r>
      <w:r w:rsidRPr="009E3A54">
        <w:t xml:space="preserve"> however</w:t>
      </w:r>
      <w:r w:rsidR="0016615D">
        <w:t>,</w:t>
      </w:r>
      <w:r w:rsidRPr="009E3A54">
        <w:t xml:space="preserve"> th</w:t>
      </w:r>
      <w:r w:rsidR="0016615D">
        <w:t>e</w:t>
      </w:r>
      <w:r w:rsidRPr="009E3A54">
        <w:t xml:space="preserve"> patient develops anaphylaxis whil</w:t>
      </w:r>
      <w:r w:rsidR="0016615D">
        <w:t>st</w:t>
      </w:r>
      <w:r w:rsidRPr="009E3A54">
        <w:t xml:space="preserve"> in clinic and is then sent to the </w:t>
      </w:r>
      <w:r w:rsidR="0016615D">
        <w:t>ED fo</w:t>
      </w:r>
      <w:r w:rsidRPr="000A178B">
        <w:t>r treatment</w:t>
      </w:r>
      <w:r w:rsidR="00C65C19">
        <w:t>,</w:t>
      </w:r>
      <w:r w:rsidRPr="000A178B">
        <w:t xml:space="preserve"> you should notify.</w:t>
      </w:r>
    </w:p>
    <w:p w14:paraId="55DFD537" w14:textId="6390D2B7" w:rsidR="00C36D75" w:rsidRPr="004737C1" w:rsidRDefault="00C36D75" w:rsidP="00D91F6D">
      <w:pPr>
        <w:pStyle w:val="Heading3"/>
      </w:pPr>
      <w:r w:rsidRPr="004737C1">
        <w:t xml:space="preserve">Do I </w:t>
      </w:r>
      <w:r w:rsidR="0016615D">
        <w:t xml:space="preserve">only have to </w:t>
      </w:r>
      <w:r w:rsidRPr="004737C1">
        <w:t xml:space="preserve">notify people who have a previous history of anaphylaxis (known anaphylaxis) or </w:t>
      </w:r>
      <w:r w:rsidR="0016615D">
        <w:t>those presenting with anaphylaxis for the first time</w:t>
      </w:r>
      <w:r w:rsidRPr="004737C1">
        <w:t>?</w:t>
      </w:r>
    </w:p>
    <w:p w14:paraId="07038BB5" w14:textId="4DF99218" w:rsidR="00C36D75" w:rsidRPr="009E3A54" w:rsidRDefault="00C36D75" w:rsidP="00BD4B1A">
      <w:pPr>
        <w:pStyle w:val="DHHSbullet1"/>
        <w:numPr>
          <w:ilvl w:val="0"/>
          <w:numId w:val="0"/>
        </w:numPr>
      </w:pPr>
      <w:r w:rsidRPr="009E3A54">
        <w:t>All indi</w:t>
      </w:r>
      <w:r w:rsidR="007105BD">
        <w:t xml:space="preserve">viduals presenting to hospital </w:t>
      </w:r>
      <w:r w:rsidRPr="009E3A54">
        <w:t xml:space="preserve">with anaphylaxis symptoms should be notified whether they have </w:t>
      </w:r>
      <w:r w:rsidR="00A7224D" w:rsidRPr="009E3A54">
        <w:t>a history</w:t>
      </w:r>
      <w:r w:rsidRPr="009E3A54">
        <w:t xml:space="preserve"> of anaphylaxis or have developed anaphylaxis for the first time.</w:t>
      </w:r>
    </w:p>
    <w:p w14:paraId="78842CAA" w14:textId="77777777" w:rsidR="0016615D" w:rsidRDefault="0016615D">
      <w:pPr>
        <w:rPr>
          <w:rFonts w:ascii="Arial" w:eastAsia="MS Gothic" w:hAnsi="Arial"/>
          <w:b/>
          <w:bCs/>
          <w:sz w:val="24"/>
          <w:szCs w:val="26"/>
        </w:rPr>
      </w:pPr>
      <w:r>
        <w:br w:type="page"/>
      </w:r>
    </w:p>
    <w:p w14:paraId="55E91F98" w14:textId="1A679E1C" w:rsidR="004C3460" w:rsidRDefault="004C3460" w:rsidP="00D91F6D">
      <w:pPr>
        <w:pStyle w:val="Heading3"/>
      </w:pPr>
      <w:r>
        <w:lastRenderedPageBreak/>
        <w:t>Should I still notify TGA for anaphylaxis due to drugs, pharmaceuticals or blood and blood-derived products?  What about SAEFVIC for vaccine</w:t>
      </w:r>
      <w:r w:rsidR="0014129D">
        <w:t xml:space="preserve"> </w:t>
      </w:r>
      <w:r>
        <w:t>attributable anaphylaxis?</w:t>
      </w:r>
    </w:p>
    <w:p w14:paraId="1F9B43FB" w14:textId="3C6122FC" w:rsidR="004C3460" w:rsidRPr="004C3460" w:rsidRDefault="004C3460" w:rsidP="00BD4B1A">
      <w:pPr>
        <w:pStyle w:val="DHHSbullet1"/>
        <w:numPr>
          <w:ilvl w:val="0"/>
          <w:numId w:val="0"/>
        </w:numPr>
      </w:pPr>
      <w:r w:rsidRPr="004C3460">
        <w:t xml:space="preserve">Yes, please continue to notify through these routes to ensure the organisations with responsibility in this area are aware and can take </w:t>
      </w:r>
      <w:r w:rsidR="0016615D">
        <w:t xml:space="preserve">any </w:t>
      </w:r>
      <w:r w:rsidRPr="004C3460">
        <w:t>action, as necessary.</w:t>
      </w:r>
    </w:p>
    <w:bookmarkEnd w:id="38"/>
    <w:p w14:paraId="0A906496" w14:textId="30109617" w:rsidR="00144D44" w:rsidRPr="00D91F6D" w:rsidRDefault="002C6F06" w:rsidP="00D91F6D">
      <w:pPr>
        <w:pStyle w:val="Heading3"/>
        <w:rPr>
          <w:u w:val="single"/>
        </w:rPr>
      </w:pPr>
      <w:r>
        <w:t>What if I have more questions?</w:t>
      </w:r>
    </w:p>
    <w:p w14:paraId="13832277" w14:textId="12D37090" w:rsidR="00144D44" w:rsidRDefault="002C6F06" w:rsidP="00D91F6D">
      <w:pPr>
        <w:pStyle w:val="DHHSbullet1"/>
      </w:pPr>
      <w:bookmarkStart w:id="39" w:name="_Hlk11226534"/>
      <w:r w:rsidRPr="00144D44">
        <w:t xml:space="preserve">More information is available at </w:t>
      </w:r>
      <w:hyperlink r:id="rId29" w:history="1">
        <w:r w:rsidR="00394D19">
          <w:rPr>
            <w:rStyle w:val="Hyperlink"/>
          </w:rPr>
          <w:t>Anaphylaxis notifications</w:t>
        </w:r>
      </w:hyperlink>
      <w:r w:rsidR="00394D19">
        <w:rPr>
          <w:rStyle w:val="Hyperlink"/>
        </w:rPr>
        <w:t xml:space="preserve"> </w:t>
      </w:r>
      <w:r w:rsidR="00394D19" w:rsidRPr="00394D19">
        <w:rPr>
          <w:rStyle w:val="Hyperlink"/>
          <w:color w:val="auto"/>
        </w:rPr>
        <w:t>&lt;https://www.health.vic.gov.au/public-health/anaphylaxis-notifications&gt;</w:t>
      </w:r>
    </w:p>
    <w:p w14:paraId="57B6BEB9" w14:textId="5223717D" w:rsidR="002C6F06" w:rsidRDefault="002C6F06" w:rsidP="00D91F6D">
      <w:pPr>
        <w:pStyle w:val="DHHSbullet1lastline"/>
      </w:pPr>
      <w:r w:rsidRPr="00144D44">
        <w:t>Alternatively</w:t>
      </w:r>
      <w:r w:rsidR="00C65C19">
        <w:t>,</w:t>
      </w:r>
      <w:r w:rsidRPr="00144D44">
        <w:t xml:space="preserve"> please contact </w:t>
      </w:r>
      <w:bookmarkStart w:id="40" w:name="_Hlk11234905"/>
      <w:r w:rsidR="003006F7" w:rsidRPr="003006F7">
        <w:t>1300</w:t>
      </w:r>
      <w:r w:rsidR="00C65C19">
        <w:t xml:space="preserve"> 364 </w:t>
      </w:r>
      <w:r w:rsidR="003006F7" w:rsidRPr="003006F7">
        <w:t xml:space="preserve">352 </w:t>
      </w:r>
      <w:bookmarkEnd w:id="40"/>
      <w:r w:rsidRPr="00144D44">
        <w:t xml:space="preserve">or </w:t>
      </w:r>
      <w:hyperlink r:id="rId30" w:history="1">
        <w:r w:rsidR="00394D19">
          <w:rPr>
            <w:rStyle w:val="Hyperlink"/>
          </w:rPr>
          <w:t>email</w:t>
        </w:r>
      </w:hyperlink>
      <w:r w:rsidR="00394D19">
        <w:rPr>
          <w:rStyle w:val="Hyperlink"/>
        </w:rPr>
        <w:t xml:space="preserve"> </w:t>
      </w:r>
      <w:r w:rsidR="00394D19" w:rsidRPr="00394D19">
        <w:rPr>
          <w:rStyle w:val="Hyperlink"/>
          <w:color w:val="auto"/>
        </w:rPr>
        <w:t>&lt;anaphylaxis@dhhs.vic.gov.au&gt;</w:t>
      </w:r>
    </w:p>
    <w:bookmarkEnd w:id="39"/>
    <w:p w14:paraId="6E15A594" w14:textId="77777777" w:rsidR="00316A44" w:rsidRPr="00036F08" w:rsidRDefault="00316A44" w:rsidP="00316A44">
      <w:pPr>
        <w:spacing w:after="200" w:line="276" w:lineRule="auto"/>
        <w:rPr>
          <w:rFonts w:asciiTheme="minorHAnsi" w:eastAsiaTheme="minorHAnsi" w:hAnsiTheme="minorHAnsi" w:cstheme="minorBidi"/>
          <w:b/>
          <w:sz w:val="22"/>
          <w:szCs w:val="22"/>
          <w:u w:val="single"/>
        </w:rPr>
      </w:pPr>
    </w:p>
    <w:p w14:paraId="7EAF310A" w14:textId="77777777" w:rsidR="00C65C19" w:rsidRDefault="00C65C19" w:rsidP="008C21D9">
      <w:pPr>
        <w:pStyle w:val="Heading2"/>
        <w:sectPr w:rsidR="00C65C19" w:rsidSect="00BA5E47">
          <w:pgSz w:w="11906" w:h="16838"/>
          <w:pgMar w:top="1701" w:right="1304" w:bottom="1134" w:left="1304" w:header="454" w:footer="510" w:gutter="0"/>
          <w:cols w:space="720"/>
          <w:docGrid w:linePitch="360"/>
        </w:sectPr>
      </w:pPr>
    </w:p>
    <w:p w14:paraId="3B649747" w14:textId="142C289A" w:rsidR="0024702D" w:rsidRPr="00701737" w:rsidRDefault="0024702D" w:rsidP="002A6D74">
      <w:pPr>
        <w:pStyle w:val="DHHSbullet1lastline"/>
        <w:numPr>
          <w:ilvl w:val="0"/>
          <w:numId w:val="0"/>
        </w:numPr>
        <w:rPr>
          <w:sz w:val="20"/>
        </w:rPr>
      </w:pPr>
    </w:p>
    <w:sectPr w:rsidR="0024702D" w:rsidRPr="00701737" w:rsidSect="00BA5E47">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6D906" w14:textId="77777777" w:rsidR="00A163D8" w:rsidRDefault="00A163D8">
      <w:r>
        <w:separator/>
      </w:r>
    </w:p>
  </w:endnote>
  <w:endnote w:type="continuationSeparator" w:id="0">
    <w:p w14:paraId="76E746B7" w14:textId="77777777" w:rsidR="00A163D8" w:rsidRDefault="00A16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84F1F" w14:textId="77777777" w:rsidR="00A163D8" w:rsidRPr="004B0159" w:rsidRDefault="00A163D8" w:rsidP="004B0159">
    <w:pPr>
      <w:pStyle w:val="Footer"/>
      <w:rPr>
        <w:lang w:val="en-US"/>
      </w:rPr>
    </w:pPr>
  </w:p>
  <w:p w14:paraId="49C02B35" w14:textId="77777777" w:rsidR="00A163D8" w:rsidRPr="004B0159" w:rsidRDefault="00A163D8" w:rsidP="004B0159">
    <w:pPr>
      <w:pStyle w:val="Footer"/>
    </w:pPr>
  </w:p>
  <w:p w14:paraId="6C466D03" w14:textId="77777777" w:rsidR="00A163D8" w:rsidRDefault="00A16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427B1" w14:textId="77777777" w:rsidR="00A163D8" w:rsidRDefault="00A163D8" w:rsidP="00D91F6D">
    <w:pPr>
      <w:pStyle w:val="DHHSfooter"/>
    </w:pPr>
    <w:r w:rsidRPr="00D91F6D">
      <w:t xml:space="preserve">Anaphylaxis notifications under the </w:t>
    </w:r>
    <w:r w:rsidRPr="00D91F6D">
      <w:rPr>
        <w:i/>
      </w:rPr>
      <w:t>Public Health and Wellbeing Act 2008</w:t>
    </w:r>
    <w:r w:rsidRPr="00D91F6D">
      <w:t xml:space="preserve"> - A guide for Victorian hospitals </w:t>
    </w:r>
  </w:p>
  <w:p w14:paraId="7A2901FB" w14:textId="67BE29EC" w:rsidR="00A163D8" w:rsidRPr="00D91F6D" w:rsidRDefault="00A163D8" w:rsidP="00D91F6D">
    <w:pPr>
      <w:pStyle w:val="DHHSfooter"/>
    </w:pPr>
    <w:r>
      <w:t>July 2019</w:t>
    </w:r>
    <w:r w:rsidRPr="00D91F6D">
      <w:t>)</w:t>
    </w:r>
    <w:r w:rsidRPr="00D91F6D">
      <w:tab/>
    </w:r>
    <w:r w:rsidRPr="00D91F6D">
      <w:fldChar w:fldCharType="begin"/>
    </w:r>
    <w:r w:rsidRPr="00D91F6D">
      <w:instrText xml:space="preserve"> PAGE   \* MERGEFORMAT </w:instrText>
    </w:r>
    <w:r w:rsidRPr="00D91F6D">
      <w:fldChar w:fldCharType="separate"/>
    </w:r>
    <w:r>
      <w:rPr>
        <w:noProof/>
      </w:rPr>
      <w:t>22</w:t>
    </w:r>
    <w:r w:rsidRPr="00D91F6D">
      <w:fldChar w:fldCharType="end"/>
    </w:r>
  </w:p>
  <w:p w14:paraId="123DE449" w14:textId="77777777" w:rsidR="00A163D8" w:rsidRPr="008114D1" w:rsidRDefault="00A163D8" w:rsidP="00E969B1">
    <w:pPr>
      <w:pStyle w:val="DHHS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E928F" w14:textId="77777777" w:rsidR="00A163D8" w:rsidRDefault="00A163D8" w:rsidP="00D91F6D">
    <w:pPr>
      <w:pStyle w:val="DHHSfooter"/>
    </w:pPr>
    <w:r w:rsidRPr="00D91F6D">
      <w:t xml:space="preserve">Anaphylaxis notifications under the </w:t>
    </w:r>
    <w:r w:rsidRPr="00D91F6D">
      <w:rPr>
        <w:i/>
      </w:rPr>
      <w:t>Public Health and Wellbeing Act 2008</w:t>
    </w:r>
    <w:r w:rsidRPr="00D91F6D">
      <w:t xml:space="preserve"> - A guide for Victorian hospitals </w:t>
    </w:r>
  </w:p>
  <w:p w14:paraId="161235DD" w14:textId="055B31C8" w:rsidR="00A163D8" w:rsidRPr="00D91F6D" w:rsidRDefault="00A163D8" w:rsidP="00D91F6D">
    <w:pPr>
      <w:pStyle w:val="DHHSfooter"/>
    </w:pPr>
    <w:r w:rsidRPr="00D91F6D">
      <w:t>(</w:t>
    </w:r>
    <w:r>
      <w:t>July 2019</w:t>
    </w:r>
    <w:r w:rsidRPr="00D91F6D">
      <w:t>)</w:t>
    </w:r>
    <w:r w:rsidRPr="00D91F6D">
      <w:tab/>
    </w:r>
    <w:r w:rsidRPr="00D91F6D">
      <w:fldChar w:fldCharType="begin"/>
    </w:r>
    <w:r w:rsidRPr="00D91F6D">
      <w:instrText xml:space="preserve"> PAGE   \* MERGEFORMAT </w:instrText>
    </w:r>
    <w:r w:rsidRPr="00D91F6D">
      <w:fldChar w:fldCharType="separate"/>
    </w:r>
    <w:r>
      <w:rPr>
        <w:noProof/>
      </w:rPr>
      <w:t>21</w:t>
    </w:r>
    <w:r w:rsidRPr="00D91F6D">
      <w:fldChar w:fldCharType="end"/>
    </w:r>
  </w:p>
  <w:p w14:paraId="53A90BDE" w14:textId="77777777" w:rsidR="00A163D8" w:rsidRPr="00D91F6D" w:rsidRDefault="00A163D8" w:rsidP="00D91F6D">
    <w:pPr>
      <w:pStyle w:val="DHHS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D310B" w14:textId="77777777" w:rsidR="00A163D8" w:rsidRPr="001A7E04" w:rsidRDefault="00A163D8"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765C6" w14:textId="77777777" w:rsidR="00A163D8" w:rsidRDefault="00A163D8">
      <w:r>
        <w:separator/>
      </w:r>
    </w:p>
  </w:footnote>
  <w:footnote w:type="continuationSeparator" w:id="0">
    <w:p w14:paraId="781504A4" w14:textId="77777777" w:rsidR="00A163D8" w:rsidRDefault="00A163D8">
      <w:r>
        <w:continuationSeparator/>
      </w:r>
    </w:p>
  </w:footnote>
  <w:footnote w:id="1">
    <w:p w14:paraId="1DBDEFE2" w14:textId="77777777" w:rsidR="00A163D8" w:rsidRDefault="00A163D8" w:rsidP="00AF75C8">
      <w:pPr>
        <w:pStyle w:val="FootnoteText"/>
      </w:pPr>
      <w:r>
        <w:rPr>
          <w:rStyle w:val="FootnoteReference"/>
        </w:rPr>
        <w:footnoteRef/>
      </w:r>
      <w:r>
        <w:t xml:space="preserve"> Anaphylaxis Clinical Care Standard – Safer Care Victoria. February 2019</w:t>
      </w:r>
    </w:p>
  </w:footnote>
  <w:footnote w:id="2">
    <w:p w14:paraId="469DAA22" w14:textId="0DA0E03E" w:rsidR="00A163D8" w:rsidRDefault="00A163D8">
      <w:pPr>
        <w:pStyle w:val="FootnoteText"/>
      </w:pPr>
      <w:r>
        <w:rPr>
          <w:rStyle w:val="FootnoteReference"/>
        </w:rPr>
        <w:footnoteRef/>
      </w:r>
      <w:r>
        <w:t xml:space="preserve"> </w:t>
      </w:r>
      <w:r w:rsidRPr="00A70103">
        <w:t xml:space="preserve">Adapted from: Anaphylaxis definitions, </w:t>
      </w:r>
      <w:r w:rsidR="00D74E65" w:rsidRPr="00A70103">
        <w:t xml:space="preserve">Australian Society of </w:t>
      </w:r>
      <w:r w:rsidR="00D74E65">
        <w:t>Clinical Immunology and Allergy</w:t>
      </w:r>
      <w:r w:rsidR="00D74E65" w:rsidRPr="00A70103">
        <w:rPr>
          <w:i/>
        </w:rPr>
        <w:t xml:space="preserve"> </w:t>
      </w:r>
      <w:r w:rsidRPr="00A70103">
        <w:rPr>
          <w:i/>
        </w:rPr>
        <w:t>ASCIA Guidelines - Acute management of anaphylaxis</w:t>
      </w:r>
      <w:r>
        <w:t>,</w:t>
      </w:r>
      <w:r w:rsidRPr="00A70103">
        <w:t xml:space="preserve"> </w:t>
      </w:r>
      <w:hyperlink r:id="rId1" w:history="1">
        <w:r w:rsidR="00D74E65">
          <w:rPr>
            <w:rStyle w:val="Hyperlink"/>
          </w:rPr>
          <w:t>ASCIA Guidelines - Acute management of anaphylaxis</w:t>
        </w:r>
      </w:hyperlink>
      <w:r w:rsidR="00D74E65">
        <w:t xml:space="preserve"> </w:t>
      </w:r>
      <w:r>
        <w:t>&lt;</w:t>
      </w:r>
      <w:r w:rsidRPr="00A70103">
        <w:t>https://www.allergy.org.au/hp/papers/acute-management-of-anaphylaxis-guidelines</w:t>
      </w:r>
      <w:r>
        <w:t>&gt;</w:t>
      </w:r>
      <w:r w:rsidRPr="00A70103">
        <w:t xml:space="preserve"> and </w:t>
      </w:r>
      <w:r w:rsidR="00D74E65" w:rsidRPr="00A70103">
        <w:t>The Royal Children’s Hospit</w:t>
      </w:r>
      <w:r w:rsidR="00D74E65">
        <w:t>al Clinical Practice Guidelines</w:t>
      </w:r>
      <w:r w:rsidRPr="00A70103">
        <w:t xml:space="preserve">, </w:t>
      </w:r>
      <w:hyperlink r:id="rId2" w:history="1">
        <w:r w:rsidR="00D74E65">
          <w:rPr>
            <w:rStyle w:val="Hyperlink"/>
          </w:rPr>
          <w:t>Anaphylaxis Cl</w:t>
        </w:r>
        <w:r w:rsidR="00D74E65">
          <w:rPr>
            <w:rStyle w:val="Hyperlink"/>
          </w:rPr>
          <w:t>i</w:t>
        </w:r>
        <w:r w:rsidR="00D74E65">
          <w:rPr>
            <w:rStyle w:val="Hyperlink"/>
          </w:rPr>
          <w:t>nical Practice Guideline</w:t>
        </w:r>
      </w:hyperlink>
      <w:r w:rsidR="00D74E65">
        <w:t xml:space="preserve"> </w:t>
      </w:r>
      <w:r>
        <w:t>&lt;</w:t>
      </w:r>
      <w:r w:rsidRPr="00A70103">
        <w:t>https://www.rch.org.au/clinicalguide/guideline_index/Anaphylaxis/</w:t>
      </w:r>
      <w:r>
        <w:t>&gt;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3B387" w14:textId="77777777" w:rsidR="00A163D8" w:rsidRPr="0069374A" w:rsidRDefault="00A163D8" w:rsidP="00E969B1">
    <w:pPr>
      <w:pStyle w:val="DHH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7CD92" w14:textId="77777777" w:rsidR="00A163D8" w:rsidRDefault="00A163D8"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C2D"/>
    <w:multiLevelType w:val="hybridMultilevel"/>
    <w:tmpl w:val="56F8C630"/>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15:restartNumberingAfterBreak="0">
    <w:nsid w:val="03F03EEB"/>
    <w:multiLevelType w:val="hybridMultilevel"/>
    <w:tmpl w:val="76BA54B6"/>
    <w:lvl w:ilvl="0" w:tplc="E8441716">
      <w:start w:val="1"/>
      <w:numFmt w:val="decimal"/>
      <w:lvlText w:val="(%1)"/>
      <w:lvlJc w:val="left"/>
      <w:pPr>
        <w:ind w:left="360" w:hanging="360"/>
      </w:pPr>
      <w:rPr>
        <w:rFonts w:ascii="Times New Roman" w:hAnsi="Times New Roman" w:cs="Times New Roman" w:hint="default"/>
        <w:sz w:val="24"/>
        <w:szCs w:val="24"/>
      </w:rPr>
    </w:lvl>
    <w:lvl w:ilvl="1" w:tplc="81DEB528">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4031023"/>
    <w:multiLevelType w:val="hybridMultilevel"/>
    <w:tmpl w:val="2B18A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425E6A"/>
    <w:multiLevelType w:val="hybridMultilevel"/>
    <w:tmpl w:val="B4DCDE1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ED771A"/>
    <w:multiLevelType w:val="hybridMultilevel"/>
    <w:tmpl w:val="5484CB34"/>
    <w:lvl w:ilvl="0" w:tplc="84542C3C">
      <w:start w:val="1"/>
      <w:numFmt w:val="lowerLetter"/>
      <w:lvlText w:val="%1)"/>
      <w:lvlJc w:val="left"/>
      <w:pPr>
        <w:ind w:left="720" w:hanging="360"/>
      </w:pPr>
      <w:rPr>
        <w:rFonts w:eastAsia="MS Gothic"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662123"/>
    <w:multiLevelType w:val="hybridMultilevel"/>
    <w:tmpl w:val="C1F8DED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6" w15:restartNumberingAfterBreak="0">
    <w:nsid w:val="07DE0CD2"/>
    <w:multiLevelType w:val="hybridMultilevel"/>
    <w:tmpl w:val="2D628DC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9C0369F"/>
    <w:multiLevelType w:val="hybridMultilevel"/>
    <w:tmpl w:val="45B20F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276285"/>
    <w:multiLevelType w:val="hybridMultilevel"/>
    <w:tmpl w:val="82A432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B3F01AF"/>
    <w:multiLevelType w:val="hybridMultilevel"/>
    <w:tmpl w:val="0F5A4D7E"/>
    <w:lvl w:ilvl="0" w:tplc="FEC69FE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CE5FDC"/>
    <w:multiLevelType w:val="hybridMultilevel"/>
    <w:tmpl w:val="7286E0A2"/>
    <w:lvl w:ilvl="0" w:tplc="2092093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F9221F"/>
    <w:multiLevelType w:val="hybridMultilevel"/>
    <w:tmpl w:val="2E9A35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1D40075"/>
    <w:multiLevelType w:val="hybridMultilevel"/>
    <w:tmpl w:val="80A000E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241A2F1C"/>
    <w:multiLevelType w:val="hybridMultilevel"/>
    <w:tmpl w:val="12ACB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A345A4"/>
    <w:multiLevelType w:val="hybridMultilevel"/>
    <w:tmpl w:val="D3CCAF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8877E2E"/>
    <w:multiLevelType w:val="hybridMultilevel"/>
    <w:tmpl w:val="494C7D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D747E02"/>
    <w:multiLevelType w:val="hybridMultilevel"/>
    <w:tmpl w:val="E684EF22"/>
    <w:lvl w:ilvl="0" w:tplc="0C09001B">
      <w:start w:val="1"/>
      <w:numFmt w:val="lowerRoman"/>
      <w:lvlText w:val="%1."/>
      <w:lvlJc w:val="right"/>
      <w:pPr>
        <w:ind w:left="1305" w:hanging="360"/>
      </w:pPr>
    </w:lvl>
    <w:lvl w:ilvl="1" w:tplc="0C090019" w:tentative="1">
      <w:start w:val="1"/>
      <w:numFmt w:val="lowerLetter"/>
      <w:lvlText w:val="%2."/>
      <w:lvlJc w:val="left"/>
      <w:pPr>
        <w:ind w:left="2025" w:hanging="360"/>
      </w:pPr>
    </w:lvl>
    <w:lvl w:ilvl="2" w:tplc="0C09001B" w:tentative="1">
      <w:start w:val="1"/>
      <w:numFmt w:val="lowerRoman"/>
      <w:lvlText w:val="%3."/>
      <w:lvlJc w:val="right"/>
      <w:pPr>
        <w:ind w:left="2745" w:hanging="180"/>
      </w:pPr>
    </w:lvl>
    <w:lvl w:ilvl="3" w:tplc="0C09000F" w:tentative="1">
      <w:start w:val="1"/>
      <w:numFmt w:val="decimal"/>
      <w:lvlText w:val="%4."/>
      <w:lvlJc w:val="left"/>
      <w:pPr>
        <w:ind w:left="3465" w:hanging="360"/>
      </w:pPr>
    </w:lvl>
    <w:lvl w:ilvl="4" w:tplc="0C090019" w:tentative="1">
      <w:start w:val="1"/>
      <w:numFmt w:val="lowerLetter"/>
      <w:lvlText w:val="%5."/>
      <w:lvlJc w:val="left"/>
      <w:pPr>
        <w:ind w:left="4185" w:hanging="360"/>
      </w:pPr>
    </w:lvl>
    <w:lvl w:ilvl="5" w:tplc="0C09001B" w:tentative="1">
      <w:start w:val="1"/>
      <w:numFmt w:val="lowerRoman"/>
      <w:lvlText w:val="%6."/>
      <w:lvlJc w:val="right"/>
      <w:pPr>
        <w:ind w:left="4905" w:hanging="180"/>
      </w:pPr>
    </w:lvl>
    <w:lvl w:ilvl="6" w:tplc="0C09000F" w:tentative="1">
      <w:start w:val="1"/>
      <w:numFmt w:val="decimal"/>
      <w:lvlText w:val="%7."/>
      <w:lvlJc w:val="left"/>
      <w:pPr>
        <w:ind w:left="5625" w:hanging="360"/>
      </w:pPr>
    </w:lvl>
    <w:lvl w:ilvl="7" w:tplc="0C090019" w:tentative="1">
      <w:start w:val="1"/>
      <w:numFmt w:val="lowerLetter"/>
      <w:lvlText w:val="%8."/>
      <w:lvlJc w:val="left"/>
      <w:pPr>
        <w:ind w:left="6345" w:hanging="360"/>
      </w:pPr>
    </w:lvl>
    <w:lvl w:ilvl="8" w:tplc="0C09001B" w:tentative="1">
      <w:start w:val="1"/>
      <w:numFmt w:val="lowerRoman"/>
      <w:lvlText w:val="%9."/>
      <w:lvlJc w:val="right"/>
      <w:pPr>
        <w:ind w:left="7065" w:hanging="180"/>
      </w:pPr>
    </w:lvl>
  </w:abstractNum>
  <w:abstractNum w:abstractNumId="17" w15:restartNumberingAfterBreak="0">
    <w:nsid w:val="2E1066F1"/>
    <w:multiLevelType w:val="hybridMultilevel"/>
    <w:tmpl w:val="8E829D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7F2B33"/>
    <w:multiLevelType w:val="hybridMultilevel"/>
    <w:tmpl w:val="09B84CD0"/>
    <w:lvl w:ilvl="0" w:tplc="BEF42154">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082199"/>
    <w:multiLevelType w:val="hybridMultilevel"/>
    <w:tmpl w:val="AA5AB932"/>
    <w:lvl w:ilvl="0" w:tplc="4700219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C4303A5"/>
    <w:multiLevelType w:val="multilevel"/>
    <w:tmpl w:val="FBC41320"/>
    <w:styleLink w:val="ZZNumbers"/>
    <w:lvl w:ilvl="0">
      <w:start w:val="1"/>
      <w:numFmt w:val="decimal"/>
      <w:pStyle w:val="DHHSnumberdigit"/>
      <w:lvlText w:val="%1."/>
      <w:lvlJc w:val="left"/>
      <w:pPr>
        <w:tabs>
          <w:tab w:val="num" w:pos="681"/>
        </w:tabs>
        <w:ind w:left="681"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40CD2B30"/>
    <w:multiLevelType w:val="hybridMultilevel"/>
    <w:tmpl w:val="3C283AB6"/>
    <w:lvl w:ilvl="0" w:tplc="0C090001">
      <w:start w:val="1"/>
      <w:numFmt w:val="bullet"/>
      <w:lvlText w:val=""/>
      <w:lvlJc w:val="left"/>
      <w:pPr>
        <w:ind w:left="1506" w:hanging="360"/>
      </w:pPr>
      <w:rPr>
        <w:rFonts w:ascii="Symbol" w:hAnsi="Symbol"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22" w15:restartNumberingAfterBreak="0">
    <w:nsid w:val="419D5FFF"/>
    <w:multiLevelType w:val="hybridMultilevel"/>
    <w:tmpl w:val="25F47EB0"/>
    <w:lvl w:ilvl="0" w:tplc="2092093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7661E2"/>
    <w:multiLevelType w:val="hybridMultilevel"/>
    <w:tmpl w:val="C9D0ECC8"/>
    <w:lvl w:ilvl="0" w:tplc="5DDA0934">
      <w:start w:val="1"/>
      <w:numFmt w:val="decimal"/>
      <w:lvlText w:val="%1."/>
      <w:lvlJc w:val="left"/>
      <w:pPr>
        <w:ind w:left="720" w:hanging="360"/>
      </w:pPr>
      <w:rPr>
        <w:rFonts w:ascii="Cambria" w:eastAsia="Times New Roman" w:hAnsi="Cambria"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6D7207"/>
    <w:multiLevelType w:val="hybridMultilevel"/>
    <w:tmpl w:val="863C1122"/>
    <w:lvl w:ilvl="0" w:tplc="527007A4">
      <w:start w:val="1"/>
      <w:numFmt w:val="lowerLetter"/>
      <w:lvlText w:val="(%1)"/>
      <w:lvlJc w:val="left"/>
      <w:pPr>
        <w:ind w:left="1875" w:hanging="390"/>
      </w:pPr>
      <w:rPr>
        <w:rFonts w:hint="default"/>
      </w:rPr>
    </w:lvl>
    <w:lvl w:ilvl="1" w:tplc="0C090019" w:tentative="1">
      <w:start w:val="1"/>
      <w:numFmt w:val="lowerLetter"/>
      <w:lvlText w:val="%2."/>
      <w:lvlJc w:val="left"/>
      <w:pPr>
        <w:ind w:left="2565" w:hanging="360"/>
      </w:pPr>
    </w:lvl>
    <w:lvl w:ilvl="2" w:tplc="0C09001B" w:tentative="1">
      <w:start w:val="1"/>
      <w:numFmt w:val="lowerRoman"/>
      <w:lvlText w:val="%3."/>
      <w:lvlJc w:val="right"/>
      <w:pPr>
        <w:ind w:left="3285" w:hanging="180"/>
      </w:pPr>
    </w:lvl>
    <w:lvl w:ilvl="3" w:tplc="0C09000F" w:tentative="1">
      <w:start w:val="1"/>
      <w:numFmt w:val="decimal"/>
      <w:lvlText w:val="%4."/>
      <w:lvlJc w:val="left"/>
      <w:pPr>
        <w:ind w:left="4005" w:hanging="360"/>
      </w:pPr>
    </w:lvl>
    <w:lvl w:ilvl="4" w:tplc="0C090019" w:tentative="1">
      <w:start w:val="1"/>
      <w:numFmt w:val="lowerLetter"/>
      <w:lvlText w:val="%5."/>
      <w:lvlJc w:val="left"/>
      <w:pPr>
        <w:ind w:left="4725" w:hanging="360"/>
      </w:pPr>
    </w:lvl>
    <w:lvl w:ilvl="5" w:tplc="0C09001B" w:tentative="1">
      <w:start w:val="1"/>
      <w:numFmt w:val="lowerRoman"/>
      <w:lvlText w:val="%6."/>
      <w:lvlJc w:val="right"/>
      <w:pPr>
        <w:ind w:left="5445" w:hanging="180"/>
      </w:pPr>
    </w:lvl>
    <w:lvl w:ilvl="6" w:tplc="0C09000F" w:tentative="1">
      <w:start w:val="1"/>
      <w:numFmt w:val="decimal"/>
      <w:lvlText w:val="%7."/>
      <w:lvlJc w:val="left"/>
      <w:pPr>
        <w:ind w:left="6165" w:hanging="360"/>
      </w:pPr>
    </w:lvl>
    <w:lvl w:ilvl="7" w:tplc="0C090019" w:tentative="1">
      <w:start w:val="1"/>
      <w:numFmt w:val="lowerLetter"/>
      <w:lvlText w:val="%8."/>
      <w:lvlJc w:val="left"/>
      <w:pPr>
        <w:ind w:left="6885" w:hanging="360"/>
      </w:pPr>
    </w:lvl>
    <w:lvl w:ilvl="8" w:tplc="0C09001B" w:tentative="1">
      <w:start w:val="1"/>
      <w:numFmt w:val="lowerRoman"/>
      <w:lvlText w:val="%9."/>
      <w:lvlJc w:val="right"/>
      <w:pPr>
        <w:ind w:left="7605" w:hanging="180"/>
      </w:pPr>
    </w:lvl>
  </w:abstractNum>
  <w:abstractNum w:abstractNumId="25" w15:restartNumberingAfterBreak="0">
    <w:nsid w:val="4840071D"/>
    <w:multiLevelType w:val="hybridMultilevel"/>
    <w:tmpl w:val="21D421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A0B4CF7"/>
    <w:multiLevelType w:val="hybridMultilevel"/>
    <w:tmpl w:val="C0FE70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AAA1E35"/>
    <w:multiLevelType w:val="hybridMultilevel"/>
    <w:tmpl w:val="028C1E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DF97FF3"/>
    <w:multiLevelType w:val="hybridMultilevel"/>
    <w:tmpl w:val="C4EE9B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279398E"/>
    <w:multiLevelType w:val="hybridMultilevel"/>
    <w:tmpl w:val="DF64C192"/>
    <w:lvl w:ilvl="0" w:tplc="FEC69FE4">
      <w:start w:val="1"/>
      <w:numFmt w:val="decimal"/>
      <w:lvlText w:val="%1."/>
      <w:lvlJc w:val="left"/>
      <w:pPr>
        <w:ind w:left="720" w:hanging="720"/>
      </w:pPr>
      <w:rPr>
        <w:rFonts w:hint="default"/>
      </w:rPr>
    </w:lvl>
    <w:lvl w:ilvl="1" w:tplc="0C090003">
      <w:start w:val="1"/>
      <w:numFmt w:val="bullet"/>
      <w:lvlText w:val="o"/>
      <w:lvlJc w:val="left"/>
      <w:pPr>
        <w:ind w:left="1080" w:hanging="360"/>
      </w:pPr>
      <w:rPr>
        <w:rFonts w:ascii="Courier New" w:hAnsi="Courier New" w:cs="Courier New"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2886001"/>
    <w:multiLevelType w:val="hybridMultilevel"/>
    <w:tmpl w:val="0B647214"/>
    <w:lvl w:ilvl="0" w:tplc="97643DE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2E73A96"/>
    <w:multiLevelType w:val="hybridMultilevel"/>
    <w:tmpl w:val="56A0D2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55AC76AD"/>
    <w:multiLevelType w:val="hybridMultilevel"/>
    <w:tmpl w:val="6B760E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71173B0"/>
    <w:multiLevelType w:val="hybridMultilevel"/>
    <w:tmpl w:val="CF1041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C94F1F"/>
    <w:multiLevelType w:val="hybridMultilevel"/>
    <w:tmpl w:val="05525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563607"/>
    <w:multiLevelType w:val="hybridMultilevel"/>
    <w:tmpl w:val="C7383A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72672A9"/>
    <w:multiLevelType w:val="hybridMultilevel"/>
    <w:tmpl w:val="24A0838E"/>
    <w:lvl w:ilvl="0" w:tplc="334AEB14">
      <w:start w:val="1"/>
      <w:numFmt w:val="lowerLetter"/>
      <w:lvlText w:val="%1)"/>
      <w:lvlJc w:val="left"/>
      <w:pPr>
        <w:ind w:left="360" w:hanging="360"/>
      </w:pPr>
      <w:rPr>
        <w:rFonts w:eastAsia="MS Gothic" w:hint="default"/>
        <w:b w:val="0"/>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8DF7303"/>
    <w:multiLevelType w:val="hybridMultilevel"/>
    <w:tmpl w:val="17600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436985"/>
    <w:multiLevelType w:val="hybridMultilevel"/>
    <w:tmpl w:val="117051C4"/>
    <w:lvl w:ilvl="0" w:tplc="FEC69FE4">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4826C9"/>
    <w:multiLevelType w:val="hybridMultilevel"/>
    <w:tmpl w:val="B5F4D9B0"/>
    <w:lvl w:ilvl="0" w:tplc="F6F4AD7C">
      <w:start w:val="1"/>
      <w:numFmt w:val="decimal"/>
      <w:lvlText w:val="(%1)"/>
      <w:lvlJc w:val="left"/>
      <w:pPr>
        <w:ind w:left="720" w:hanging="360"/>
      </w:pPr>
      <w:rPr>
        <w:rFonts w:ascii="Times New Roman" w:hAnsi="Times New Roman" w:cs="Times New Roman"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DA60D88"/>
    <w:multiLevelType w:val="hybridMultilevel"/>
    <w:tmpl w:val="AD6819E8"/>
    <w:lvl w:ilvl="0" w:tplc="0C090003">
      <w:start w:val="1"/>
      <w:numFmt w:val="bullet"/>
      <w:lvlText w:val="o"/>
      <w:lvlJc w:val="left"/>
      <w:pPr>
        <w:ind w:left="1506" w:hanging="360"/>
      </w:pPr>
      <w:rPr>
        <w:rFonts w:ascii="Courier New" w:hAnsi="Courier New" w:cs="Courier New"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num w:numId="1">
    <w:abstractNumId w:val="32"/>
  </w:num>
  <w:num w:numId="2">
    <w:abstractNumId w:val="20"/>
  </w:num>
  <w:num w:numId="3">
    <w:abstractNumId w:val="13"/>
  </w:num>
  <w:num w:numId="4">
    <w:abstractNumId w:val="31"/>
  </w:num>
  <w:num w:numId="5">
    <w:abstractNumId w:val="39"/>
  </w:num>
  <w:num w:numId="6">
    <w:abstractNumId w:val="17"/>
  </w:num>
  <w:num w:numId="7">
    <w:abstractNumId w:val="34"/>
  </w:num>
  <w:num w:numId="8">
    <w:abstractNumId w:val="38"/>
  </w:num>
  <w:num w:numId="9">
    <w:abstractNumId w:val="11"/>
  </w:num>
  <w:num w:numId="10">
    <w:abstractNumId w:val="3"/>
  </w:num>
  <w:num w:numId="11">
    <w:abstractNumId w:val="27"/>
  </w:num>
  <w:num w:numId="12">
    <w:abstractNumId w:val="0"/>
  </w:num>
  <w:num w:numId="13">
    <w:abstractNumId w:val="23"/>
  </w:num>
  <w:num w:numId="14">
    <w:abstractNumId w:val="5"/>
  </w:num>
  <w:num w:numId="15">
    <w:abstractNumId w:val="2"/>
  </w:num>
  <w:num w:numId="16">
    <w:abstractNumId w:val="35"/>
  </w:num>
  <w:num w:numId="17">
    <w:abstractNumId w:val="9"/>
  </w:num>
  <w:num w:numId="18">
    <w:abstractNumId w:val="29"/>
  </w:num>
  <w:num w:numId="19">
    <w:abstractNumId w:val="26"/>
  </w:num>
  <w:num w:numId="20">
    <w:abstractNumId w:val="12"/>
  </w:num>
  <w:num w:numId="21">
    <w:abstractNumId w:val="21"/>
  </w:num>
  <w:num w:numId="22">
    <w:abstractNumId w:val="41"/>
  </w:num>
  <w:num w:numId="23">
    <w:abstractNumId w:val="15"/>
  </w:num>
  <w:num w:numId="24">
    <w:abstractNumId w:val="4"/>
  </w:num>
  <w:num w:numId="25">
    <w:abstractNumId w:val="37"/>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6"/>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8"/>
  </w:num>
  <w:num w:numId="33">
    <w:abstractNumId w:val="14"/>
  </w:num>
  <w:num w:numId="34">
    <w:abstractNumId w:val="36"/>
  </w:num>
  <w:num w:numId="35">
    <w:abstractNumId w:val="7"/>
  </w:num>
  <w:num w:numId="36">
    <w:abstractNumId w:val="33"/>
  </w:num>
  <w:num w:numId="37">
    <w:abstractNumId w:val="25"/>
  </w:num>
  <w:num w:numId="38">
    <w:abstractNumId w:val="18"/>
  </w:num>
  <w:num w:numId="39">
    <w:abstractNumId w:val="8"/>
  </w:num>
  <w:num w:numId="40">
    <w:abstractNumId w:val="16"/>
  </w:num>
  <w:num w:numId="41">
    <w:abstractNumId w:val="22"/>
  </w:num>
  <w:num w:numId="42">
    <w:abstractNumId w:val="10"/>
  </w:num>
  <w:num w:numId="43">
    <w:abstractNumId w:val="40"/>
  </w:num>
  <w:num w:numId="44">
    <w:abstractNumId w:val="24"/>
  </w:num>
  <w:num w:numId="45">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C56"/>
    <w:rsid w:val="00002990"/>
    <w:rsid w:val="000048AC"/>
    <w:rsid w:val="0001170C"/>
    <w:rsid w:val="00014FC4"/>
    <w:rsid w:val="000167DE"/>
    <w:rsid w:val="00020AAB"/>
    <w:rsid w:val="000223A4"/>
    <w:rsid w:val="00022E60"/>
    <w:rsid w:val="0002393E"/>
    <w:rsid w:val="00026C19"/>
    <w:rsid w:val="00031263"/>
    <w:rsid w:val="00036F08"/>
    <w:rsid w:val="00045459"/>
    <w:rsid w:val="00051DA4"/>
    <w:rsid w:val="00053753"/>
    <w:rsid w:val="00055C0B"/>
    <w:rsid w:val="00060E93"/>
    <w:rsid w:val="00061F39"/>
    <w:rsid w:val="00064936"/>
    <w:rsid w:val="000653B1"/>
    <w:rsid w:val="000734F8"/>
    <w:rsid w:val="000736B8"/>
    <w:rsid w:val="00075A99"/>
    <w:rsid w:val="000817CB"/>
    <w:rsid w:val="000873EF"/>
    <w:rsid w:val="000A178B"/>
    <w:rsid w:val="000B3792"/>
    <w:rsid w:val="000B6762"/>
    <w:rsid w:val="000C4682"/>
    <w:rsid w:val="000C6242"/>
    <w:rsid w:val="000C68DB"/>
    <w:rsid w:val="000C7F4E"/>
    <w:rsid w:val="000D2C32"/>
    <w:rsid w:val="000D68BC"/>
    <w:rsid w:val="000D699A"/>
    <w:rsid w:val="000E547E"/>
    <w:rsid w:val="000E6F72"/>
    <w:rsid w:val="000F0478"/>
    <w:rsid w:val="000F0A50"/>
    <w:rsid w:val="001003F4"/>
    <w:rsid w:val="00100D78"/>
    <w:rsid w:val="00101995"/>
    <w:rsid w:val="00103D5E"/>
    <w:rsid w:val="00104EA7"/>
    <w:rsid w:val="00105FAD"/>
    <w:rsid w:val="0011155B"/>
    <w:rsid w:val="00111A6A"/>
    <w:rsid w:val="00116466"/>
    <w:rsid w:val="00121BF1"/>
    <w:rsid w:val="00124A60"/>
    <w:rsid w:val="00126021"/>
    <w:rsid w:val="00127A8B"/>
    <w:rsid w:val="00134BE5"/>
    <w:rsid w:val="0014129D"/>
    <w:rsid w:val="001412D1"/>
    <w:rsid w:val="001423E3"/>
    <w:rsid w:val="001442B0"/>
    <w:rsid w:val="00144D44"/>
    <w:rsid w:val="00145886"/>
    <w:rsid w:val="00145BBB"/>
    <w:rsid w:val="001475EA"/>
    <w:rsid w:val="001504F5"/>
    <w:rsid w:val="001517BD"/>
    <w:rsid w:val="00152F63"/>
    <w:rsid w:val="00157066"/>
    <w:rsid w:val="00165812"/>
    <w:rsid w:val="0016615D"/>
    <w:rsid w:val="00170B26"/>
    <w:rsid w:val="00170F3C"/>
    <w:rsid w:val="0017248D"/>
    <w:rsid w:val="00173626"/>
    <w:rsid w:val="0017614A"/>
    <w:rsid w:val="001817CD"/>
    <w:rsid w:val="0018235E"/>
    <w:rsid w:val="00183726"/>
    <w:rsid w:val="0018768C"/>
    <w:rsid w:val="00192BA0"/>
    <w:rsid w:val="00195127"/>
    <w:rsid w:val="00197303"/>
    <w:rsid w:val="001A17EA"/>
    <w:rsid w:val="001A1D17"/>
    <w:rsid w:val="001A22AA"/>
    <w:rsid w:val="001A22CF"/>
    <w:rsid w:val="001A7A18"/>
    <w:rsid w:val="001B02C4"/>
    <w:rsid w:val="001B1565"/>
    <w:rsid w:val="001B166D"/>
    <w:rsid w:val="001B28B5"/>
    <w:rsid w:val="001B2975"/>
    <w:rsid w:val="001B5B82"/>
    <w:rsid w:val="001B79E6"/>
    <w:rsid w:val="001C122D"/>
    <w:rsid w:val="001C60EE"/>
    <w:rsid w:val="001C7FA0"/>
    <w:rsid w:val="001D199E"/>
    <w:rsid w:val="001D2A82"/>
    <w:rsid w:val="001D569B"/>
    <w:rsid w:val="001E0EA3"/>
    <w:rsid w:val="001E2CB3"/>
    <w:rsid w:val="001E2D26"/>
    <w:rsid w:val="001E4995"/>
    <w:rsid w:val="001E7155"/>
    <w:rsid w:val="001E7A42"/>
    <w:rsid w:val="001F09DC"/>
    <w:rsid w:val="001F1BD3"/>
    <w:rsid w:val="001F41BA"/>
    <w:rsid w:val="001F43E6"/>
    <w:rsid w:val="001F51BA"/>
    <w:rsid w:val="001F7BE9"/>
    <w:rsid w:val="002125B2"/>
    <w:rsid w:val="00213772"/>
    <w:rsid w:val="00220338"/>
    <w:rsid w:val="00220749"/>
    <w:rsid w:val="00222BF7"/>
    <w:rsid w:val="0022422C"/>
    <w:rsid w:val="0022724E"/>
    <w:rsid w:val="00230666"/>
    <w:rsid w:val="00231153"/>
    <w:rsid w:val="0023252E"/>
    <w:rsid w:val="00232A1F"/>
    <w:rsid w:val="00241C31"/>
    <w:rsid w:val="002465D8"/>
    <w:rsid w:val="0024702D"/>
    <w:rsid w:val="002474A0"/>
    <w:rsid w:val="0024775A"/>
    <w:rsid w:val="002605F8"/>
    <w:rsid w:val="002679D5"/>
    <w:rsid w:val="002714FD"/>
    <w:rsid w:val="00275F94"/>
    <w:rsid w:val="00281B9C"/>
    <w:rsid w:val="00284C9B"/>
    <w:rsid w:val="00287D95"/>
    <w:rsid w:val="00294844"/>
    <w:rsid w:val="00295EC1"/>
    <w:rsid w:val="002A141B"/>
    <w:rsid w:val="002A26B6"/>
    <w:rsid w:val="002A3854"/>
    <w:rsid w:val="002A3B84"/>
    <w:rsid w:val="002A6A4E"/>
    <w:rsid w:val="002A6D74"/>
    <w:rsid w:val="002B5A85"/>
    <w:rsid w:val="002B63A7"/>
    <w:rsid w:val="002B7A52"/>
    <w:rsid w:val="002B7B06"/>
    <w:rsid w:val="002C299D"/>
    <w:rsid w:val="002C5543"/>
    <w:rsid w:val="002C6F06"/>
    <w:rsid w:val="002D08C8"/>
    <w:rsid w:val="002D0DEC"/>
    <w:rsid w:val="002D0F7F"/>
    <w:rsid w:val="002E0198"/>
    <w:rsid w:val="002E1D7C"/>
    <w:rsid w:val="002E215A"/>
    <w:rsid w:val="002E7D7E"/>
    <w:rsid w:val="002F2ED9"/>
    <w:rsid w:val="002F449B"/>
    <w:rsid w:val="002F4D86"/>
    <w:rsid w:val="002F5D69"/>
    <w:rsid w:val="002F7C77"/>
    <w:rsid w:val="003006F7"/>
    <w:rsid w:val="00300CB3"/>
    <w:rsid w:val="0030394B"/>
    <w:rsid w:val="0030659F"/>
    <w:rsid w:val="003072C6"/>
    <w:rsid w:val="00307AE1"/>
    <w:rsid w:val="00310D8E"/>
    <w:rsid w:val="00311B74"/>
    <w:rsid w:val="003135BD"/>
    <w:rsid w:val="00315BBD"/>
    <w:rsid w:val="00315D15"/>
    <w:rsid w:val="00316A44"/>
    <w:rsid w:val="00316CFC"/>
    <w:rsid w:val="0031753A"/>
    <w:rsid w:val="00320087"/>
    <w:rsid w:val="00320293"/>
    <w:rsid w:val="00322CC2"/>
    <w:rsid w:val="0032625A"/>
    <w:rsid w:val="003271DC"/>
    <w:rsid w:val="00330076"/>
    <w:rsid w:val="00330F4E"/>
    <w:rsid w:val="003345BF"/>
    <w:rsid w:val="00334B54"/>
    <w:rsid w:val="0033739E"/>
    <w:rsid w:val="00337E73"/>
    <w:rsid w:val="003401D3"/>
    <w:rsid w:val="0034195C"/>
    <w:rsid w:val="00343733"/>
    <w:rsid w:val="00343BD5"/>
    <w:rsid w:val="00344AF5"/>
    <w:rsid w:val="003459B7"/>
    <w:rsid w:val="00346CC2"/>
    <w:rsid w:val="00347FC6"/>
    <w:rsid w:val="00351FFF"/>
    <w:rsid w:val="00355886"/>
    <w:rsid w:val="00356814"/>
    <w:rsid w:val="00362284"/>
    <w:rsid w:val="00364841"/>
    <w:rsid w:val="00371344"/>
    <w:rsid w:val="00371BCD"/>
    <w:rsid w:val="00371FEF"/>
    <w:rsid w:val="0038019F"/>
    <w:rsid w:val="003803A3"/>
    <w:rsid w:val="00381709"/>
    <w:rsid w:val="00382071"/>
    <w:rsid w:val="00386752"/>
    <w:rsid w:val="00390697"/>
    <w:rsid w:val="00393CA0"/>
    <w:rsid w:val="00394D19"/>
    <w:rsid w:val="003A18B7"/>
    <w:rsid w:val="003A2F25"/>
    <w:rsid w:val="003A57F7"/>
    <w:rsid w:val="003A6697"/>
    <w:rsid w:val="003B2807"/>
    <w:rsid w:val="003B5D0C"/>
    <w:rsid w:val="003C3135"/>
    <w:rsid w:val="003C55DF"/>
    <w:rsid w:val="003C5DBD"/>
    <w:rsid w:val="003C68F2"/>
    <w:rsid w:val="003C72FB"/>
    <w:rsid w:val="003C79E3"/>
    <w:rsid w:val="003D58B8"/>
    <w:rsid w:val="003D5CFB"/>
    <w:rsid w:val="003D6DBA"/>
    <w:rsid w:val="003E0F3D"/>
    <w:rsid w:val="003E2636"/>
    <w:rsid w:val="003E2E12"/>
    <w:rsid w:val="003F1DEA"/>
    <w:rsid w:val="003F24E5"/>
    <w:rsid w:val="003F39CE"/>
    <w:rsid w:val="003F3DC8"/>
    <w:rsid w:val="003F7876"/>
    <w:rsid w:val="003F7DC8"/>
    <w:rsid w:val="00401108"/>
    <w:rsid w:val="00402927"/>
    <w:rsid w:val="00407993"/>
    <w:rsid w:val="00407A15"/>
    <w:rsid w:val="00411833"/>
    <w:rsid w:val="004118D2"/>
    <w:rsid w:val="0041242A"/>
    <w:rsid w:val="00412F64"/>
    <w:rsid w:val="00417BEB"/>
    <w:rsid w:val="0042350C"/>
    <w:rsid w:val="004324FF"/>
    <w:rsid w:val="00432A55"/>
    <w:rsid w:val="00435C2D"/>
    <w:rsid w:val="0044260A"/>
    <w:rsid w:val="00444D82"/>
    <w:rsid w:val="00450A7B"/>
    <w:rsid w:val="0045349F"/>
    <w:rsid w:val="004564C6"/>
    <w:rsid w:val="004610CC"/>
    <w:rsid w:val="00465464"/>
    <w:rsid w:val="00465E87"/>
    <w:rsid w:val="004668FC"/>
    <w:rsid w:val="004737C1"/>
    <w:rsid w:val="0047786A"/>
    <w:rsid w:val="00477A65"/>
    <w:rsid w:val="0048194B"/>
    <w:rsid w:val="00482DB3"/>
    <w:rsid w:val="004867E9"/>
    <w:rsid w:val="004922B0"/>
    <w:rsid w:val="00492738"/>
    <w:rsid w:val="004A0236"/>
    <w:rsid w:val="004A369A"/>
    <w:rsid w:val="004A3B3E"/>
    <w:rsid w:val="004A47BE"/>
    <w:rsid w:val="004B0159"/>
    <w:rsid w:val="004B1061"/>
    <w:rsid w:val="004B4410"/>
    <w:rsid w:val="004B5D75"/>
    <w:rsid w:val="004C33F0"/>
    <w:rsid w:val="004C3460"/>
    <w:rsid w:val="004C5777"/>
    <w:rsid w:val="004D0173"/>
    <w:rsid w:val="004D1056"/>
    <w:rsid w:val="004D2BDF"/>
    <w:rsid w:val="004D311A"/>
    <w:rsid w:val="004D526B"/>
    <w:rsid w:val="004D57CF"/>
    <w:rsid w:val="004D6C4F"/>
    <w:rsid w:val="004E1EDE"/>
    <w:rsid w:val="004E21E2"/>
    <w:rsid w:val="004E293F"/>
    <w:rsid w:val="004E380D"/>
    <w:rsid w:val="004E5EF8"/>
    <w:rsid w:val="004E7922"/>
    <w:rsid w:val="004F0DFC"/>
    <w:rsid w:val="004F3441"/>
    <w:rsid w:val="004F41B2"/>
    <w:rsid w:val="004F4AFC"/>
    <w:rsid w:val="004F52A5"/>
    <w:rsid w:val="00500C8C"/>
    <w:rsid w:val="00501375"/>
    <w:rsid w:val="00501D3B"/>
    <w:rsid w:val="005022C9"/>
    <w:rsid w:val="0050240D"/>
    <w:rsid w:val="005061F9"/>
    <w:rsid w:val="0050779D"/>
    <w:rsid w:val="0050793C"/>
    <w:rsid w:val="005139EA"/>
    <w:rsid w:val="00514A46"/>
    <w:rsid w:val="00514F73"/>
    <w:rsid w:val="00515E59"/>
    <w:rsid w:val="005163D6"/>
    <w:rsid w:val="00520BBB"/>
    <w:rsid w:val="005233E6"/>
    <w:rsid w:val="00525456"/>
    <w:rsid w:val="00527638"/>
    <w:rsid w:val="00532236"/>
    <w:rsid w:val="00532FB5"/>
    <w:rsid w:val="00533261"/>
    <w:rsid w:val="00541DFE"/>
    <w:rsid w:val="00543237"/>
    <w:rsid w:val="00543E6C"/>
    <w:rsid w:val="00544184"/>
    <w:rsid w:val="00546421"/>
    <w:rsid w:val="00546F97"/>
    <w:rsid w:val="00550FDD"/>
    <w:rsid w:val="00555051"/>
    <w:rsid w:val="005552FD"/>
    <w:rsid w:val="005600E5"/>
    <w:rsid w:val="0056060F"/>
    <w:rsid w:val="00564E8F"/>
    <w:rsid w:val="00570178"/>
    <w:rsid w:val="005728A4"/>
    <w:rsid w:val="005732CB"/>
    <w:rsid w:val="005763FC"/>
    <w:rsid w:val="00576EB4"/>
    <w:rsid w:val="005777BB"/>
    <w:rsid w:val="00577B30"/>
    <w:rsid w:val="00582768"/>
    <w:rsid w:val="00583461"/>
    <w:rsid w:val="00583787"/>
    <w:rsid w:val="00584104"/>
    <w:rsid w:val="005856A4"/>
    <w:rsid w:val="00586DAB"/>
    <w:rsid w:val="00590730"/>
    <w:rsid w:val="00597FB5"/>
    <w:rsid w:val="005A3051"/>
    <w:rsid w:val="005A31CB"/>
    <w:rsid w:val="005A3333"/>
    <w:rsid w:val="005A35A3"/>
    <w:rsid w:val="005A53FE"/>
    <w:rsid w:val="005B31BA"/>
    <w:rsid w:val="005B7D22"/>
    <w:rsid w:val="005C029E"/>
    <w:rsid w:val="005C05DA"/>
    <w:rsid w:val="005C323D"/>
    <w:rsid w:val="005C556E"/>
    <w:rsid w:val="005D594D"/>
    <w:rsid w:val="005E085D"/>
    <w:rsid w:val="005E21D3"/>
    <w:rsid w:val="005E3FA7"/>
    <w:rsid w:val="005E7963"/>
    <w:rsid w:val="005F218C"/>
    <w:rsid w:val="005F4523"/>
    <w:rsid w:val="006014D2"/>
    <w:rsid w:val="00601D4D"/>
    <w:rsid w:val="006021B4"/>
    <w:rsid w:val="00605251"/>
    <w:rsid w:val="00605B5B"/>
    <w:rsid w:val="006062D8"/>
    <w:rsid w:val="006063F1"/>
    <w:rsid w:val="00606827"/>
    <w:rsid w:val="0061732B"/>
    <w:rsid w:val="00620262"/>
    <w:rsid w:val="0062060D"/>
    <w:rsid w:val="00621445"/>
    <w:rsid w:val="00621B4C"/>
    <w:rsid w:val="00627C52"/>
    <w:rsid w:val="00630937"/>
    <w:rsid w:val="00635715"/>
    <w:rsid w:val="00636934"/>
    <w:rsid w:val="0063742A"/>
    <w:rsid w:val="00650AFF"/>
    <w:rsid w:val="00653B84"/>
    <w:rsid w:val="00653E0D"/>
    <w:rsid w:val="00661380"/>
    <w:rsid w:val="00665F33"/>
    <w:rsid w:val="006865C8"/>
    <w:rsid w:val="00686B48"/>
    <w:rsid w:val="00687038"/>
    <w:rsid w:val="0068714E"/>
    <w:rsid w:val="006912B5"/>
    <w:rsid w:val="00691483"/>
    <w:rsid w:val="00692774"/>
    <w:rsid w:val="006929F7"/>
    <w:rsid w:val="00692DEB"/>
    <w:rsid w:val="0069374A"/>
    <w:rsid w:val="00694AB8"/>
    <w:rsid w:val="00695EF7"/>
    <w:rsid w:val="0069699D"/>
    <w:rsid w:val="00696C5E"/>
    <w:rsid w:val="006A3E90"/>
    <w:rsid w:val="006B0F6D"/>
    <w:rsid w:val="006B2C51"/>
    <w:rsid w:val="006B365C"/>
    <w:rsid w:val="006B6361"/>
    <w:rsid w:val="006C5922"/>
    <w:rsid w:val="006C7F60"/>
    <w:rsid w:val="006D3052"/>
    <w:rsid w:val="006D360C"/>
    <w:rsid w:val="006D3FB0"/>
    <w:rsid w:val="006D5AC9"/>
    <w:rsid w:val="006D66ED"/>
    <w:rsid w:val="006E12A9"/>
    <w:rsid w:val="006E4DAD"/>
    <w:rsid w:val="006E786B"/>
    <w:rsid w:val="006F0BBC"/>
    <w:rsid w:val="007002B1"/>
    <w:rsid w:val="007004B2"/>
    <w:rsid w:val="00701737"/>
    <w:rsid w:val="00704EB7"/>
    <w:rsid w:val="00705742"/>
    <w:rsid w:val="007104FE"/>
    <w:rsid w:val="007105BD"/>
    <w:rsid w:val="00711B0C"/>
    <w:rsid w:val="007121A2"/>
    <w:rsid w:val="007136EA"/>
    <w:rsid w:val="00713981"/>
    <w:rsid w:val="007176D6"/>
    <w:rsid w:val="007212DB"/>
    <w:rsid w:val="00723D07"/>
    <w:rsid w:val="00727D54"/>
    <w:rsid w:val="007344C5"/>
    <w:rsid w:val="00734959"/>
    <w:rsid w:val="00735137"/>
    <w:rsid w:val="0073520D"/>
    <w:rsid w:val="00735AB6"/>
    <w:rsid w:val="007431CE"/>
    <w:rsid w:val="00744846"/>
    <w:rsid w:val="0074503B"/>
    <w:rsid w:val="007529B9"/>
    <w:rsid w:val="00752A0D"/>
    <w:rsid w:val="00752CBE"/>
    <w:rsid w:val="00756642"/>
    <w:rsid w:val="00756745"/>
    <w:rsid w:val="00756E34"/>
    <w:rsid w:val="0076366A"/>
    <w:rsid w:val="00766523"/>
    <w:rsid w:val="00774BCF"/>
    <w:rsid w:val="00776792"/>
    <w:rsid w:val="007774AF"/>
    <w:rsid w:val="00780226"/>
    <w:rsid w:val="00780767"/>
    <w:rsid w:val="00781AB4"/>
    <w:rsid w:val="0079050B"/>
    <w:rsid w:val="007923B7"/>
    <w:rsid w:val="00792616"/>
    <w:rsid w:val="007926BB"/>
    <w:rsid w:val="0079344C"/>
    <w:rsid w:val="007968AE"/>
    <w:rsid w:val="007A0283"/>
    <w:rsid w:val="007A2E3C"/>
    <w:rsid w:val="007A5BF8"/>
    <w:rsid w:val="007A6A63"/>
    <w:rsid w:val="007B26FE"/>
    <w:rsid w:val="007B3419"/>
    <w:rsid w:val="007B4B0D"/>
    <w:rsid w:val="007C02C7"/>
    <w:rsid w:val="007C21EE"/>
    <w:rsid w:val="007C31E3"/>
    <w:rsid w:val="007C3506"/>
    <w:rsid w:val="007C77AA"/>
    <w:rsid w:val="007C7BC6"/>
    <w:rsid w:val="007D21ED"/>
    <w:rsid w:val="007D2436"/>
    <w:rsid w:val="007D2570"/>
    <w:rsid w:val="007D3513"/>
    <w:rsid w:val="007D3A2E"/>
    <w:rsid w:val="007D6652"/>
    <w:rsid w:val="007E343D"/>
    <w:rsid w:val="007E3CDF"/>
    <w:rsid w:val="007E59BA"/>
    <w:rsid w:val="007F1092"/>
    <w:rsid w:val="007F4383"/>
    <w:rsid w:val="008011CD"/>
    <w:rsid w:val="00801601"/>
    <w:rsid w:val="0080417A"/>
    <w:rsid w:val="00810991"/>
    <w:rsid w:val="00814A9B"/>
    <w:rsid w:val="00814D98"/>
    <w:rsid w:val="00814F66"/>
    <w:rsid w:val="00817C9E"/>
    <w:rsid w:val="008205AF"/>
    <w:rsid w:val="0082254C"/>
    <w:rsid w:val="008225E5"/>
    <w:rsid w:val="00824E2E"/>
    <w:rsid w:val="0082538B"/>
    <w:rsid w:val="00831053"/>
    <w:rsid w:val="008311A5"/>
    <w:rsid w:val="008314D2"/>
    <w:rsid w:val="00831C56"/>
    <w:rsid w:val="0083254D"/>
    <w:rsid w:val="00832E26"/>
    <w:rsid w:val="00836249"/>
    <w:rsid w:val="00836C8B"/>
    <w:rsid w:val="00836F00"/>
    <w:rsid w:val="00846192"/>
    <w:rsid w:val="00850806"/>
    <w:rsid w:val="00856A1B"/>
    <w:rsid w:val="00856B97"/>
    <w:rsid w:val="008621C3"/>
    <w:rsid w:val="00865486"/>
    <w:rsid w:val="00867645"/>
    <w:rsid w:val="0087028A"/>
    <w:rsid w:val="008732F2"/>
    <w:rsid w:val="00876275"/>
    <w:rsid w:val="00876AA8"/>
    <w:rsid w:val="00876B60"/>
    <w:rsid w:val="00882409"/>
    <w:rsid w:val="00882B99"/>
    <w:rsid w:val="00886121"/>
    <w:rsid w:val="008902CB"/>
    <w:rsid w:val="008941DB"/>
    <w:rsid w:val="00894C65"/>
    <w:rsid w:val="008A295B"/>
    <w:rsid w:val="008A6501"/>
    <w:rsid w:val="008A6604"/>
    <w:rsid w:val="008B32D4"/>
    <w:rsid w:val="008B5482"/>
    <w:rsid w:val="008C08D9"/>
    <w:rsid w:val="008C11F4"/>
    <w:rsid w:val="008C1826"/>
    <w:rsid w:val="008C21D9"/>
    <w:rsid w:val="008C2BEC"/>
    <w:rsid w:val="008C6523"/>
    <w:rsid w:val="008C6D0E"/>
    <w:rsid w:val="008D09D2"/>
    <w:rsid w:val="008D39C5"/>
    <w:rsid w:val="008E145C"/>
    <w:rsid w:val="008E1D89"/>
    <w:rsid w:val="008E3E3E"/>
    <w:rsid w:val="008F1BB5"/>
    <w:rsid w:val="008F1C57"/>
    <w:rsid w:val="008F5F87"/>
    <w:rsid w:val="00900A34"/>
    <w:rsid w:val="0090274C"/>
    <w:rsid w:val="009032BD"/>
    <w:rsid w:val="00907073"/>
    <w:rsid w:val="009133BC"/>
    <w:rsid w:val="00913DBD"/>
    <w:rsid w:val="00914B0D"/>
    <w:rsid w:val="009208F5"/>
    <w:rsid w:val="00924DCE"/>
    <w:rsid w:val="00927D51"/>
    <w:rsid w:val="0093079D"/>
    <w:rsid w:val="00932272"/>
    <w:rsid w:val="00932862"/>
    <w:rsid w:val="00935D60"/>
    <w:rsid w:val="0093712D"/>
    <w:rsid w:val="0093773E"/>
    <w:rsid w:val="00943E37"/>
    <w:rsid w:val="009447BB"/>
    <w:rsid w:val="00944C48"/>
    <w:rsid w:val="0094585D"/>
    <w:rsid w:val="00946335"/>
    <w:rsid w:val="009513C4"/>
    <w:rsid w:val="00955E55"/>
    <w:rsid w:val="009566BE"/>
    <w:rsid w:val="00961871"/>
    <w:rsid w:val="00962200"/>
    <w:rsid w:val="00966F54"/>
    <w:rsid w:val="00967651"/>
    <w:rsid w:val="00975E61"/>
    <w:rsid w:val="00976E31"/>
    <w:rsid w:val="00977C63"/>
    <w:rsid w:val="00980087"/>
    <w:rsid w:val="00980C0B"/>
    <w:rsid w:val="0098240B"/>
    <w:rsid w:val="0098524F"/>
    <w:rsid w:val="00987ABE"/>
    <w:rsid w:val="009906C7"/>
    <w:rsid w:val="009963CD"/>
    <w:rsid w:val="009A3785"/>
    <w:rsid w:val="009A3A71"/>
    <w:rsid w:val="009A7312"/>
    <w:rsid w:val="009B00BC"/>
    <w:rsid w:val="009B266D"/>
    <w:rsid w:val="009B2758"/>
    <w:rsid w:val="009B3671"/>
    <w:rsid w:val="009B5CBF"/>
    <w:rsid w:val="009B6AD5"/>
    <w:rsid w:val="009B6D0F"/>
    <w:rsid w:val="009C184A"/>
    <w:rsid w:val="009C2CA5"/>
    <w:rsid w:val="009D1A70"/>
    <w:rsid w:val="009D3E45"/>
    <w:rsid w:val="009D3F36"/>
    <w:rsid w:val="009E2520"/>
    <w:rsid w:val="009E3A54"/>
    <w:rsid w:val="009F0CCE"/>
    <w:rsid w:val="009F351F"/>
    <w:rsid w:val="009F3F89"/>
    <w:rsid w:val="009F480E"/>
    <w:rsid w:val="009F733B"/>
    <w:rsid w:val="00A022A2"/>
    <w:rsid w:val="00A02D15"/>
    <w:rsid w:val="00A11403"/>
    <w:rsid w:val="00A163D8"/>
    <w:rsid w:val="00A165FD"/>
    <w:rsid w:val="00A26B0D"/>
    <w:rsid w:val="00A277DD"/>
    <w:rsid w:val="00A34EF1"/>
    <w:rsid w:val="00A35E8A"/>
    <w:rsid w:val="00A3735A"/>
    <w:rsid w:val="00A42F1B"/>
    <w:rsid w:val="00A433FE"/>
    <w:rsid w:val="00A44B56"/>
    <w:rsid w:val="00A546BC"/>
    <w:rsid w:val="00A55989"/>
    <w:rsid w:val="00A5694A"/>
    <w:rsid w:val="00A61FA9"/>
    <w:rsid w:val="00A62134"/>
    <w:rsid w:val="00A63DA4"/>
    <w:rsid w:val="00A70103"/>
    <w:rsid w:val="00A7224D"/>
    <w:rsid w:val="00A73F6C"/>
    <w:rsid w:val="00A74D30"/>
    <w:rsid w:val="00A75CD5"/>
    <w:rsid w:val="00A77510"/>
    <w:rsid w:val="00A83DF3"/>
    <w:rsid w:val="00A85915"/>
    <w:rsid w:val="00A85B01"/>
    <w:rsid w:val="00A8729C"/>
    <w:rsid w:val="00A8797E"/>
    <w:rsid w:val="00A952AB"/>
    <w:rsid w:val="00A9783D"/>
    <w:rsid w:val="00AA45E6"/>
    <w:rsid w:val="00AA5A37"/>
    <w:rsid w:val="00AB2BA7"/>
    <w:rsid w:val="00AB489C"/>
    <w:rsid w:val="00AB50C1"/>
    <w:rsid w:val="00AB6936"/>
    <w:rsid w:val="00AC0C3B"/>
    <w:rsid w:val="00AC1705"/>
    <w:rsid w:val="00AC231A"/>
    <w:rsid w:val="00AC2D63"/>
    <w:rsid w:val="00AD03D8"/>
    <w:rsid w:val="00AD0711"/>
    <w:rsid w:val="00AD704E"/>
    <w:rsid w:val="00AE5FE0"/>
    <w:rsid w:val="00AE6096"/>
    <w:rsid w:val="00AE60B7"/>
    <w:rsid w:val="00AE6166"/>
    <w:rsid w:val="00AE7F3B"/>
    <w:rsid w:val="00AF22AF"/>
    <w:rsid w:val="00AF26FE"/>
    <w:rsid w:val="00AF2AB7"/>
    <w:rsid w:val="00AF2B1C"/>
    <w:rsid w:val="00AF4D3F"/>
    <w:rsid w:val="00AF4E62"/>
    <w:rsid w:val="00AF75C8"/>
    <w:rsid w:val="00B01DCD"/>
    <w:rsid w:val="00B0300B"/>
    <w:rsid w:val="00B05457"/>
    <w:rsid w:val="00B128A0"/>
    <w:rsid w:val="00B13241"/>
    <w:rsid w:val="00B1766C"/>
    <w:rsid w:val="00B20240"/>
    <w:rsid w:val="00B23281"/>
    <w:rsid w:val="00B27103"/>
    <w:rsid w:val="00B27571"/>
    <w:rsid w:val="00B30329"/>
    <w:rsid w:val="00B31577"/>
    <w:rsid w:val="00B36077"/>
    <w:rsid w:val="00B37A5C"/>
    <w:rsid w:val="00B41399"/>
    <w:rsid w:val="00B4164B"/>
    <w:rsid w:val="00B5409A"/>
    <w:rsid w:val="00B55574"/>
    <w:rsid w:val="00B5625B"/>
    <w:rsid w:val="00B61D26"/>
    <w:rsid w:val="00B634E6"/>
    <w:rsid w:val="00B6525D"/>
    <w:rsid w:val="00B65ABA"/>
    <w:rsid w:val="00B6790F"/>
    <w:rsid w:val="00B71B3B"/>
    <w:rsid w:val="00B75770"/>
    <w:rsid w:val="00B84E71"/>
    <w:rsid w:val="00B87D61"/>
    <w:rsid w:val="00B93948"/>
    <w:rsid w:val="00B93CAF"/>
    <w:rsid w:val="00B97674"/>
    <w:rsid w:val="00BA4BC7"/>
    <w:rsid w:val="00BA55B7"/>
    <w:rsid w:val="00BA5E47"/>
    <w:rsid w:val="00BA7D57"/>
    <w:rsid w:val="00BB156E"/>
    <w:rsid w:val="00BB2604"/>
    <w:rsid w:val="00BB3330"/>
    <w:rsid w:val="00BB47D7"/>
    <w:rsid w:val="00BB4A62"/>
    <w:rsid w:val="00BB7FD6"/>
    <w:rsid w:val="00BC01C1"/>
    <w:rsid w:val="00BC5A34"/>
    <w:rsid w:val="00BD17F5"/>
    <w:rsid w:val="00BD2E94"/>
    <w:rsid w:val="00BD3902"/>
    <w:rsid w:val="00BD4B1A"/>
    <w:rsid w:val="00BD6E05"/>
    <w:rsid w:val="00BD791D"/>
    <w:rsid w:val="00BE54D0"/>
    <w:rsid w:val="00BF1CBF"/>
    <w:rsid w:val="00BF273F"/>
    <w:rsid w:val="00BF6B6C"/>
    <w:rsid w:val="00BF716E"/>
    <w:rsid w:val="00BF7251"/>
    <w:rsid w:val="00BF7F28"/>
    <w:rsid w:val="00C00729"/>
    <w:rsid w:val="00C01909"/>
    <w:rsid w:val="00C05787"/>
    <w:rsid w:val="00C07905"/>
    <w:rsid w:val="00C13059"/>
    <w:rsid w:val="00C1391F"/>
    <w:rsid w:val="00C156D4"/>
    <w:rsid w:val="00C167A3"/>
    <w:rsid w:val="00C20741"/>
    <w:rsid w:val="00C2181C"/>
    <w:rsid w:val="00C23E56"/>
    <w:rsid w:val="00C25C11"/>
    <w:rsid w:val="00C2657D"/>
    <w:rsid w:val="00C26777"/>
    <w:rsid w:val="00C3447A"/>
    <w:rsid w:val="00C3496B"/>
    <w:rsid w:val="00C36AEB"/>
    <w:rsid w:val="00C36D75"/>
    <w:rsid w:val="00C416E1"/>
    <w:rsid w:val="00C42442"/>
    <w:rsid w:val="00C42D45"/>
    <w:rsid w:val="00C47BF8"/>
    <w:rsid w:val="00C51B1C"/>
    <w:rsid w:val="00C53DCE"/>
    <w:rsid w:val="00C62955"/>
    <w:rsid w:val="00C655F2"/>
    <w:rsid w:val="00C65B4C"/>
    <w:rsid w:val="00C65B61"/>
    <w:rsid w:val="00C65C19"/>
    <w:rsid w:val="00C66A79"/>
    <w:rsid w:val="00C70E53"/>
    <w:rsid w:val="00C72979"/>
    <w:rsid w:val="00C741A7"/>
    <w:rsid w:val="00C75604"/>
    <w:rsid w:val="00C76086"/>
    <w:rsid w:val="00C81529"/>
    <w:rsid w:val="00C816D6"/>
    <w:rsid w:val="00C81BA6"/>
    <w:rsid w:val="00C835BC"/>
    <w:rsid w:val="00C8377C"/>
    <w:rsid w:val="00C877CD"/>
    <w:rsid w:val="00C902E9"/>
    <w:rsid w:val="00C908B7"/>
    <w:rsid w:val="00C91D81"/>
    <w:rsid w:val="00C92A42"/>
    <w:rsid w:val="00C96701"/>
    <w:rsid w:val="00C96E81"/>
    <w:rsid w:val="00CA18F2"/>
    <w:rsid w:val="00CA2C81"/>
    <w:rsid w:val="00CA4871"/>
    <w:rsid w:val="00CA6722"/>
    <w:rsid w:val="00CA6D4E"/>
    <w:rsid w:val="00CA7B4B"/>
    <w:rsid w:val="00CB1C88"/>
    <w:rsid w:val="00CB36A8"/>
    <w:rsid w:val="00CB59E7"/>
    <w:rsid w:val="00CC139A"/>
    <w:rsid w:val="00CC1C60"/>
    <w:rsid w:val="00CC1E7A"/>
    <w:rsid w:val="00CC4F64"/>
    <w:rsid w:val="00CC5C41"/>
    <w:rsid w:val="00CD058C"/>
    <w:rsid w:val="00CD3B98"/>
    <w:rsid w:val="00CD4216"/>
    <w:rsid w:val="00CD518C"/>
    <w:rsid w:val="00CD733F"/>
    <w:rsid w:val="00CE0942"/>
    <w:rsid w:val="00CE3A03"/>
    <w:rsid w:val="00CE3DFE"/>
    <w:rsid w:val="00CE3E1E"/>
    <w:rsid w:val="00CE7CA5"/>
    <w:rsid w:val="00CF1D81"/>
    <w:rsid w:val="00CF2188"/>
    <w:rsid w:val="00CF2DC9"/>
    <w:rsid w:val="00CF31B2"/>
    <w:rsid w:val="00CF4693"/>
    <w:rsid w:val="00CF65B9"/>
    <w:rsid w:val="00CF6670"/>
    <w:rsid w:val="00CF6C8C"/>
    <w:rsid w:val="00CF7CB6"/>
    <w:rsid w:val="00D219BC"/>
    <w:rsid w:val="00D311AB"/>
    <w:rsid w:val="00D325A8"/>
    <w:rsid w:val="00D33203"/>
    <w:rsid w:val="00D34751"/>
    <w:rsid w:val="00D430C5"/>
    <w:rsid w:val="00D442AD"/>
    <w:rsid w:val="00D53DCD"/>
    <w:rsid w:val="00D5618A"/>
    <w:rsid w:val="00D5679E"/>
    <w:rsid w:val="00D5784B"/>
    <w:rsid w:val="00D57D47"/>
    <w:rsid w:val="00D605E0"/>
    <w:rsid w:val="00D60694"/>
    <w:rsid w:val="00D625BB"/>
    <w:rsid w:val="00D63EFB"/>
    <w:rsid w:val="00D658AF"/>
    <w:rsid w:val="00D73788"/>
    <w:rsid w:val="00D74BA4"/>
    <w:rsid w:val="00D74E65"/>
    <w:rsid w:val="00D75B93"/>
    <w:rsid w:val="00D809F0"/>
    <w:rsid w:val="00D83DE9"/>
    <w:rsid w:val="00D8450D"/>
    <w:rsid w:val="00D847F5"/>
    <w:rsid w:val="00D85EAC"/>
    <w:rsid w:val="00D87BAB"/>
    <w:rsid w:val="00D91F6D"/>
    <w:rsid w:val="00D95AF9"/>
    <w:rsid w:val="00D95CF4"/>
    <w:rsid w:val="00D967E9"/>
    <w:rsid w:val="00DA09C9"/>
    <w:rsid w:val="00DA1822"/>
    <w:rsid w:val="00DA34C3"/>
    <w:rsid w:val="00DA5D9A"/>
    <w:rsid w:val="00DB0A55"/>
    <w:rsid w:val="00DB3A12"/>
    <w:rsid w:val="00DB4E84"/>
    <w:rsid w:val="00DB5E1F"/>
    <w:rsid w:val="00DC193E"/>
    <w:rsid w:val="00DC19D8"/>
    <w:rsid w:val="00DC2613"/>
    <w:rsid w:val="00DC4512"/>
    <w:rsid w:val="00DC6BFF"/>
    <w:rsid w:val="00DD147E"/>
    <w:rsid w:val="00DD3691"/>
    <w:rsid w:val="00DD46C6"/>
    <w:rsid w:val="00DD4B55"/>
    <w:rsid w:val="00DE1E90"/>
    <w:rsid w:val="00DE24E6"/>
    <w:rsid w:val="00DF07AD"/>
    <w:rsid w:val="00DF0E2A"/>
    <w:rsid w:val="00DF3364"/>
    <w:rsid w:val="00E0120F"/>
    <w:rsid w:val="00E04308"/>
    <w:rsid w:val="00E055BB"/>
    <w:rsid w:val="00E05923"/>
    <w:rsid w:val="00E06A95"/>
    <w:rsid w:val="00E11988"/>
    <w:rsid w:val="00E12FB6"/>
    <w:rsid w:val="00E15DA9"/>
    <w:rsid w:val="00E16216"/>
    <w:rsid w:val="00E2095D"/>
    <w:rsid w:val="00E21579"/>
    <w:rsid w:val="00E239C2"/>
    <w:rsid w:val="00E24568"/>
    <w:rsid w:val="00E271E7"/>
    <w:rsid w:val="00E30414"/>
    <w:rsid w:val="00E3320D"/>
    <w:rsid w:val="00E373BC"/>
    <w:rsid w:val="00E40769"/>
    <w:rsid w:val="00E42E8B"/>
    <w:rsid w:val="00E60F12"/>
    <w:rsid w:val="00E652FB"/>
    <w:rsid w:val="00E6599E"/>
    <w:rsid w:val="00E66C20"/>
    <w:rsid w:val="00E71C46"/>
    <w:rsid w:val="00E75ED2"/>
    <w:rsid w:val="00E80772"/>
    <w:rsid w:val="00E8280C"/>
    <w:rsid w:val="00E82E52"/>
    <w:rsid w:val="00E83E4C"/>
    <w:rsid w:val="00E91933"/>
    <w:rsid w:val="00E92A81"/>
    <w:rsid w:val="00E95738"/>
    <w:rsid w:val="00E969B1"/>
    <w:rsid w:val="00EA0900"/>
    <w:rsid w:val="00EA179B"/>
    <w:rsid w:val="00EA4F24"/>
    <w:rsid w:val="00EB0C04"/>
    <w:rsid w:val="00EB6552"/>
    <w:rsid w:val="00EC0B06"/>
    <w:rsid w:val="00EC18E6"/>
    <w:rsid w:val="00EC1984"/>
    <w:rsid w:val="00EC234C"/>
    <w:rsid w:val="00ED3529"/>
    <w:rsid w:val="00ED4D17"/>
    <w:rsid w:val="00ED669C"/>
    <w:rsid w:val="00EE4BA1"/>
    <w:rsid w:val="00EE6CD3"/>
    <w:rsid w:val="00EE7036"/>
    <w:rsid w:val="00EF20D7"/>
    <w:rsid w:val="00EF3419"/>
    <w:rsid w:val="00EF6E23"/>
    <w:rsid w:val="00F0119C"/>
    <w:rsid w:val="00F02BDB"/>
    <w:rsid w:val="00F0441B"/>
    <w:rsid w:val="00F07623"/>
    <w:rsid w:val="00F11507"/>
    <w:rsid w:val="00F26206"/>
    <w:rsid w:val="00F3136B"/>
    <w:rsid w:val="00F314F1"/>
    <w:rsid w:val="00F327EA"/>
    <w:rsid w:val="00F33641"/>
    <w:rsid w:val="00F36F32"/>
    <w:rsid w:val="00F417F7"/>
    <w:rsid w:val="00F42842"/>
    <w:rsid w:val="00F46E40"/>
    <w:rsid w:val="00F473DE"/>
    <w:rsid w:val="00F4760A"/>
    <w:rsid w:val="00F5028E"/>
    <w:rsid w:val="00F52B8E"/>
    <w:rsid w:val="00F53CFD"/>
    <w:rsid w:val="00F54AF5"/>
    <w:rsid w:val="00F557E3"/>
    <w:rsid w:val="00F61E78"/>
    <w:rsid w:val="00F635C5"/>
    <w:rsid w:val="00F635C7"/>
    <w:rsid w:val="00F64FE9"/>
    <w:rsid w:val="00F667BF"/>
    <w:rsid w:val="00F73389"/>
    <w:rsid w:val="00F736E3"/>
    <w:rsid w:val="00F7542D"/>
    <w:rsid w:val="00F75878"/>
    <w:rsid w:val="00F767E8"/>
    <w:rsid w:val="00F85FEA"/>
    <w:rsid w:val="00F86012"/>
    <w:rsid w:val="00F86A3F"/>
    <w:rsid w:val="00F90CFD"/>
    <w:rsid w:val="00F91297"/>
    <w:rsid w:val="00F9133B"/>
    <w:rsid w:val="00F93F58"/>
    <w:rsid w:val="00F95649"/>
    <w:rsid w:val="00F97730"/>
    <w:rsid w:val="00FA1079"/>
    <w:rsid w:val="00FA5EF9"/>
    <w:rsid w:val="00FB2DAB"/>
    <w:rsid w:val="00FB32A4"/>
    <w:rsid w:val="00FB4608"/>
    <w:rsid w:val="00FB594D"/>
    <w:rsid w:val="00FC49BB"/>
    <w:rsid w:val="00FD616B"/>
    <w:rsid w:val="00FE367F"/>
    <w:rsid w:val="00FE69D6"/>
    <w:rsid w:val="00FE738B"/>
    <w:rsid w:val="00FF0815"/>
    <w:rsid w:val="00FF1A11"/>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BBBC675"/>
  <w15:docId w15:val="{B74C579D-FF9A-44E9-AAA9-EC3073A0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EE7036"/>
    <w:pPr>
      <w:keepNext/>
      <w:keepLines/>
      <w:spacing w:before="520" w:after="440" w:line="440" w:lineRule="atLeast"/>
      <w:outlineLvl w:val="0"/>
    </w:pPr>
    <w:rPr>
      <w:rFonts w:ascii="Arial" w:hAnsi="Arial"/>
      <w:bCs/>
      <w:color w:val="0070C0"/>
      <w:sz w:val="44"/>
      <w:szCs w:val="44"/>
      <w:lang w:eastAsia="en-US"/>
    </w:rPr>
  </w:style>
  <w:style w:type="paragraph" w:styleId="Heading2">
    <w:name w:val="heading 2"/>
    <w:next w:val="DHHSbody"/>
    <w:link w:val="Heading2Char"/>
    <w:uiPriority w:val="1"/>
    <w:qFormat/>
    <w:rsid w:val="0042350C"/>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EE7036"/>
    <w:rPr>
      <w:rFonts w:ascii="Arial" w:hAnsi="Arial"/>
      <w:bCs/>
      <w:color w:val="0070C0"/>
      <w:sz w:val="44"/>
      <w:szCs w:val="44"/>
      <w:lang w:eastAsia="en-US"/>
    </w:rPr>
  </w:style>
  <w:style w:type="character" w:customStyle="1" w:styleId="Heading2Char">
    <w:name w:val="Heading 2 Char"/>
    <w:link w:val="Heading2"/>
    <w:uiPriority w:val="1"/>
    <w:rsid w:val="0042350C"/>
    <w:rPr>
      <w:rFonts w:ascii="Arial" w:hAnsi="Arial"/>
      <w:b/>
      <w:color w:val="004EA8"/>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5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eastAsia="en-US"/>
    </w:rPr>
  </w:style>
  <w:style w:type="paragraph" w:styleId="FootnoteText">
    <w:name w:val="footnote text"/>
    <w:basedOn w:val="Normal"/>
    <w:link w:val="FootnoteTextChar"/>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232A1F"/>
    <w:pPr>
      <w:spacing w:after="120" w:line="270" w:lineRule="atLeast"/>
    </w:pPr>
    <w:rPr>
      <w:rFonts w:ascii="Arial" w:eastAsia="Times" w:hAnsi="Arial"/>
      <w:sz w:val="22"/>
      <w:szCs w:val="22"/>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B13241"/>
    <w:pPr>
      <w:spacing w:before="80" w:after="60"/>
    </w:pPr>
    <w:rPr>
      <w:rFonts w:ascii="Arial" w:hAnsi="Arial"/>
      <w:b/>
      <w:color w:val="004EA8"/>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636934"/>
    <w:pPr>
      <w:spacing w:before="0"/>
      <w:outlineLvl w:val="9"/>
    </w:pPr>
  </w:style>
  <w:style w:type="character" w:customStyle="1" w:styleId="DHHSTOCheadingreportChar">
    <w:name w:val="DHHS TOC heading report Char"/>
    <w:link w:val="DHHSTOCheadingreport"/>
    <w:uiPriority w:val="5"/>
    <w:rsid w:val="00636934"/>
    <w:rPr>
      <w:rFonts w:ascii="Arial" w:hAnsi="Arial"/>
      <w:bCs/>
      <w:color w:val="004EA8"/>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E71C46"/>
    <w:rPr>
      <w:rFonts w:ascii="Calibri Light" w:eastAsia="Times New Roman" w:hAnsi="Calibri Light" w:cs="Times New Roman"/>
      <w:b/>
      <w:bCs/>
      <w:kern w:val="28"/>
      <w:sz w:val="32"/>
      <w:szCs w:val="32"/>
      <w:lang w:eastAsia="en-US"/>
    </w:rPr>
  </w:style>
  <w:style w:type="paragraph" w:styleId="ListParagraph">
    <w:name w:val="List Paragraph"/>
    <w:basedOn w:val="Normal"/>
    <w:uiPriority w:val="34"/>
    <w:qFormat/>
    <w:rsid w:val="00831C56"/>
    <w:pPr>
      <w:ind w:left="720"/>
      <w:contextualSpacing/>
    </w:pPr>
    <w:rPr>
      <w:rFonts w:ascii="Calibri" w:eastAsia="Calibri" w:hAnsi="Calibri"/>
      <w:sz w:val="22"/>
      <w:szCs w:val="22"/>
    </w:rPr>
  </w:style>
  <w:style w:type="character" w:customStyle="1" w:styleId="FooterChar">
    <w:name w:val="Footer Char"/>
    <w:link w:val="Footer"/>
    <w:uiPriority w:val="99"/>
    <w:rsid w:val="00605251"/>
    <w:rPr>
      <w:rFonts w:ascii="Arial" w:hAnsi="Arial" w:cs="Arial"/>
      <w:sz w:val="18"/>
      <w:szCs w:val="18"/>
      <w:lang w:eastAsia="en-US"/>
    </w:rPr>
  </w:style>
  <w:style w:type="paragraph" w:styleId="BalloonText">
    <w:name w:val="Balloon Text"/>
    <w:basedOn w:val="Normal"/>
    <w:link w:val="BalloonTextChar"/>
    <w:uiPriority w:val="99"/>
    <w:semiHidden/>
    <w:unhideWhenUsed/>
    <w:rsid w:val="00605251"/>
    <w:rPr>
      <w:rFonts w:ascii="Tahoma" w:hAnsi="Tahoma" w:cs="Tahoma"/>
      <w:sz w:val="16"/>
      <w:szCs w:val="16"/>
    </w:rPr>
  </w:style>
  <w:style w:type="character" w:customStyle="1" w:styleId="BalloonTextChar">
    <w:name w:val="Balloon Text Char"/>
    <w:link w:val="BalloonText"/>
    <w:uiPriority w:val="99"/>
    <w:semiHidden/>
    <w:rsid w:val="00605251"/>
    <w:rPr>
      <w:rFonts w:ascii="Tahoma" w:hAnsi="Tahoma" w:cs="Tahoma"/>
      <w:sz w:val="16"/>
      <w:szCs w:val="16"/>
      <w:lang w:eastAsia="en-US"/>
    </w:rPr>
  </w:style>
  <w:style w:type="character" w:styleId="CommentReference">
    <w:name w:val="annotation reference"/>
    <w:basedOn w:val="DefaultParagraphFont"/>
    <w:uiPriority w:val="99"/>
    <w:semiHidden/>
    <w:unhideWhenUsed/>
    <w:rsid w:val="00527638"/>
    <w:rPr>
      <w:sz w:val="16"/>
      <w:szCs w:val="16"/>
    </w:rPr>
  </w:style>
  <w:style w:type="paragraph" w:styleId="CommentText">
    <w:name w:val="annotation text"/>
    <w:basedOn w:val="Normal"/>
    <w:link w:val="CommentTextChar"/>
    <w:uiPriority w:val="99"/>
    <w:semiHidden/>
    <w:unhideWhenUsed/>
    <w:rsid w:val="00527638"/>
  </w:style>
  <w:style w:type="character" w:customStyle="1" w:styleId="CommentTextChar">
    <w:name w:val="Comment Text Char"/>
    <w:basedOn w:val="DefaultParagraphFont"/>
    <w:link w:val="CommentText"/>
    <w:uiPriority w:val="99"/>
    <w:semiHidden/>
    <w:rsid w:val="00527638"/>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527638"/>
    <w:rPr>
      <w:b/>
      <w:bCs/>
    </w:rPr>
  </w:style>
  <w:style w:type="character" w:customStyle="1" w:styleId="CommentSubjectChar">
    <w:name w:val="Comment Subject Char"/>
    <w:basedOn w:val="CommentTextChar"/>
    <w:link w:val="CommentSubject"/>
    <w:uiPriority w:val="99"/>
    <w:semiHidden/>
    <w:rsid w:val="00527638"/>
    <w:rPr>
      <w:rFonts w:ascii="Cambria" w:hAnsi="Cambria"/>
      <w:b/>
      <w:bCs/>
      <w:lang w:eastAsia="en-US"/>
    </w:rPr>
  </w:style>
  <w:style w:type="paragraph" w:styleId="NormalWeb">
    <w:name w:val="Normal (Web)"/>
    <w:basedOn w:val="Normal"/>
    <w:uiPriority w:val="99"/>
    <w:unhideWhenUsed/>
    <w:rsid w:val="00DD46C6"/>
    <w:pPr>
      <w:spacing w:before="100" w:beforeAutospacing="1" w:after="100" w:afterAutospacing="1"/>
    </w:pPr>
    <w:rPr>
      <w:rFonts w:ascii="Times New Roman" w:hAnsi="Times New Roman"/>
      <w:sz w:val="24"/>
      <w:szCs w:val="24"/>
      <w:lang w:eastAsia="en-AU"/>
    </w:rPr>
  </w:style>
  <w:style w:type="paragraph" w:customStyle="1" w:styleId="Defintion">
    <w:name w:val="Defintion"/>
    <w:next w:val="Normal"/>
    <w:rsid w:val="00ED669C"/>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1">
    <w:name w:val="Draft Heading 1"/>
    <w:basedOn w:val="Normal"/>
    <w:next w:val="Normal"/>
    <w:link w:val="DraftHeading1Char"/>
    <w:rsid w:val="00ED669C"/>
    <w:pPr>
      <w:overflowPunct w:val="0"/>
      <w:autoSpaceDE w:val="0"/>
      <w:autoSpaceDN w:val="0"/>
      <w:adjustRightInd w:val="0"/>
      <w:spacing w:before="120"/>
      <w:textAlignment w:val="baseline"/>
      <w:outlineLvl w:val="2"/>
    </w:pPr>
    <w:rPr>
      <w:rFonts w:ascii="Times New Roman" w:hAnsi="Times New Roman"/>
      <w:b/>
      <w:sz w:val="24"/>
    </w:rPr>
  </w:style>
  <w:style w:type="paragraph" w:customStyle="1" w:styleId="DraftHeading2">
    <w:name w:val="Draft Heading 2"/>
    <w:basedOn w:val="Normal"/>
    <w:next w:val="Normal"/>
    <w:rsid w:val="00ED669C"/>
    <w:pPr>
      <w:overflowPunct w:val="0"/>
      <w:autoSpaceDE w:val="0"/>
      <w:autoSpaceDN w:val="0"/>
      <w:adjustRightInd w:val="0"/>
      <w:spacing w:before="120"/>
      <w:textAlignment w:val="baseline"/>
    </w:pPr>
    <w:rPr>
      <w:rFonts w:ascii="Times New Roman" w:hAnsi="Times New Roman"/>
      <w:sz w:val="24"/>
    </w:rPr>
  </w:style>
  <w:style w:type="paragraph" w:customStyle="1" w:styleId="DraftHeading3">
    <w:name w:val="Draft Heading 3"/>
    <w:basedOn w:val="Normal"/>
    <w:next w:val="Normal"/>
    <w:rsid w:val="00ED669C"/>
    <w:pPr>
      <w:overflowPunct w:val="0"/>
      <w:autoSpaceDE w:val="0"/>
      <w:autoSpaceDN w:val="0"/>
      <w:adjustRightInd w:val="0"/>
      <w:spacing w:before="120"/>
      <w:textAlignment w:val="baseline"/>
    </w:pPr>
    <w:rPr>
      <w:rFonts w:ascii="Times New Roman" w:hAnsi="Times New Roman"/>
      <w:sz w:val="24"/>
    </w:rPr>
  </w:style>
  <w:style w:type="character" w:customStyle="1" w:styleId="DraftHeading1Char">
    <w:name w:val="Draft Heading 1 Char"/>
    <w:basedOn w:val="DefaultParagraphFont"/>
    <w:link w:val="DraftHeading1"/>
    <w:rsid w:val="00ED669C"/>
    <w:rPr>
      <w:b/>
      <w:sz w:val="24"/>
      <w:lang w:eastAsia="en-US"/>
    </w:rPr>
  </w:style>
  <w:style w:type="paragraph" w:styleId="Revision">
    <w:name w:val="Revision"/>
    <w:hidden/>
    <w:uiPriority w:val="71"/>
    <w:rsid w:val="00584104"/>
    <w:rPr>
      <w:rFonts w:ascii="Cambria" w:hAnsi="Cambria"/>
      <w:lang w:eastAsia="en-US"/>
    </w:rPr>
  </w:style>
  <w:style w:type="character" w:customStyle="1" w:styleId="FootnoteTextChar">
    <w:name w:val="Footnote Text Char"/>
    <w:basedOn w:val="DefaultParagraphFont"/>
    <w:link w:val="FootnoteText"/>
    <w:uiPriority w:val="8"/>
    <w:rsid w:val="00AF75C8"/>
    <w:rPr>
      <w:rFonts w:ascii="Arial" w:eastAsia="MS Gothic" w:hAnsi="Arial" w:cs="Arial"/>
      <w:sz w:val="16"/>
      <w:szCs w:val="16"/>
      <w:lang w:eastAsia="en-US"/>
    </w:rPr>
  </w:style>
  <w:style w:type="character" w:styleId="UnresolvedMention">
    <w:name w:val="Unresolved Mention"/>
    <w:basedOn w:val="DefaultParagraphFont"/>
    <w:uiPriority w:val="99"/>
    <w:semiHidden/>
    <w:unhideWhenUsed/>
    <w:rsid w:val="002A6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4987">
      <w:bodyDiv w:val="1"/>
      <w:marLeft w:val="0"/>
      <w:marRight w:val="0"/>
      <w:marTop w:val="0"/>
      <w:marBottom w:val="0"/>
      <w:divBdr>
        <w:top w:val="none" w:sz="0" w:space="0" w:color="auto"/>
        <w:left w:val="none" w:sz="0" w:space="0" w:color="auto"/>
        <w:bottom w:val="none" w:sz="0" w:space="0" w:color="auto"/>
        <w:right w:val="none" w:sz="0" w:space="0" w:color="auto"/>
      </w:divBdr>
    </w:div>
    <w:div w:id="705836227">
      <w:bodyDiv w:val="1"/>
      <w:marLeft w:val="0"/>
      <w:marRight w:val="0"/>
      <w:marTop w:val="0"/>
      <w:marBottom w:val="0"/>
      <w:divBdr>
        <w:top w:val="none" w:sz="0" w:space="0" w:color="auto"/>
        <w:left w:val="none" w:sz="0" w:space="0" w:color="auto"/>
        <w:bottom w:val="none" w:sz="0" w:space="0" w:color="auto"/>
        <w:right w:val="none" w:sz="0" w:space="0" w:color="auto"/>
      </w:divBdr>
    </w:div>
    <w:div w:id="732582994">
      <w:bodyDiv w:val="1"/>
      <w:marLeft w:val="0"/>
      <w:marRight w:val="0"/>
      <w:marTop w:val="0"/>
      <w:marBottom w:val="0"/>
      <w:divBdr>
        <w:top w:val="none" w:sz="0" w:space="0" w:color="auto"/>
        <w:left w:val="none" w:sz="0" w:space="0" w:color="auto"/>
        <w:bottom w:val="none" w:sz="0" w:space="0" w:color="auto"/>
        <w:right w:val="none" w:sz="0" w:space="0" w:color="auto"/>
      </w:divBdr>
    </w:div>
    <w:div w:id="999964532">
      <w:bodyDiv w:val="1"/>
      <w:marLeft w:val="0"/>
      <w:marRight w:val="0"/>
      <w:marTop w:val="0"/>
      <w:marBottom w:val="0"/>
      <w:divBdr>
        <w:top w:val="none" w:sz="0" w:space="0" w:color="auto"/>
        <w:left w:val="none" w:sz="0" w:space="0" w:color="auto"/>
        <w:bottom w:val="none" w:sz="0" w:space="0" w:color="auto"/>
        <w:right w:val="none" w:sz="0" w:space="0" w:color="auto"/>
      </w:divBdr>
      <w:divsChild>
        <w:div w:id="1815175827">
          <w:marLeft w:val="0"/>
          <w:marRight w:val="0"/>
          <w:marTop w:val="0"/>
          <w:marBottom w:val="0"/>
          <w:divBdr>
            <w:top w:val="none" w:sz="0" w:space="0" w:color="auto"/>
            <w:left w:val="none" w:sz="0" w:space="0" w:color="auto"/>
            <w:bottom w:val="none" w:sz="0" w:space="0" w:color="auto"/>
            <w:right w:val="none" w:sz="0" w:space="0" w:color="auto"/>
          </w:divBdr>
          <w:divsChild>
            <w:div w:id="627711815">
              <w:marLeft w:val="-225"/>
              <w:marRight w:val="-225"/>
              <w:marTop w:val="0"/>
              <w:marBottom w:val="0"/>
              <w:divBdr>
                <w:top w:val="none" w:sz="0" w:space="0" w:color="auto"/>
                <w:left w:val="none" w:sz="0" w:space="0" w:color="auto"/>
                <w:bottom w:val="none" w:sz="0" w:space="0" w:color="auto"/>
                <w:right w:val="none" w:sz="0" w:space="0" w:color="auto"/>
              </w:divBdr>
              <w:divsChild>
                <w:div w:id="2131169842">
                  <w:marLeft w:val="0"/>
                  <w:marRight w:val="0"/>
                  <w:marTop w:val="0"/>
                  <w:marBottom w:val="300"/>
                  <w:divBdr>
                    <w:top w:val="none" w:sz="0" w:space="0" w:color="auto"/>
                    <w:left w:val="none" w:sz="0" w:space="0" w:color="auto"/>
                    <w:bottom w:val="none" w:sz="0" w:space="0" w:color="auto"/>
                    <w:right w:val="none" w:sz="0" w:space="0" w:color="auto"/>
                  </w:divBdr>
                  <w:divsChild>
                    <w:div w:id="1181822992">
                      <w:marLeft w:val="0"/>
                      <w:marRight w:val="0"/>
                      <w:marTop w:val="0"/>
                      <w:marBottom w:val="0"/>
                      <w:divBdr>
                        <w:top w:val="none" w:sz="0" w:space="0" w:color="auto"/>
                        <w:left w:val="none" w:sz="0" w:space="0" w:color="auto"/>
                        <w:bottom w:val="none" w:sz="0" w:space="0" w:color="auto"/>
                        <w:right w:val="none" w:sz="0" w:space="0" w:color="auto"/>
                      </w:divBdr>
                      <w:divsChild>
                        <w:div w:id="844976639">
                          <w:marLeft w:val="0"/>
                          <w:marRight w:val="0"/>
                          <w:marTop w:val="0"/>
                          <w:marBottom w:val="0"/>
                          <w:divBdr>
                            <w:top w:val="none" w:sz="0" w:space="0" w:color="auto"/>
                            <w:left w:val="none" w:sz="0" w:space="0" w:color="auto"/>
                            <w:bottom w:val="none" w:sz="0" w:space="0" w:color="auto"/>
                            <w:right w:val="none" w:sz="0" w:space="0" w:color="auto"/>
                          </w:divBdr>
                          <w:divsChild>
                            <w:div w:id="1397127104">
                              <w:marLeft w:val="0"/>
                              <w:marRight w:val="0"/>
                              <w:marTop w:val="0"/>
                              <w:marBottom w:val="0"/>
                              <w:divBdr>
                                <w:top w:val="none" w:sz="0" w:space="0" w:color="auto"/>
                                <w:left w:val="none" w:sz="0" w:space="0" w:color="auto"/>
                                <w:bottom w:val="none" w:sz="0" w:space="0" w:color="auto"/>
                                <w:right w:val="none" w:sz="0" w:space="0" w:color="auto"/>
                              </w:divBdr>
                              <w:divsChild>
                                <w:div w:id="204298909">
                                  <w:marLeft w:val="0"/>
                                  <w:marRight w:val="0"/>
                                  <w:marTop w:val="0"/>
                                  <w:marBottom w:val="0"/>
                                  <w:divBdr>
                                    <w:top w:val="none" w:sz="0" w:space="0" w:color="auto"/>
                                    <w:left w:val="none" w:sz="0" w:space="0" w:color="auto"/>
                                    <w:bottom w:val="none" w:sz="0" w:space="0" w:color="auto"/>
                                    <w:right w:val="none" w:sz="0" w:space="0" w:color="auto"/>
                                  </w:divBdr>
                                  <w:divsChild>
                                    <w:div w:id="1114251413">
                                      <w:marLeft w:val="0"/>
                                      <w:marRight w:val="0"/>
                                      <w:marTop w:val="0"/>
                                      <w:marBottom w:val="0"/>
                                      <w:divBdr>
                                        <w:top w:val="none" w:sz="0" w:space="0" w:color="auto"/>
                                        <w:left w:val="none" w:sz="0" w:space="0" w:color="auto"/>
                                        <w:bottom w:val="none" w:sz="0" w:space="0" w:color="auto"/>
                                        <w:right w:val="none" w:sz="0" w:space="0" w:color="auto"/>
                                      </w:divBdr>
                                      <w:divsChild>
                                        <w:div w:id="1670985914">
                                          <w:marLeft w:val="0"/>
                                          <w:marRight w:val="0"/>
                                          <w:marTop w:val="0"/>
                                          <w:marBottom w:val="0"/>
                                          <w:divBdr>
                                            <w:top w:val="none" w:sz="0" w:space="0" w:color="auto"/>
                                            <w:left w:val="none" w:sz="0" w:space="0" w:color="auto"/>
                                            <w:bottom w:val="none" w:sz="0" w:space="0" w:color="auto"/>
                                            <w:right w:val="none" w:sz="0" w:space="0" w:color="auto"/>
                                          </w:divBdr>
                                          <w:divsChild>
                                            <w:div w:id="258680000">
                                              <w:marLeft w:val="0"/>
                                              <w:marRight w:val="0"/>
                                              <w:marTop w:val="0"/>
                                              <w:marBottom w:val="0"/>
                                              <w:divBdr>
                                                <w:top w:val="none" w:sz="0" w:space="0" w:color="auto"/>
                                                <w:left w:val="none" w:sz="0" w:space="0" w:color="auto"/>
                                                <w:bottom w:val="none" w:sz="0" w:space="0" w:color="auto"/>
                                                <w:right w:val="none" w:sz="0" w:space="0" w:color="auto"/>
                                              </w:divBdr>
                                              <w:divsChild>
                                                <w:div w:id="767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377785">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health.vic.gov.au/public-health/anaphylaxis-notifications" TargetMode="External"/><Relationship Id="rId18" Type="http://schemas.openxmlformats.org/officeDocument/2006/relationships/footer" Target="footer4.xml"/><Relationship Id="rId26" Type="http://schemas.openxmlformats.org/officeDocument/2006/relationships/hyperlink" Target="mailto:anaphylaxis@dhhs.vic.gov.au" TargetMode="External"/><Relationship Id="rId3" Type="http://schemas.openxmlformats.org/officeDocument/2006/relationships/styles" Target="styles.xml"/><Relationship Id="rId21" Type="http://schemas.openxmlformats.org/officeDocument/2006/relationships/hyperlink" Target="mailto:anaphylaxis@dhhs.vic.gov.au" TargetMode="External"/><Relationship Id="rId7" Type="http://schemas.openxmlformats.org/officeDocument/2006/relationships/endnotes" Target="endnotes.xml"/><Relationship Id="rId12" Type="http://schemas.openxmlformats.org/officeDocument/2006/relationships/hyperlink" Target="http://www.legislation.vic.gov.au/" TargetMode="External"/><Relationship Id="rId17" Type="http://schemas.openxmlformats.org/officeDocument/2006/relationships/footer" Target="footer3.xml"/><Relationship Id="rId25" Type="http://schemas.openxmlformats.org/officeDocument/2006/relationships/hyperlink" Target="https://www.aefican.org.au/Home/Info/VIC"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2.health.vic.gov.au/public-health/anaphylaxis-notifications" TargetMode="External"/><Relationship Id="rId29" Type="http://schemas.openxmlformats.org/officeDocument/2006/relationships/hyperlink" Target="https://www.health.vic.gov.au/public-health/anaphylaxis-notific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about/publications/policiesandguidelines/anaphylaxis-notifications-guidance" TargetMode="External"/><Relationship Id="rId24" Type="http://schemas.openxmlformats.org/officeDocument/2006/relationships/hyperlink" Target="https://aems.tga.gov.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2.health.vic.gov.au/notify" TargetMode="External"/><Relationship Id="rId28" Type="http://schemas.openxmlformats.org/officeDocument/2006/relationships/hyperlink" Target="mailto:foodsafety@dhhs.vic.gov.au" TargetMode="External"/><Relationship Id="rId10" Type="http://schemas.openxmlformats.org/officeDocument/2006/relationships/hyperlink" Target="mailto:foodsafety@dhhs.vic.gov.au" TargetMode="External"/><Relationship Id="rId19" Type="http://schemas.openxmlformats.org/officeDocument/2006/relationships/hyperlink" Target="mailto:foodsafety@dhhs.vic.gov.a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yperlink" Target="https://www2.health.vic.gov.au/notify" TargetMode="External"/><Relationship Id="rId27" Type="http://schemas.openxmlformats.org/officeDocument/2006/relationships/hyperlink" Target="mailto:anaphylaxis@dhhs.vic.gov.au" TargetMode="External"/><Relationship Id="rId30" Type="http://schemas.openxmlformats.org/officeDocument/2006/relationships/hyperlink" Target="mailto:anaphylaxis@dhhs.vic.gov.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ch.org.au/clinicalguide/guideline_index/Anaphylaxis" TargetMode="External"/><Relationship Id="rId1" Type="http://schemas.openxmlformats.org/officeDocument/2006/relationships/hyperlink" Target="https://www.allergy.org.au/hp/papers/acute-management-of-anaphylaxis-guidelin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Report%2003%20Blue%2029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F61F0-CB90-4820-A204-B6E44993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03 Blue 2945.dot</Template>
  <TotalTime>150</TotalTime>
  <Pages>22</Pages>
  <Words>4494</Words>
  <Characters>25620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Anaphylaxis Notifications - A Guide for Victorian hospitals</vt:lpstr>
    </vt:vector>
  </TitlesOfParts>
  <Company>Department of Health and Human Services</Company>
  <LinksUpToDate>false</LinksUpToDate>
  <CharactersWithSpaces>30054</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1638453</vt:i4>
      </vt:variant>
      <vt:variant>
        <vt:i4>44</vt:i4>
      </vt:variant>
      <vt:variant>
        <vt:i4>0</vt:i4>
      </vt:variant>
      <vt:variant>
        <vt:i4>5</vt:i4>
      </vt:variant>
      <vt:variant>
        <vt:lpwstr/>
      </vt:variant>
      <vt:variant>
        <vt:lpwstr>_Toc442704393</vt:lpwstr>
      </vt:variant>
      <vt:variant>
        <vt:i4>1638453</vt:i4>
      </vt:variant>
      <vt:variant>
        <vt:i4>38</vt:i4>
      </vt:variant>
      <vt:variant>
        <vt:i4>0</vt:i4>
      </vt:variant>
      <vt:variant>
        <vt:i4>5</vt:i4>
      </vt:variant>
      <vt:variant>
        <vt:lpwstr/>
      </vt:variant>
      <vt:variant>
        <vt:lpwstr>_Toc442704392</vt:lpwstr>
      </vt:variant>
      <vt:variant>
        <vt:i4>1638453</vt:i4>
      </vt:variant>
      <vt:variant>
        <vt:i4>32</vt:i4>
      </vt:variant>
      <vt:variant>
        <vt:i4>0</vt:i4>
      </vt:variant>
      <vt:variant>
        <vt:i4>5</vt:i4>
      </vt:variant>
      <vt:variant>
        <vt:lpwstr/>
      </vt:variant>
      <vt:variant>
        <vt:lpwstr>_Toc442704391</vt:lpwstr>
      </vt:variant>
      <vt:variant>
        <vt:i4>1638453</vt:i4>
      </vt:variant>
      <vt:variant>
        <vt:i4>26</vt:i4>
      </vt:variant>
      <vt:variant>
        <vt:i4>0</vt:i4>
      </vt:variant>
      <vt:variant>
        <vt:i4>5</vt:i4>
      </vt:variant>
      <vt:variant>
        <vt:lpwstr/>
      </vt:variant>
      <vt:variant>
        <vt:lpwstr>_Toc442704390</vt:lpwstr>
      </vt:variant>
      <vt:variant>
        <vt:i4>1572917</vt:i4>
      </vt:variant>
      <vt:variant>
        <vt:i4>20</vt:i4>
      </vt:variant>
      <vt:variant>
        <vt:i4>0</vt:i4>
      </vt:variant>
      <vt:variant>
        <vt:i4>5</vt:i4>
      </vt:variant>
      <vt:variant>
        <vt:lpwstr/>
      </vt:variant>
      <vt:variant>
        <vt:lpwstr>_Toc442704389</vt:lpwstr>
      </vt:variant>
      <vt:variant>
        <vt:i4>1572917</vt:i4>
      </vt:variant>
      <vt:variant>
        <vt:i4>14</vt:i4>
      </vt:variant>
      <vt:variant>
        <vt:i4>0</vt:i4>
      </vt:variant>
      <vt:variant>
        <vt:i4>5</vt:i4>
      </vt:variant>
      <vt:variant>
        <vt:lpwstr/>
      </vt:variant>
      <vt:variant>
        <vt:lpwstr>_Toc442704388</vt:lpwstr>
      </vt:variant>
      <vt:variant>
        <vt:i4>1572917</vt:i4>
      </vt:variant>
      <vt:variant>
        <vt:i4>8</vt:i4>
      </vt:variant>
      <vt:variant>
        <vt:i4>0</vt:i4>
      </vt:variant>
      <vt:variant>
        <vt:i4>5</vt:i4>
      </vt:variant>
      <vt:variant>
        <vt:lpwstr/>
      </vt:variant>
      <vt:variant>
        <vt:lpwstr>_Toc442704387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Anaphylaxis Notifications - A Guide for Victorian hospitals</dc:title>
  <dc:subject>Anaphylaxis Notifications - A Guide for Victorian hospitals</dc:subject>
  <dc:creator>Health Protection Branch</dc:creator>
  <cp:keywords>anaphylaxis, notifications, guide</cp:keywords>
  <cp:lastModifiedBy>Erica Clifford (DHHS)</cp:lastModifiedBy>
  <cp:revision>7</cp:revision>
  <cp:lastPrinted>2019-06-12T03:15:00Z</cp:lastPrinted>
  <dcterms:created xsi:type="dcterms:W3CDTF">2019-06-20T05:01:00Z</dcterms:created>
  <dcterms:modified xsi:type="dcterms:W3CDTF">2019-06-21T02:12:00Z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