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72"/>
        <w:tblW w:w="0" w:type="auto"/>
        <w:tblLook w:val="04A0" w:firstRow="1" w:lastRow="0" w:firstColumn="1" w:lastColumn="0" w:noHBand="0" w:noVBand="1"/>
      </w:tblPr>
      <w:tblGrid>
        <w:gridCol w:w="8046"/>
      </w:tblGrid>
      <w:tr w:rsidR="00F14DD3" w:rsidTr="00F14DD3">
        <w:trPr>
          <w:trHeight w:val="1247"/>
        </w:trPr>
        <w:tc>
          <w:tcPr>
            <w:tcW w:w="8046" w:type="dxa"/>
            <w:shd w:val="clear" w:color="auto" w:fill="auto"/>
            <w:vAlign w:val="bottom"/>
          </w:tcPr>
          <w:p w:rsidR="00F14DD3" w:rsidRPr="00161AA0" w:rsidRDefault="00734DF6" w:rsidP="00734DF6">
            <w:pPr>
              <w:pStyle w:val="DHHSmainheading"/>
              <w:tabs>
                <w:tab w:val="left" w:pos="374"/>
              </w:tabs>
            </w:pPr>
            <w:r>
              <w:t xml:space="preserve">  </w:t>
            </w:r>
            <w:r w:rsidR="00F14DD3">
              <w:t>Client information sharing</w:t>
            </w:r>
          </w:p>
        </w:tc>
      </w:tr>
      <w:tr w:rsidR="00F14DD3" w:rsidTr="00F14DD3">
        <w:trPr>
          <w:trHeight w:hRule="exact" w:val="1077"/>
        </w:trPr>
        <w:tc>
          <w:tcPr>
            <w:tcW w:w="8046" w:type="dxa"/>
            <w:shd w:val="clear" w:color="auto" w:fill="auto"/>
            <w:tcMar>
              <w:top w:w="170" w:type="dxa"/>
              <w:bottom w:w="510" w:type="dxa"/>
            </w:tcMar>
          </w:tcPr>
          <w:p w:rsidR="00F14DD3" w:rsidRPr="00AD784C" w:rsidRDefault="00F14DD3" w:rsidP="00734DF6">
            <w:pPr>
              <w:pStyle w:val="DHHSmainsubheading"/>
              <w:ind w:left="284"/>
              <w:rPr>
                <w:szCs w:val="28"/>
              </w:rPr>
            </w:pPr>
            <w:r>
              <w:rPr>
                <w:szCs w:val="28"/>
              </w:rPr>
              <w:t>Guidance for alcohol and other drug (AOD) workers</w:t>
            </w:r>
          </w:p>
        </w:tc>
      </w:tr>
    </w:tbl>
    <w:p w:rsidR="0074696E" w:rsidRPr="004C6EEE" w:rsidRDefault="00F14DD3" w:rsidP="00AD784C">
      <w:pPr>
        <w:pStyle w:val="Spacerparatopoffirstpage"/>
      </w:pPr>
      <w:r>
        <w:rPr>
          <w:lang w:eastAsia="en-AU"/>
        </w:rPr>
        <w:lastRenderedPageBreak/>
        <w:t xml:space="preserve"> </w:t>
      </w:r>
      <w:r w:rsidR="000E78DE">
        <w:rPr>
          <w:lang w:eastAsia="en-AU"/>
        </w:rPr>
        <w:drawing>
          <wp:anchor distT="0" distB="0" distL="114300" distR="114300" simplePos="0" relativeHeight="251657728" behindDoc="1" locked="1" layoutInCell="0" allowOverlap="1" wp14:anchorId="11385F17" wp14:editId="3AA49CFE">
            <wp:simplePos x="0" y="0"/>
            <wp:positionH relativeFrom="page">
              <wp:posOffset>0</wp:posOffset>
            </wp:positionH>
            <wp:positionV relativeFrom="page">
              <wp:posOffset>0</wp:posOffset>
            </wp:positionV>
            <wp:extent cx="7567295" cy="1765300"/>
            <wp:effectExtent l="0" t="0" r="0" b="635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7295" cy="176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10"/>
          <w:footerReference w:type="first" r:id="rId11"/>
          <w:pgSz w:w="11906" w:h="16838" w:code="9"/>
          <w:pgMar w:top="567" w:right="851" w:bottom="1418" w:left="851" w:header="510" w:footer="510" w:gutter="0"/>
          <w:cols w:space="708"/>
          <w:docGrid w:linePitch="360"/>
        </w:sectPr>
      </w:pPr>
    </w:p>
    <w:p w:rsidR="00F14DD3" w:rsidRDefault="00F14DD3" w:rsidP="000C6933">
      <w:pPr>
        <w:pStyle w:val="DHHSbody"/>
        <w:jc w:val="right"/>
      </w:pPr>
    </w:p>
    <w:p w:rsidR="00F14DD3" w:rsidRDefault="00F14DD3" w:rsidP="00C027B4">
      <w:pPr>
        <w:pStyle w:val="DHHSbody"/>
      </w:pPr>
    </w:p>
    <w:p w:rsidR="00F14DD3" w:rsidRDefault="00F14DD3" w:rsidP="00C027B4">
      <w:pPr>
        <w:pStyle w:val="DHHSbody"/>
      </w:pPr>
    </w:p>
    <w:p w:rsidR="00F14DD3" w:rsidRDefault="00F14DD3" w:rsidP="00C027B4">
      <w:pPr>
        <w:pStyle w:val="DHHSbody"/>
      </w:pPr>
    </w:p>
    <w:p w:rsidR="00F14DD3" w:rsidRDefault="00F14DD3" w:rsidP="00C027B4">
      <w:pPr>
        <w:pStyle w:val="DHHSbody"/>
      </w:pPr>
    </w:p>
    <w:p w:rsidR="00F14DD3" w:rsidRDefault="00F14DD3" w:rsidP="00C027B4">
      <w:pPr>
        <w:pStyle w:val="DHHSbody"/>
      </w:pPr>
    </w:p>
    <w:p w:rsidR="000E78DE" w:rsidRPr="00C027B4" w:rsidRDefault="000E78DE" w:rsidP="00C027B4">
      <w:pPr>
        <w:pStyle w:val="DHHSbody"/>
      </w:pPr>
      <w:r w:rsidRPr="00C027B4">
        <w:t xml:space="preserve">This document is intended to provide guidance to alcohol and other drug (AOD) workers on information sharing processes for voluntary and forensic clients. All clinicians should follow a best practice approach as set out in this guidance, which is based on recommendations from the Victorian Commissioner for Privacy and Data Protection. This guidance does not cover situations where client information sharing is required in order to respond to an identified immediate risk of harm to self or others. </w:t>
      </w:r>
    </w:p>
    <w:p w:rsidR="000E78DE" w:rsidRPr="002800D9" w:rsidRDefault="000E78DE" w:rsidP="002800D9">
      <w:pPr>
        <w:pStyle w:val="Heading2"/>
      </w:pPr>
      <w:r w:rsidRPr="002800D9">
        <w:t xml:space="preserve">Following a best practice process </w:t>
      </w:r>
    </w:p>
    <w:p w:rsidR="000E78DE" w:rsidRPr="002800D9" w:rsidRDefault="000E78DE" w:rsidP="002800D9">
      <w:pPr>
        <w:pStyle w:val="Heading3"/>
      </w:pPr>
      <w:r w:rsidRPr="002800D9">
        <w:t>Step 1. Understand the authorising environment</w:t>
      </w:r>
    </w:p>
    <w:p w:rsidR="000E78DE" w:rsidRPr="002800D9" w:rsidRDefault="000E78DE" w:rsidP="002800D9">
      <w:pPr>
        <w:pStyle w:val="DHHSbullet1"/>
      </w:pPr>
      <w:r w:rsidRPr="002800D9">
        <w:t xml:space="preserve">The ‘authorising environment’ refers to the consent statements (where consent is required) and legislation that explain the circumstances in which AOD workers can and must share information about a client. Ideally, this step should take place before a request is received for information. </w:t>
      </w:r>
    </w:p>
    <w:p w:rsidR="000E78DE" w:rsidRPr="002800D9" w:rsidRDefault="000E78DE" w:rsidP="002800D9">
      <w:pPr>
        <w:pStyle w:val="DHHSbullet1"/>
      </w:pPr>
      <w:r w:rsidRPr="002800D9">
        <w:t xml:space="preserve">AOD workers should ensure that conversations with clients regarding information sharing explain the limitations of consent, as it relates to information sharing e.g. situations in which AOD clinicians are legally obligated to share information with another organisation. </w:t>
      </w:r>
      <w:bookmarkStart w:id="0" w:name="_GoBack"/>
      <w:bookmarkEnd w:id="0"/>
    </w:p>
    <w:p w:rsidR="000E78DE" w:rsidRPr="002800D9" w:rsidRDefault="000E78DE" w:rsidP="002800D9">
      <w:pPr>
        <w:pStyle w:val="DHHSbullet1lastline"/>
      </w:pPr>
      <w:r w:rsidRPr="002800D9">
        <w:t xml:space="preserve">See page 2 for more information on the legislation and regulations that may be relevant to information sharing in AOD. </w:t>
      </w:r>
    </w:p>
    <w:p w:rsidR="000E78DE" w:rsidRPr="00C027B4" w:rsidRDefault="000E78DE" w:rsidP="00C027B4">
      <w:pPr>
        <w:pStyle w:val="Heading3"/>
      </w:pPr>
      <w:r w:rsidRPr="00C027B4">
        <w:t>Step 2. If a request is received, make sure all key information for the request is provided</w:t>
      </w:r>
    </w:p>
    <w:p w:rsidR="000E78DE" w:rsidRPr="002800D9" w:rsidRDefault="000E78DE" w:rsidP="002800D9">
      <w:pPr>
        <w:pStyle w:val="DHHSbullet1"/>
      </w:pPr>
      <w:r w:rsidRPr="002800D9">
        <w:rPr>
          <w:b/>
        </w:rPr>
        <w:t xml:space="preserve">Who </w:t>
      </w:r>
      <w:r w:rsidRPr="002800D9">
        <w:t xml:space="preserve">is requesting the information and where are they from? </w:t>
      </w:r>
    </w:p>
    <w:p w:rsidR="000E78DE" w:rsidRPr="002800D9" w:rsidRDefault="000E78DE" w:rsidP="002800D9">
      <w:pPr>
        <w:pStyle w:val="DHHSbullet1"/>
      </w:pPr>
      <w:r w:rsidRPr="002800D9">
        <w:rPr>
          <w:b/>
        </w:rPr>
        <w:t>What</w:t>
      </w:r>
      <w:r w:rsidRPr="002800D9">
        <w:t xml:space="preserve"> type of information is being requested? </w:t>
      </w:r>
    </w:p>
    <w:p w:rsidR="000E78DE" w:rsidRPr="002800D9" w:rsidRDefault="000E78DE" w:rsidP="002800D9">
      <w:pPr>
        <w:pStyle w:val="DHHSbullet1"/>
      </w:pPr>
      <w:r w:rsidRPr="002800D9">
        <w:rPr>
          <w:b/>
        </w:rPr>
        <w:t>Why</w:t>
      </w:r>
      <w:r w:rsidRPr="002800D9">
        <w:t xml:space="preserve"> is the information being requested?</w:t>
      </w:r>
    </w:p>
    <w:p w:rsidR="000E78DE" w:rsidRPr="002800D9" w:rsidRDefault="000E78DE" w:rsidP="002800D9">
      <w:pPr>
        <w:pStyle w:val="DHHSbullet1"/>
      </w:pPr>
      <w:r w:rsidRPr="002800D9">
        <w:rPr>
          <w:b/>
        </w:rPr>
        <w:t>What</w:t>
      </w:r>
      <w:r w:rsidRPr="002800D9">
        <w:t xml:space="preserve"> is the authorising environment for the request? (see legislation and regulations on page 2)</w:t>
      </w:r>
    </w:p>
    <w:p w:rsidR="000E78DE" w:rsidRPr="002800D9" w:rsidRDefault="000E78DE" w:rsidP="002800D9">
      <w:pPr>
        <w:pStyle w:val="DHHSbullet1lastline"/>
      </w:pPr>
      <w:r w:rsidRPr="002800D9">
        <w:t xml:space="preserve">Does it meet the relevant </w:t>
      </w:r>
      <w:r w:rsidRPr="00734DF6">
        <w:rPr>
          <w:b/>
        </w:rPr>
        <w:t>thresholds</w:t>
      </w:r>
      <w:r w:rsidRPr="002800D9">
        <w:t xml:space="preserve"> or </w:t>
      </w:r>
      <w:r w:rsidRPr="00734DF6">
        <w:rPr>
          <w:b/>
        </w:rPr>
        <w:t>purposes</w:t>
      </w:r>
      <w:r w:rsidRPr="002800D9">
        <w:t xml:space="preserve"> for sharing information?</w:t>
      </w:r>
    </w:p>
    <w:p w:rsidR="000E78DE" w:rsidRPr="00C027B4" w:rsidRDefault="000E78DE" w:rsidP="00C027B4">
      <w:pPr>
        <w:pStyle w:val="Heading3"/>
      </w:pPr>
      <w:r w:rsidRPr="00C027B4">
        <w:t xml:space="preserve">Step 3. Undertake a risk assessment </w:t>
      </w:r>
    </w:p>
    <w:p w:rsidR="000E78DE" w:rsidRPr="00734DF6" w:rsidRDefault="000E78DE" w:rsidP="00734DF6">
      <w:pPr>
        <w:pStyle w:val="DHHSbullet1"/>
      </w:pPr>
      <w:r w:rsidRPr="00734DF6">
        <w:t>A risk assessment should consider whether information sharing is proportionate to the purpose of using the personal information, and necessary for that outcome. Things to consider include:</w:t>
      </w:r>
    </w:p>
    <w:p w:rsidR="000E78DE" w:rsidRPr="00734DF6" w:rsidRDefault="000E78DE" w:rsidP="00734DF6">
      <w:pPr>
        <w:pStyle w:val="DHHSbullet2"/>
      </w:pPr>
      <w:r w:rsidRPr="00734DF6">
        <w:t xml:space="preserve">Is the information sharing </w:t>
      </w:r>
      <w:r w:rsidRPr="00734DF6">
        <w:rPr>
          <w:b/>
        </w:rPr>
        <w:t>necessary, proportionate, timely</w:t>
      </w:r>
      <w:r w:rsidRPr="00734DF6">
        <w:t xml:space="preserve"> and </w:t>
      </w:r>
      <w:r w:rsidRPr="00734DF6">
        <w:rPr>
          <w:b/>
        </w:rPr>
        <w:t>secure</w:t>
      </w:r>
      <w:r w:rsidRPr="00734DF6">
        <w:t>?</w:t>
      </w:r>
    </w:p>
    <w:p w:rsidR="000E78DE" w:rsidRPr="00734DF6" w:rsidRDefault="000E78DE" w:rsidP="00734DF6">
      <w:pPr>
        <w:pStyle w:val="DHHSbullet2lastline"/>
      </w:pPr>
      <w:r w:rsidRPr="00734DF6">
        <w:t xml:space="preserve">What are the risks related to not sharing the information? Are there potential risks to individuals, children or the wider community? </w:t>
      </w:r>
    </w:p>
    <w:p w:rsidR="000E78DE" w:rsidRPr="00C027B4" w:rsidRDefault="000E78DE" w:rsidP="00C027B4">
      <w:pPr>
        <w:pStyle w:val="Heading3"/>
      </w:pPr>
      <w:r w:rsidRPr="00C027B4">
        <w:t>Step 4. Seek further advice if necessary</w:t>
      </w:r>
    </w:p>
    <w:p w:rsidR="000E78DE" w:rsidRPr="00734DF6" w:rsidRDefault="000E78DE" w:rsidP="00734DF6">
      <w:pPr>
        <w:pStyle w:val="DHHSbullet1lastline"/>
      </w:pPr>
      <w:r w:rsidRPr="00734DF6">
        <w:t>Ask your team leader, line manager or your organisation’s legal team for advice.</w:t>
      </w:r>
    </w:p>
    <w:p w:rsidR="000E78DE" w:rsidRPr="00C027B4" w:rsidRDefault="000E78DE" w:rsidP="00C027B4">
      <w:pPr>
        <w:pStyle w:val="Heading3"/>
      </w:pPr>
      <w:r w:rsidRPr="00C027B4">
        <w:t>Step 5. If you decide to share information</w:t>
      </w:r>
    </w:p>
    <w:p w:rsidR="000E78DE" w:rsidRPr="00734DF6" w:rsidRDefault="000E78DE" w:rsidP="00734DF6">
      <w:pPr>
        <w:pStyle w:val="DHHSbullet1"/>
      </w:pPr>
      <w:r w:rsidRPr="00734DF6">
        <w:t>Make sure you follow appropriate documentation and record-keeping requirements.</w:t>
      </w:r>
    </w:p>
    <w:p w:rsidR="000E78DE" w:rsidRPr="00734DF6" w:rsidRDefault="000E78DE" w:rsidP="00734DF6">
      <w:pPr>
        <w:pStyle w:val="DHHSbullet1lastline"/>
        <w:sectPr w:rsidR="000E78DE" w:rsidRPr="00734DF6" w:rsidSect="00F14DD3">
          <w:headerReference w:type="even" r:id="rId12"/>
          <w:headerReference w:type="default" r:id="rId13"/>
          <w:footerReference w:type="default" r:id="rId14"/>
          <w:headerReference w:type="first" r:id="rId15"/>
          <w:type w:val="continuous"/>
          <w:pgSz w:w="11906" w:h="16838"/>
          <w:pgMar w:top="454" w:right="1134" w:bottom="737" w:left="1134" w:header="709" w:footer="709" w:gutter="0"/>
          <w:cols w:space="708"/>
          <w:docGrid w:linePitch="360"/>
        </w:sectPr>
      </w:pPr>
      <w:r w:rsidRPr="00734DF6">
        <w:t>If you are required to share information on a regular basis (e.g. for forensic clients), use templates where possible.</w:t>
      </w:r>
    </w:p>
    <w:p w:rsidR="000E78DE" w:rsidRPr="00F14DD3" w:rsidRDefault="000E78DE" w:rsidP="00F14DD3">
      <w:pPr>
        <w:pStyle w:val="Heading2"/>
      </w:pPr>
      <w:bookmarkStart w:id="1" w:name="_Authorising_environment"/>
      <w:bookmarkEnd w:id="1"/>
      <w:r w:rsidRPr="00F14DD3">
        <w:lastRenderedPageBreak/>
        <w:t>Authorising environment</w:t>
      </w:r>
    </w:p>
    <w:p w:rsidR="000E78DE" w:rsidRPr="00F14DD3" w:rsidRDefault="000E78DE" w:rsidP="00F14DD3">
      <w:pPr>
        <w:pStyle w:val="DHHSbody"/>
      </w:pPr>
      <w:r w:rsidRPr="00F14DD3">
        <w:t>The below table lists key legislation and regulations that may be relevant to information sharing in AOD treatment. The following is not an exhaustive list and providers should seek to clarify if there are further legislative or information sharing requirements, relevant to their respective clients and organisations.</w:t>
      </w:r>
      <w:r w:rsidRPr="00F14DD3" w:rsidDel="0018696E">
        <w:t xml:space="preserve"> </w:t>
      </w:r>
    </w:p>
    <w:p w:rsidR="000E78DE" w:rsidRPr="00734DF6" w:rsidRDefault="000E78DE" w:rsidP="00F14DD3">
      <w:pPr>
        <w:pStyle w:val="DHHSbody"/>
        <w:rPr>
          <w:i/>
        </w:rPr>
      </w:pPr>
      <w:r w:rsidRPr="00F14DD3">
        <w:t xml:space="preserve">Where there are no specific provisions in the Act relevant to a particular circumstance, information sharing must be consistent with other relevant legislation such as the </w:t>
      </w:r>
      <w:r w:rsidRPr="00734DF6">
        <w:rPr>
          <w:i/>
        </w:rPr>
        <w:t>Privacy and Data Protection Act 2014</w:t>
      </w:r>
      <w:r w:rsidRPr="00F14DD3">
        <w:t xml:space="preserve"> and the Health Privacy Principles contained in Schedule 1 of the </w:t>
      </w:r>
      <w:r w:rsidRPr="00734DF6">
        <w:rPr>
          <w:i/>
        </w:rPr>
        <w:t>Health Records Act 2001.</w:t>
      </w:r>
    </w:p>
    <w:tbl>
      <w:tblPr>
        <w:tblStyle w:val="TableGrid"/>
        <w:tblW w:w="0" w:type="auto"/>
        <w:tblLook w:val="04A0" w:firstRow="1" w:lastRow="0" w:firstColumn="1" w:lastColumn="0" w:noHBand="0" w:noVBand="1"/>
      </w:tblPr>
      <w:tblGrid>
        <w:gridCol w:w="2562"/>
        <w:gridCol w:w="3004"/>
        <w:gridCol w:w="4439"/>
        <w:gridCol w:w="4389"/>
      </w:tblGrid>
      <w:tr w:rsidR="000E78DE" w:rsidTr="006A29DA">
        <w:trPr>
          <w:trHeight w:val="671"/>
          <w:tblHeader/>
        </w:trPr>
        <w:tc>
          <w:tcPr>
            <w:tcW w:w="2660" w:type="dxa"/>
            <w:shd w:val="clear" w:color="auto" w:fill="002060"/>
          </w:tcPr>
          <w:p w:rsidR="000E78DE" w:rsidRPr="000E78DE" w:rsidRDefault="000E78DE" w:rsidP="006A29DA">
            <w:pPr>
              <w:pStyle w:val="DHHSbullet1lastline"/>
              <w:numPr>
                <w:ilvl w:val="0"/>
                <w:numId w:val="0"/>
              </w:numPr>
              <w:spacing w:line="240" w:lineRule="auto"/>
              <w:rPr>
                <w:b/>
                <w:color w:val="FFFFFF"/>
              </w:rPr>
            </w:pPr>
            <w:r w:rsidRPr="000E78DE">
              <w:rPr>
                <w:b/>
                <w:color w:val="FFFFFF"/>
              </w:rPr>
              <w:t>What is the scenario?</w:t>
            </w:r>
          </w:p>
        </w:tc>
        <w:tc>
          <w:tcPr>
            <w:tcW w:w="3118" w:type="dxa"/>
            <w:shd w:val="clear" w:color="auto" w:fill="002060"/>
          </w:tcPr>
          <w:p w:rsidR="000E78DE" w:rsidRPr="000E78DE" w:rsidRDefault="000E78DE" w:rsidP="006A29DA">
            <w:pPr>
              <w:pStyle w:val="DHHSbullet1lastline"/>
              <w:numPr>
                <w:ilvl w:val="0"/>
                <w:numId w:val="0"/>
              </w:numPr>
              <w:spacing w:line="240" w:lineRule="auto"/>
              <w:rPr>
                <w:b/>
                <w:color w:val="FFFFFF"/>
              </w:rPr>
            </w:pPr>
            <w:r w:rsidRPr="000E78DE">
              <w:rPr>
                <w:b/>
                <w:color w:val="FFFFFF"/>
              </w:rPr>
              <w:t>Key legislation and regulations</w:t>
            </w:r>
          </w:p>
        </w:tc>
        <w:tc>
          <w:tcPr>
            <w:tcW w:w="4678" w:type="dxa"/>
            <w:shd w:val="clear" w:color="auto" w:fill="002060"/>
          </w:tcPr>
          <w:p w:rsidR="000E78DE" w:rsidRPr="000E78DE" w:rsidRDefault="000E78DE" w:rsidP="006A29DA">
            <w:pPr>
              <w:pStyle w:val="DHHSbullet1lastline"/>
              <w:numPr>
                <w:ilvl w:val="0"/>
                <w:numId w:val="0"/>
              </w:numPr>
              <w:spacing w:line="240" w:lineRule="auto"/>
              <w:rPr>
                <w:b/>
                <w:color w:val="FFFFFF"/>
              </w:rPr>
            </w:pPr>
            <w:r w:rsidRPr="000E78DE">
              <w:rPr>
                <w:b/>
                <w:color w:val="FFFFFF"/>
              </w:rPr>
              <w:t>Relevance of the legislation and possible context of requests</w:t>
            </w:r>
          </w:p>
        </w:tc>
        <w:tc>
          <w:tcPr>
            <w:tcW w:w="4119" w:type="dxa"/>
            <w:shd w:val="clear" w:color="auto" w:fill="002060"/>
          </w:tcPr>
          <w:p w:rsidR="000E78DE" w:rsidRPr="000E78DE" w:rsidRDefault="000E78DE" w:rsidP="006A29DA">
            <w:pPr>
              <w:pStyle w:val="DHHSbullet1lastline"/>
              <w:numPr>
                <w:ilvl w:val="0"/>
                <w:numId w:val="0"/>
              </w:numPr>
              <w:spacing w:line="240" w:lineRule="auto"/>
              <w:rPr>
                <w:b/>
                <w:color w:val="FFFFFF"/>
              </w:rPr>
            </w:pPr>
            <w:r w:rsidRPr="000E78DE">
              <w:rPr>
                <w:b/>
                <w:color w:val="FFFFFF"/>
              </w:rPr>
              <w:t>References for further information</w:t>
            </w:r>
          </w:p>
        </w:tc>
      </w:tr>
      <w:tr w:rsidR="000E78DE" w:rsidRPr="00B12028" w:rsidTr="00E537B0">
        <w:trPr>
          <w:trHeight w:val="5258"/>
        </w:trPr>
        <w:tc>
          <w:tcPr>
            <w:tcW w:w="2660" w:type="dxa"/>
          </w:tcPr>
          <w:p w:rsidR="000E78DE" w:rsidRPr="00F14DD3" w:rsidRDefault="000E78DE" w:rsidP="00F14DD3">
            <w:pPr>
              <w:pStyle w:val="DHHStabletext"/>
              <w:rPr>
                <w:b/>
              </w:rPr>
            </w:pPr>
            <w:r w:rsidRPr="00F14DD3">
              <w:rPr>
                <w:b/>
              </w:rPr>
              <w:t>AOD service delivery - General</w:t>
            </w:r>
          </w:p>
        </w:tc>
        <w:tc>
          <w:tcPr>
            <w:tcW w:w="3118" w:type="dxa"/>
          </w:tcPr>
          <w:p w:rsidR="000E78DE" w:rsidRPr="00F14DD3" w:rsidRDefault="000E78DE" w:rsidP="00F14DD3">
            <w:pPr>
              <w:pStyle w:val="DHHStablebullet"/>
              <w:rPr>
                <w:i/>
              </w:rPr>
            </w:pPr>
            <w:r w:rsidRPr="00F14DD3">
              <w:rPr>
                <w:i/>
              </w:rPr>
              <w:t xml:space="preserve">Privacy and Data Protection Act 2014 </w:t>
            </w:r>
          </w:p>
          <w:p w:rsidR="000E78DE" w:rsidRPr="00F14DD3" w:rsidRDefault="000E78DE" w:rsidP="00F14DD3">
            <w:pPr>
              <w:pStyle w:val="DHHStablebullet"/>
              <w:rPr>
                <w:i/>
              </w:rPr>
            </w:pPr>
            <w:r w:rsidRPr="00F14DD3">
              <w:rPr>
                <w:i/>
              </w:rPr>
              <w:t>Health Record Act 2001</w:t>
            </w:r>
          </w:p>
          <w:p w:rsidR="000E78DE" w:rsidRPr="00F14DD3" w:rsidRDefault="000E78DE" w:rsidP="00F14DD3">
            <w:pPr>
              <w:pStyle w:val="DHHStablebullet"/>
              <w:rPr>
                <w:i/>
              </w:rPr>
            </w:pPr>
            <w:r w:rsidRPr="00F14DD3">
              <w:rPr>
                <w:i/>
              </w:rPr>
              <w:t xml:space="preserve">Health Services Act 1988 </w:t>
            </w:r>
          </w:p>
          <w:p w:rsidR="000E78DE" w:rsidRPr="00F14DD3" w:rsidRDefault="000E78DE" w:rsidP="00F14DD3">
            <w:pPr>
              <w:pStyle w:val="DHHStablebullet"/>
              <w:rPr>
                <w:i/>
              </w:rPr>
            </w:pPr>
            <w:r w:rsidRPr="00F14DD3">
              <w:rPr>
                <w:i/>
              </w:rPr>
              <w:t>Charter of Human Rights and Responsibilities Act 2006</w:t>
            </w:r>
          </w:p>
          <w:p w:rsidR="000E78DE" w:rsidRPr="00F14DD3" w:rsidRDefault="000E78DE" w:rsidP="00F14DD3">
            <w:pPr>
              <w:pStyle w:val="DHHStablebullet"/>
              <w:rPr>
                <w:i/>
              </w:rPr>
            </w:pPr>
            <w:r w:rsidRPr="00F14DD3">
              <w:rPr>
                <w:i/>
              </w:rPr>
              <w:t xml:space="preserve">Disability Act 2006 </w:t>
            </w:r>
          </w:p>
          <w:p w:rsidR="000E78DE" w:rsidRPr="00F14DD3" w:rsidRDefault="000E78DE" w:rsidP="00F14DD3">
            <w:pPr>
              <w:pStyle w:val="DHHStablebullet"/>
              <w:rPr>
                <w:i/>
              </w:rPr>
            </w:pPr>
            <w:r w:rsidRPr="00F14DD3">
              <w:rPr>
                <w:i/>
              </w:rPr>
              <w:t>Alcohol and other Drug Dependent Persons Act 1968</w:t>
            </w:r>
          </w:p>
          <w:p w:rsidR="000E78DE" w:rsidRPr="00F14DD3" w:rsidRDefault="000E78DE" w:rsidP="00F14DD3">
            <w:pPr>
              <w:pStyle w:val="DHHStablebullet"/>
              <w:rPr>
                <w:i/>
              </w:rPr>
            </w:pPr>
            <w:r w:rsidRPr="00F14DD3">
              <w:rPr>
                <w:i/>
              </w:rPr>
              <w:t xml:space="preserve">Drugs, Poisons and Controlled Substances Act 1981 </w:t>
            </w:r>
          </w:p>
          <w:p w:rsidR="000E78DE" w:rsidRPr="00F14DD3" w:rsidRDefault="000E78DE" w:rsidP="00F14DD3">
            <w:pPr>
              <w:pStyle w:val="DHHStablebullet"/>
              <w:rPr>
                <w:i/>
              </w:rPr>
            </w:pPr>
            <w:r w:rsidRPr="00F14DD3">
              <w:rPr>
                <w:i/>
              </w:rPr>
              <w:t>Information Privacy Act 2000</w:t>
            </w:r>
          </w:p>
          <w:p w:rsidR="000E78DE" w:rsidRPr="000C6933" w:rsidRDefault="000E78DE" w:rsidP="006A29DA">
            <w:pPr>
              <w:pStyle w:val="DHHStablebullet"/>
              <w:rPr>
                <w:i/>
              </w:rPr>
            </w:pPr>
            <w:r w:rsidRPr="00F14DD3">
              <w:rPr>
                <w:i/>
              </w:rPr>
              <w:t>Severe Substance Dependence Treatment Act 2010</w:t>
            </w:r>
          </w:p>
        </w:tc>
        <w:tc>
          <w:tcPr>
            <w:tcW w:w="4678" w:type="dxa"/>
          </w:tcPr>
          <w:p w:rsidR="000E78DE" w:rsidRPr="00F14DD3" w:rsidRDefault="000E78DE" w:rsidP="00F14DD3">
            <w:pPr>
              <w:pStyle w:val="DHHStabletext"/>
            </w:pPr>
            <w:r w:rsidRPr="00F14DD3">
              <w:t>The legislation listed provides the key information sharing requirements which are relevant to the majority of health service providers involved in AOD treatment.</w:t>
            </w:r>
          </w:p>
          <w:p w:rsidR="000E78DE" w:rsidRPr="00F14DD3" w:rsidRDefault="000E78DE" w:rsidP="00F14DD3">
            <w:pPr>
              <w:pStyle w:val="DHHStabletext"/>
            </w:pPr>
            <w:r w:rsidRPr="00F14DD3">
              <w:t xml:space="preserve">Generally, these Acts protect the need for client consent prior to information sharing, usually gained through a consent form used by service providers. </w:t>
            </w:r>
          </w:p>
          <w:p w:rsidR="000E78DE" w:rsidRPr="00F14DD3" w:rsidRDefault="000E78DE" w:rsidP="00F14DD3">
            <w:pPr>
              <w:pStyle w:val="DHHStabletext"/>
            </w:pPr>
            <w:r w:rsidRPr="00F14DD3">
              <w:t>Such forms should notify clients that their information may be shared with other agencies, for the purposes of delivering care. They should also explain situations where confidentiality must be breached in response to a serious threat to the public or an individual.</w:t>
            </w:r>
          </w:p>
          <w:p w:rsidR="000E78DE" w:rsidRPr="007C0BC9" w:rsidRDefault="000E78DE" w:rsidP="006A29DA">
            <w:pPr>
              <w:pStyle w:val="DHHSbullet1lastline"/>
              <w:numPr>
                <w:ilvl w:val="0"/>
                <w:numId w:val="0"/>
              </w:numPr>
              <w:spacing w:before="80" w:line="240" w:lineRule="auto"/>
              <w:rPr>
                <w:lang w:val="en-US"/>
              </w:rPr>
            </w:pPr>
          </w:p>
        </w:tc>
        <w:tc>
          <w:tcPr>
            <w:tcW w:w="4119" w:type="dxa"/>
          </w:tcPr>
          <w:p w:rsidR="000E78DE" w:rsidRPr="000C6933" w:rsidRDefault="00541186" w:rsidP="00F14DD3">
            <w:pPr>
              <w:pStyle w:val="DHHStablebullet"/>
              <w:rPr>
                <w:rStyle w:val="Hyperlink"/>
                <w:rFonts w:eastAsia="MS Gothic"/>
              </w:rPr>
            </w:pPr>
            <w:hyperlink r:id="rId16" w:history="1">
              <w:r w:rsidR="000E78DE" w:rsidRPr="000C6933">
                <w:rPr>
                  <w:rStyle w:val="Hyperlink"/>
                  <w:rFonts w:eastAsia="MS Gothic"/>
                </w:rPr>
                <w:t>http://www.legislation.vic.gov.au/</w:t>
              </w:r>
            </w:hyperlink>
            <w:r w:rsidR="00F14DD3" w:rsidRPr="000C6933">
              <w:rPr>
                <w:rStyle w:val="Hyperlink"/>
                <w:rFonts w:eastAsia="MS Gothic"/>
              </w:rPr>
              <w:t xml:space="preserve"> </w:t>
            </w:r>
            <w:r w:rsidR="000E78DE" w:rsidRPr="000C6933">
              <w:rPr>
                <w:rStyle w:val="Hyperlink"/>
                <w:rFonts w:eastAsia="MS Gothic"/>
              </w:rPr>
              <w:t xml:space="preserve"> </w:t>
            </w:r>
            <w:r w:rsidR="00F14DD3" w:rsidRPr="000C6933">
              <w:rPr>
                <w:rStyle w:val="Hyperlink"/>
                <w:rFonts w:eastAsia="MS Gothic"/>
              </w:rPr>
              <w:t xml:space="preserve"> </w:t>
            </w:r>
          </w:p>
          <w:p w:rsidR="000E78DE" w:rsidRPr="000C6933" w:rsidRDefault="00541186" w:rsidP="00F14DD3">
            <w:pPr>
              <w:pStyle w:val="DHHStablebullet"/>
              <w:rPr>
                <w:rStyle w:val="Hyperlink"/>
                <w:rFonts w:eastAsia="MS Gothic"/>
              </w:rPr>
            </w:pPr>
            <w:hyperlink r:id="rId17" w:history="1">
              <w:r w:rsidR="000E78DE" w:rsidRPr="000C6933">
                <w:rPr>
                  <w:rStyle w:val="Hyperlink"/>
                  <w:rFonts w:eastAsia="MS Gothic"/>
                </w:rPr>
                <w:t>https://www2.health.vic.gov.au/</w:t>
              </w:r>
            </w:hyperlink>
            <w:r w:rsidR="00F14DD3" w:rsidRPr="000C6933">
              <w:rPr>
                <w:rStyle w:val="Hyperlink"/>
                <w:rFonts w:eastAsia="MS Gothic"/>
              </w:rPr>
              <w:t xml:space="preserve"> </w:t>
            </w:r>
          </w:p>
        </w:tc>
      </w:tr>
      <w:tr w:rsidR="000E78DE" w:rsidRPr="00B12028" w:rsidTr="000C6933">
        <w:trPr>
          <w:trHeight w:val="597"/>
        </w:trPr>
        <w:tc>
          <w:tcPr>
            <w:tcW w:w="2660" w:type="dxa"/>
          </w:tcPr>
          <w:p w:rsidR="000E78DE" w:rsidRPr="00F14DD3" w:rsidDel="0018696E" w:rsidRDefault="000E78DE" w:rsidP="00F14DD3">
            <w:pPr>
              <w:pStyle w:val="DHHStabletext"/>
              <w:rPr>
                <w:b/>
              </w:rPr>
            </w:pPr>
            <w:r w:rsidRPr="00F14DD3">
              <w:rPr>
                <w:b/>
              </w:rPr>
              <w:t>Bail</w:t>
            </w:r>
          </w:p>
        </w:tc>
        <w:tc>
          <w:tcPr>
            <w:tcW w:w="3118" w:type="dxa"/>
          </w:tcPr>
          <w:p w:rsidR="000E78DE" w:rsidRPr="00F14DD3" w:rsidRDefault="000E78DE" w:rsidP="00F14DD3">
            <w:pPr>
              <w:pStyle w:val="DHHStablebullet"/>
              <w:rPr>
                <w:i/>
              </w:rPr>
            </w:pPr>
            <w:r w:rsidRPr="00F14DD3">
              <w:rPr>
                <w:i/>
              </w:rPr>
              <w:t xml:space="preserve">Bail Act 1977 </w:t>
            </w:r>
          </w:p>
          <w:p w:rsidR="000E78DE" w:rsidRPr="000E78DE" w:rsidRDefault="000E78DE" w:rsidP="006A29DA">
            <w:pPr>
              <w:pStyle w:val="DHHSbullet1lastline"/>
              <w:numPr>
                <w:ilvl w:val="0"/>
                <w:numId w:val="0"/>
              </w:numPr>
              <w:spacing w:before="80" w:line="240" w:lineRule="auto"/>
              <w:ind w:left="34"/>
              <w:rPr>
                <w:rFonts w:cs="Arial"/>
                <w:i/>
                <w:color w:val="000000"/>
                <w:sz w:val="18"/>
                <w:szCs w:val="18"/>
              </w:rPr>
            </w:pPr>
          </w:p>
        </w:tc>
        <w:tc>
          <w:tcPr>
            <w:tcW w:w="4678" w:type="dxa"/>
          </w:tcPr>
          <w:p w:rsidR="000E78DE" w:rsidRPr="00F14DD3" w:rsidRDefault="000E78DE" w:rsidP="00F14DD3">
            <w:pPr>
              <w:pStyle w:val="DHHStabletext"/>
            </w:pPr>
            <w:r w:rsidRPr="00F14DD3">
              <w:t xml:space="preserve">Changes to the </w:t>
            </w:r>
            <w:r w:rsidRPr="00734DF6">
              <w:rPr>
                <w:i/>
              </w:rPr>
              <w:t>Bail Act 1977</w:t>
            </w:r>
            <w:r w:rsidRPr="00F14DD3">
              <w:t xml:space="preserve"> through the Bail </w:t>
            </w:r>
            <w:r w:rsidRPr="00734DF6">
              <w:rPr>
                <w:i/>
              </w:rPr>
              <w:t>Amendment (Stage One) Act 2017</w:t>
            </w:r>
            <w:r w:rsidRPr="00F14DD3">
              <w:t xml:space="preserve"> and </w:t>
            </w:r>
            <w:r w:rsidRPr="00734DF6">
              <w:rPr>
                <w:i/>
              </w:rPr>
              <w:t>Bail Amendment (Stage Two) Act 2018</w:t>
            </w:r>
            <w:r w:rsidRPr="00F14DD3">
              <w:t xml:space="preserve">, mean that a bail decision-maker (when considering the release of an accused on bail), must make also make enquiries as to whether the accused is subject to either:  </w:t>
            </w:r>
          </w:p>
          <w:p w:rsidR="000E78DE" w:rsidRPr="00F14DD3" w:rsidRDefault="000E78DE" w:rsidP="00F14DD3">
            <w:pPr>
              <w:pStyle w:val="DHHStablebullet"/>
            </w:pPr>
            <w:r w:rsidRPr="00F14DD3">
              <w:t>a family violence intervention order; or</w:t>
            </w:r>
          </w:p>
          <w:p w:rsidR="000E78DE" w:rsidRPr="00087CA0" w:rsidRDefault="000E78DE" w:rsidP="000C6933">
            <w:pPr>
              <w:pStyle w:val="DHHStablebullet"/>
            </w:pPr>
            <w:r w:rsidRPr="00F14DD3">
              <w:t xml:space="preserve">a family violence safety notice. </w:t>
            </w:r>
          </w:p>
        </w:tc>
        <w:tc>
          <w:tcPr>
            <w:tcW w:w="4119" w:type="dxa"/>
          </w:tcPr>
          <w:p w:rsidR="000E78DE" w:rsidRPr="000C6933" w:rsidRDefault="00541186" w:rsidP="00F14DD3">
            <w:pPr>
              <w:pStyle w:val="DHHStablebullet"/>
              <w:rPr>
                <w:rStyle w:val="Hyperlink"/>
                <w:rFonts w:eastAsia="MS Gothic"/>
              </w:rPr>
            </w:pPr>
            <w:hyperlink r:id="rId18" w:history="1">
              <w:r w:rsidR="000E78DE" w:rsidRPr="000C6933">
                <w:rPr>
                  <w:rStyle w:val="Hyperlink"/>
                  <w:rFonts w:eastAsia="MS Gothic"/>
                </w:rPr>
                <w:t>http://www.legislation.vic.gov.au/</w:t>
              </w:r>
            </w:hyperlink>
            <w:r w:rsidR="000E78DE" w:rsidRPr="000C6933">
              <w:rPr>
                <w:rStyle w:val="Hyperlink"/>
                <w:rFonts w:eastAsia="MS Gothic"/>
              </w:rPr>
              <w:t xml:space="preserve"> </w:t>
            </w:r>
          </w:p>
          <w:p w:rsidR="000E78DE" w:rsidRPr="000C6933" w:rsidRDefault="000E78DE" w:rsidP="006A29DA">
            <w:pPr>
              <w:pStyle w:val="BodyText"/>
              <w:spacing w:before="80"/>
              <w:ind w:left="0"/>
              <w:rPr>
                <w:rStyle w:val="Hyperlink"/>
                <w:rFonts w:eastAsia="MS Gothic" w:cs="Times New Roman"/>
                <w:szCs w:val="20"/>
              </w:rPr>
            </w:pPr>
          </w:p>
        </w:tc>
      </w:tr>
      <w:tr w:rsidR="000E78DE" w:rsidRPr="00B12028" w:rsidTr="00E537B0">
        <w:trPr>
          <w:trHeight w:val="3702"/>
        </w:trPr>
        <w:tc>
          <w:tcPr>
            <w:tcW w:w="2660" w:type="dxa"/>
          </w:tcPr>
          <w:p w:rsidR="000E78DE" w:rsidRPr="00F14DD3" w:rsidRDefault="000E78DE" w:rsidP="00F14DD3">
            <w:pPr>
              <w:pStyle w:val="DHHStabletext"/>
              <w:rPr>
                <w:b/>
              </w:rPr>
            </w:pPr>
            <w:r w:rsidRPr="00F14DD3">
              <w:rPr>
                <w:b/>
              </w:rPr>
              <w:lastRenderedPageBreak/>
              <w:t>Corrections and sentencing</w:t>
            </w:r>
          </w:p>
          <w:p w:rsidR="000E78DE" w:rsidRPr="00087CA0" w:rsidRDefault="000E78DE" w:rsidP="006A29DA">
            <w:pPr>
              <w:pStyle w:val="DHHSbullet1lastline"/>
              <w:numPr>
                <w:ilvl w:val="0"/>
                <w:numId w:val="0"/>
              </w:numPr>
              <w:spacing w:before="80" w:line="240" w:lineRule="auto"/>
              <w:rPr>
                <w:rFonts w:cs="Arial"/>
                <w:b/>
                <w:sz w:val="18"/>
                <w:szCs w:val="18"/>
              </w:rPr>
            </w:pPr>
          </w:p>
          <w:p w:rsidR="000E78DE" w:rsidRPr="00087CA0" w:rsidRDefault="000E78DE" w:rsidP="006A29DA">
            <w:pPr>
              <w:pStyle w:val="DHHSbullet1lastline"/>
              <w:numPr>
                <w:ilvl w:val="0"/>
                <w:numId w:val="0"/>
              </w:numPr>
              <w:spacing w:before="80" w:line="240" w:lineRule="auto"/>
              <w:rPr>
                <w:rFonts w:cs="Arial"/>
                <w:b/>
                <w:sz w:val="18"/>
                <w:szCs w:val="18"/>
              </w:rPr>
            </w:pPr>
          </w:p>
          <w:p w:rsidR="000E78DE" w:rsidRPr="00087CA0" w:rsidRDefault="000E78DE" w:rsidP="006A29DA">
            <w:pPr>
              <w:pStyle w:val="DHHSbullet1lastline"/>
              <w:numPr>
                <w:ilvl w:val="0"/>
                <w:numId w:val="0"/>
              </w:numPr>
              <w:spacing w:before="80" w:line="240" w:lineRule="auto"/>
              <w:rPr>
                <w:rFonts w:cs="Arial"/>
                <w:b/>
                <w:sz w:val="18"/>
                <w:szCs w:val="18"/>
              </w:rPr>
            </w:pPr>
          </w:p>
          <w:p w:rsidR="000E78DE" w:rsidRPr="00087CA0" w:rsidRDefault="000E78DE" w:rsidP="006A29DA">
            <w:pPr>
              <w:pStyle w:val="DHHSbullet1lastline"/>
              <w:numPr>
                <w:ilvl w:val="0"/>
                <w:numId w:val="0"/>
              </w:numPr>
              <w:spacing w:before="80" w:line="240" w:lineRule="auto"/>
              <w:rPr>
                <w:rFonts w:cs="Arial"/>
                <w:b/>
                <w:sz w:val="18"/>
                <w:szCs w:val="18"/>
              </w:rPr>
            </w:pPr>
          </w:p>
          <w:p w:rsidR="000E78DE" w:rsidRPr="00087CA0" w:rsidRDefault="000E78DE" w:rsidP="006A29DA">
            <w:pPr>
              <w:pStyle w:val="DHHSbullet1lastline"/>
              <w:numPr>
                <w:ilvl w:val="0"/>
                <w:numId w:val="0"/>
              </w:numPr>
              <w:spacing w:before="80" w:line="240" w:lineRule="auto"/>
              <w:rPr>
                <w:rFonts w:cs="Arial"/>
                <w:b/>
                <w:sz w:val="18"/>
                <w:szCs w:val="18"/>
              </w:rPr>
            </w:pPr>
          </w:p>
          <w:p w:rsidR="000E78DE" w:rsidRPr="00087CA0" w:rsidRDefault="000E78DE" w:rsidP="006A29DA">
            <w:pPr>
              <w:pStyle w:val="DHHSbullet1lastline"/>
              <w:numPr>
                <w:ilvl w:val="0"/>
                <w:numId w:val="0"/>
              </w:numPr>
              <w:spacing w:before="80" w:line="240" w:lineRule="auto"/>
              <w:rPr>
                <w:rFonts w:cs="Arial"/>
                <w:b/>
                <w:sz w:val="18"/>
                <w:szCs w:val="18"/>
              </w:rPr>
            </w:pPr>
          </w:p>
          <w:p w:rsidR="000E78DE" w:rsidRPr="00087CA0" w:rsidRDefault="000E78DE" w:rsidP="006A29DA">
            <w:pPr>
              <w:pStyle w:val="DHHSbullet1lastline"/>
              <w:numPr>
                <w:ilvl w:val="0"/>
                <w:numId w:val="0"/>
              </w:numPr>
              <w:spacing w:before="80" w:line="240" w:lineRule="auto"/>
              <w:rPr>
                <w:rFonts w:cs="Arial"/>
                <w:b/>
                <w:sz w:val="18"/>
                <w:szCs w:val="18"/>
              </w:rPr>
            </w:pPr>
          </w:p>
          <w:p w:rsidR="000E78DE" w:rsidRPr="00087CA0" w:rsidRDefault="000E78DE" w:rsidP="006A29DA">
            <w:pPr>
              <w:pStyle w:val="DHHSbullet1lastline"/>
              <w:numPr>
                <w:ilvl w:val="0"/>
                <w:numId w:val="0"/>
              </w:numPr>
              <w:spacing w:before="80" w:line="240" w:lineRule="auto"/>
              <w:rPr>
                <w:rFonts w:cs="Arial"/>
                <w:b/>
                <w:sz w:val="18"/>
                <w:szCs w:val="18"/>
              </w:rPr>
            </w:pPr>
          </w:p>
        </w:tc>
        <w:tc>
          <w:tcPr>
            <w:tcW w:w="3118" w:type="dxa"/>
          </w:tcPr>
          <w:p w:rsidR="000E78DE" w:rsidRPr="00F14DD3" w:rsidRDefault="000E78DE" w:rsidP="00F14DD3">
            <w:pPr>
              <w:pStyle w:val="DHHStablebullet"/>
              <w:rPr>
                <w:i/>
              </w:rPr>
            </w:pPr>
            <w:r w:rsidRPr="00F14DD3">
              <w:rPr>
                <w:i/>
              </w:rPr>
              <w:t xml:space="preserve">Sentencing Act 1991 </w:t>
            </w:r>
          </w:p>
          <w:p w:rsidR="000E78DE" w:rsidRPr="00F14DD3" w:rsidRDefault="000E78DE" w:rsidP="00F14DD3">
            <w:pPr>
              <w:pStyle w:val="DHHStablebullet"/>
              <w:rPr>
                <w:i/>
              </w:rPr>
            </w:pPr>
            <w:r w:rsidRPr="00F14DD3">
              <w:rPr>
                <w:i/>
              </w:rPr>
              <w:t>Sentencing and Other Acts (Amendment) Act 2011</w:t>
            </w:r>
          </w:p>
          <w:p w:rsidR="000E78DE" w:rsidRPr="00F14DD3" w:rsidRDefault="000E78DE" w:rsidP="00F14DD3">
            <w:pPr>
              <w:pStyle w:val="DHHStablebullet"/>
              <w:rPr>
                <w:i/>
              </w:rPr>
            </w:pPr>
            <w:r w:rsidRPr="00F14DD3">
              <w:rPr>
                <w:i/>
              </w:rPr>
              <w:t>Corrections Act 1986</w:t>
            </w:r>
          </w:p>
          <w:p w:rsidR="000E78DE" w:rsidRPr="00F14DD3" w:rsidRDefault="000E78DE" w:rsidP="00F14DD3">
            <w:pPr>
              <w:pStyle w:val="DHHStablebullet"/>
              <w:rPr>
                <w:i/>
              </w:rPr>
            </w:pPr>
            <w:r w:rsidRPr="00F14DD3">
              <w:rPr>
                <w:i/>
              </w:rPr>
              <w:t>Corrections Regulations 2011</w:t>
            </w:r>
          </w:p>
          <w:p w:rsidR="000E78DE" w:rsidRPr="00F14DD3" w:rsidRDefault="000E78DE" w:rsidP="00F14DD3">
            <w:pPr>
              <w:pStyle w:val="DHHStablebullet"/>
              <w:rPr>
                <w:i/>
              </w:rPr>
            </w:pPr>
            <w:r w:rsidRPr="00F14DD3">
              <w:rPr>
                <w:i/>
              </w:rPr>
              <w:t>Corrections Amendment Act 2014</w:t>
            </w:r>
          </w:p>
          <w:p w:rsidR="000E78DE" w:rsidRPr="00F14DD3" w:rsidRDefault="000E78DE" w:rsidP="00F14DD3">
            <w:pPr>
              <w:pStyle w:val="DHHStablebullet"/>
              <w:rPr>
                <w:i/>
              </w:rPr>
            </w:pPr>
            <w:r w:rsidRPr="00F14DD3">
              <w:rPr>
                <w:i/>
              </w:rPr>
              <w:t>Justice Legislation Miscellaneous Amendment Bill 2018</w:t>
            </w:r>
          </w:p>
        </w:tc>
        <w:tc>
          <w:tcPr>
            <w:tcW w:w="4678" w:type="dxa"/>
          </w:tcPr>
          <w:p w:rsidR="000E78DE" w:rsidRPr="00F14DD3" w:rsidRDefault="000E78DE" w:rsidP="00F14DD3">
            <w:pPr>
              <w:pStyle w:val="DHHStabletext"/>
            </w:pPr>
            <w:r w:rsidRPr="00F14DD3">
              <w:t>The legislation and re</w:t>
            </w:r>
            <w:r w:rsidR="000C6933">
              <w:t xml:space="preserve">gulations listed stipulate the </w:t>
            </w:r>
            <w:r w:rsidRPr="00F14DD3">
              <w:t xml:space="preserve">information sharing provisions relevant to those involved in the criminal justice system, referred to as ‘forensic’ AOD clients. </w:t>
            </w:r>
          </w:p>
          <w:p w:rsidR="000E78DE" w:rsidRPr="00F14DD3" w:rsidRDefault="000E78DE" w:rsidP="00F14DD3">
            <w:pPr>
              <w:pStyle w:val="DHHStabletext"/>
            </w:pPr>
            <w:r w:rsidRPr="00F14DD3">
              <w:t>AOD service and treatment providers may be asked for information through an Information Request by the Serious Offenders Coordination Team (SOCT) at DHHS. These information requests may be used to assist in the development of a Case Services Plan (CSP) which is required for each individual subject to these Orders and for any issues associated with service provision.</w:t>
            </w:r>
          </w:p>
        </w:tc>
        <w:tc>
          <w:tcPr>
            <w:tcW w:w="4119" w:type="dxa"/>
          </w:tcPr>
          <w:p w:rsidR="000E78DE" w:rsidRPr="000C6933" w:rsidRDefault="00541186" w:rsidP="00F14DD3">
            <w:pPr>
              <w:pStyle w:val="DHHStablebullet"/>
              <w:rPr>
                <w:rStyle w:val="Hyperlink"/>
                <w:rFonts w:eastAsia="MS Gothic"/>
              </w:rPr>
            </w:pPr>
            <w:hyperlink r:id="rId19" w:history="1">
              <w:r w:rsidR="000E78DE" w:rsidRPr="000C6933">
                <w:rPr>
                  <w:rStyle w:val="Hyperlink"/>
                  <w:rFonts w:eastAsia="MS Gothic"/>
                </w:rPr>
                <w:t>http://www.legislation.vic.gov.au/</w:t>
              </w:r>
            </w:hyperlink>
            <w:r w:rsidR="000E78DE" w:rsidRPr="000C6933">
              <w:rPr>
                <w:rStyle w:val="Hyperlink"/>
                <w:rFonts w:eastAsia="MS Gothic"/>
              </w:rPr>
              <w:t xml:space="preserve"> </w:t>
            </w:r>
          </w:p>
        </w:tc>
      </w:tr>
      <w:tr w:rsidR="000E78DE" w:rsidRPr="00B12028" w:rsidTr="00E537B0">
        <w:trPr>
          <w:trHeight w:val="2691"/>
        </w:trPr>
        <w:tc>
          <w:tcPr>
            <w:tcW w:w="2660" w:type="dxa"/>
          </w:tcPr>
          <w:p w:rsidR="000E78DE" w:rsidRPr="00F14DD3" w:rsidRDefault="000E78DE" w:rsidP="00F14DD3">
            <w:pPr>
              <w:pStyle w:val="DHHStabletext"/>
              <w:rPr>
                <w:b/>
              </w:rPr>
            </w:pPr>
            <w:r w:rsidRPr="00F14DD3">
              <w:rPr>
                <w:b/>
              </w:rPr>
              <w:t>Post Sentence Scheme (sex offenders, serious violent offenders) subject to a Supervision Order, Intervention Order or Detention Order</w:t>
            </w:r>
          </w:p>
        </w:tc>
        <w:tc>
          <w:tcPr>
            <w:tcW w:w="3118" w:type="dxa"/>
          </w:tcPr>
          <w:p w:rsidR="000E78DE" w:rsidRPr="00F14DD3" w:rsidRDefault="000E78DE" w:rsidP="00F14DD3">
            <w:pPr>
              <w:pStyle w:val="DHHStablebullet"/>
              <w:rPr>
                <w:i/>
              </w:rPr>
            </w:pPr>
            <w:r w:rsidRPr="00F14DD3">
              <w:rPr>
                <w:i/>
              </w:rPr>
              <w:t>Serious Offenders Act 2018</w:t>
            </w:r>
          </w:p>
          <w:p w:rsidR="000E78DE" w:rsidRPr="00F14DD3" w:rsidRDefault="000E78DE" w:rsidP="00F14DD3">
            <w:pPr>
              <w:pStyle w:val="DHHStablebullet"/>
              <w:numPr>
                <w:ilvl w:val="0"/>
                <w:numId w:val="0"/>
              </w:numPr>
              <w:rPr>
                <w:i/>
              </w:rPr>
            </w:pPr>
          </w:p>
        </w:tc>
        <w:tc>
          <w:tcPr>
            <w:tcW w:w="4678" w:type="dxa"/>
          </w:tcPr>
          <w:p w:rsidR="000E78DE" w:rsidRPr="00F14DD3" w:rsidRDefault="000E78DE" w:rsidP="00F14DD3">
            <w:pPr>
              <w:pStyle w:val="DHHStabletext"/>
            </w:pPr>
            <w:r w:rsidRPr="00F14DD3">
              <w:t xml:space="preserve">In addition to the above mentioned legislation and regulations relevant to corrections and sentencing, there are additional information sharing requirements for serious offenders i.e. an offender that has committed a crime defined under Schedule 2 of the </w:t>
            </w:r>
            <w:r w:rsidRPr="00734DF6">
              <w:rPr>
                <w:i/>
              </w:rPr>
              <w:t>Serious Offenders Act 2018</w:t>
            </w:r>
            <w:r w:rsidRPr="00F14DD3">
              <w:t xml:space="preserve"> - e.g. Murder or Manslaughter.</w:t>
            </w:r>
          </w:p>
          <w:p w:rsidR="000E78DE" w:rsidRPr="00F14DD3" w:rsidRDefault="000E78DE" w:rsidP="00F14DD3">
            <w:pPr>
              <w:pStyle w:val="DHHStabletext"/>
            </w:pPr>
            <w:r w:rsidRPr="00F14DD3">
              <w:t xml:space="preserve">Further information is available in sections 284 and 332 of the </w:t>
            </w:r>
            <w:r w:rsidRPr="00734DF6">
              <w:rPr>
                <w:i/>
              </w:rPr>
              <w:t>Serious Offenders Act 2018.</w:t>
            </w:r>
            <w:r w:rsidRPr="00F14DD3">
              <w:t xml:space="preserve"> </w:t>
            </w:r>
          </w:p>
        </w:tc>
        <w:tc>
          <w:tcPr>
            <w:tcW w:w="4119" w:type="dxa"/>
          </w:tcPr>
          <w:p w:rsidR="000E78DE" w:rsidRPr="000C6933" w:rsidRDefault="00541186" w:rsidP="00F14DD3">
            <w:pPr>
              <w:pStyle w:val="DHHStablebullet"/>
              <w:rPr>
                <w:rStyle w:val="Hyperlink"/>
                <w:rFonts w:eastAsia="MS Gothic"/>
              </w:rPr>
            </w:pPr>
            <w:hyperlink r:id="rId20" w:history="1">
              <w:r w:rsidR="000E78DE" w:rsidRPr="000C6933">
                <w:rPr>
                  <w:rStyle w:val="Hyperlink"/>
                  <w:rFonts w:eastAsia="MS Gothic"/>
                </w:rPr>
                <w:t>http://www.legislation.vic.gov.au/</w:t>
              </w:r>
            </w:hyperlink>
            <w:r w:rsidR="000E78DE" w:rsidRPr="000C6933">
              <w:rPr>
                <w:rStyle w:val="Hyperlink"/>
                <w:rFonts w:eastAsia="MS Gothic"/>
              </w:rPr>
              <w:t xml:space="preserve"> </w:t>
            </w:r>
          </w:p>
        </w:tc>
      </w:tr>
      <w:tr w:rsidR="000E78DE" w:rsidRPr="00B12028" w:rsidTr="000C6933">
        <w:trPr>
          <w:trHeight w:val="739"/>
        </w:trPr>
        <w:tc>
          <w:tcPr>
            <w:tcW w:w="2660" w:type="dxa"/>
          </w:tcPr>
          <w:p w:rsidR="000E78DE" w:rsidRPr="00F14DD3" w:rsidRDefault="000E78DE" w:rsidP="00F14DD3">
            <w:pPr>
              <w:pStyle w:val="DHHStabletext"/>
              <w:rPr>
                <w:b/>
              </w:rPr>
            </w:pPr>
            <w:r w:rsidRPr="00F14DD3">
              <w:rPr>
                <w:b/>
              </w:rPr>
              <w:t>Child protection and wellbeing</w:t>
            </w:r>
          </w:p>
        </w:tc>
        <w:tc>
          <w:tcPr>
            <w:tcW w:w="3118" w:type="dxa"/>
          </w:tcPr>
          <w:p w:rsidR="000E78DE" w:rsidRPr="00F14DD3" w:rsidRDefault="000E78DE" w:rsidP="00F14DD3">
            <w:pPr>
              <w:pStyle w:val="DHHStablebullet"/>
              <w:rPr>
                <w:i/>
              </w:rPr>
            </w:pPr>
            <w:r w:rsidRPr="00F14DD3">
              <w:rPr>
                <w:i/>
              </w:rPr>
              <w:t>Children, Youth and Families Act 2005</w:t>
            </w:r>
          </w:p>
          <w:p w:rsidR="000E78DE" w:rsidRPr="00F14DD3" w:rsidRDefault="000E78DE" w:rsidP="00F14DD3">
            <w:pPr>
              <w:pStyle w:val="DHHStablebullet"/>
              <w:rPr>
                <w:i/>
              </w:rPr>
            </w:pPr>
            <w:r w:rsidRPr="00F14DD3">
              <w:rPr>
                <w:i/>
              </w:rPr>
              <w:t>Child Information Sharing Scheme Ministerial Guidelines 2018</w:t>
            </w:r>
          </w:p>
          <w:p w:rsidR="000E78DE" w:rsidRPr="00F14DD3" w:rsidRDefault="000E78DE" w:rsidP="00F14DD3">
            <w:pPr>
              <w:pStyle w:val="DHHStablebullet"/>
              <w:rPr>
                <w:i/>
              </w:rPr>
            </w:pPr>
            <w:r w:rsidRPr="00F14DD3">
              <w:rPr>
                <w:i/>
              </w:rPr>
              <w:t>Children Legislation Amendment (Information Sharing) Act 2018</w:t>
            </w:r>
          </w:p>
          <w:p w:rsidR="000E78DE" w:rsidRPr="00F14DD3" w:rsidRDefault="000E78DE" w:rsidP="00F14DD3">
            <w:pPr>
              <w:pStyle w:val="DHHStablebullet"/>
              <w:rPr>
                <w:i/>
              </w:rPr>
            </w:pPr>
            <w:r w:rsidRPr="00F14DD3">
              <w:rPr>
                <w:i/>
              </w:rPr>
              <w:t>Part 6QA of the Child Wellbeing and Safety Act</w:t>
            </w:r>
          </w:p>
        </w:tc>
        <w:tc>
          <w:tcPr>
            <w:tcW w:w="4678" w:type="dxa"/>
          </w:tcPr>
          <w:p w:rsidR="000E78DE" w:rsidRPr="00F14DD3" w:rsidRDefault="000E78DE" w:rsidP="00F14DD3">
            <w:pPr>
              <w:pStyle w:val="DHHStabletext"/>
            </w:pPr>
            <w:r w:rsidRPr="00F14DD3">
              <w:t xml:space="preserve">Part 3.2 of the </w:t>
            </w:r>
            <w:r w:rsidRPr="00734DF6">
              <w:rPr>
                <w:i/>
              </w:rPr>
              <w:t xml:space="preserve">Children, Youth and Families Act </w:t>
            </w:r>
            <w:r w:rsidRPr="00F14DD3">
              <w:t xml:space="preserve">prescribes when and how information may be shared when there is a significant concern about the wellbeing of a child.  </w:t>
            </w:r>
          </w:p>
          <w:p w:rsidR="000E78DE" w:rsidRPr="00F14DD3" w:rsidRDefault="000E78DE" w:rsidP="00F14DD3">
            <w:pPr>
              <w:pStyle w:val="DHHStabletext"/>
            </w:pPr>
            <w:r w:rsidRPr="00F14DD3">
              <w:t xml:space="preserve">The recently introduced Child Information Sharing Scheme expands circumstances where prescribed organisations and professionals can share information with each other to promote the wellbeing or safety of children. The new Child Link IT system will provide the infrastructure for this information sharing process. </w:t>
            </w:r>
          </w:p>
        </w:tc>
        <w:tc>
          <w:tcPr>
            <w:tcW w:w="4119" w:type="dxa"/>
          </w:tcPr>
          <w:p w:rsidR="000E78DE" w:rsidRPr="000C6933" w:rsidRDefault="00541186" w:rsidP="000C6933">
            <w:pPr>
              <w:pStyle w:val="DHHStablebullet"/>
              <w:rPr>
                <w:rStyle w:val="Hyperlink"/>
                <w:rFonts w:eastAsia="MS Gothic"/>
              </w:rPr>
            </w:pPr>
            <w:hyperlink r:id="rId21" w:history="1">
              <w:r w:rsidR="000E78DE" w:rsidRPr="000C6933">
                <w:rPr>
                  <w:rStyle w:val="Hyperlink"/>
                  <w:rFonts w:eastAsia="MS Gothic"/>
                </w:rPr>
                <w:t>http://www.cpmanual.vic.gov.au/our-approach/privacy/information-sharing</w:t>
              </w:r>
            </w:hyperlink>
            <w:r w:rsidR="000C6933" w:rsidRPr="000C6933">
              <w:rPr>
                <w:rStyle w:val="Hyperlink"/>
                <w:rFonts w:eastAsia="MS Gothic"/>
              </w:rPr>
              <w:t xml:space="preserve">  </w:t>
            </w:r>
          </w:p>
          <w:p w:rsidR="000E78DE" w:rsidRPr="00F14DD3" w:rsidRDefault="000C6933" w:rsidP="00F14DD3">
            <w:pPr>
              <w:pStyle w:val="DHHStablebullet"/>
            </w:pPr>
            <w:hyperlink r:id="rId22" w:history="1">
              <w:r w:rsidRPr="00DE3F81">
                <w:rPr>
                  <w:rStyle w:val="Hyperlink"/>
                  <w:rFonts w:eastAsia="MS Gothic"/>
                </w:rPr>
                <w:t>https://www.vic.gov.au/childinfosharing</w:t>
              </w:r>
            </w:hyperlink>
            <w:r>
              <w:rPr>
                <w:rStyle w:val="Hyperlink"/>
                <w:rFonts w:eastAsia="MS Gothic"/>
                <w:color w:val="auto"/>
                <w:u w:val="none"/>
              </w:rPr>
              <w:t xml:space="preserve"> </w:t>
            </w:r>
          </w:p>
        </w:tc>
      </w:tr>
      <w:tr w:rsidR="000E78DE" w:rsidRPr="00B12028" w:rsidTr="00E537B0">
        <w:trPr>
          <w:trHeight w:val="5970"/>
        </w:trPr>
        <w:tc>
          <w:tcPr>
            <w:tcW w:w="2660" w:type="dxa"/>
          </w:tcPr>
          <w:p w:rsidR="000E78DE" w:rsidRPr="00F14DD3" w:rsidRDefault="000E78DE" w:rsidP="00F14DD3">
            <w:pPr>
              <w:pStyle w:val="DHHStabletext"/>
              <w:rPr>
                <w:b/>
              </w:rPr>
            </w:pPr>
            <w:r w:rsidRPr="00F14DD3">
              <w:rPr>
                <w:b/>
              </w:rPr>
              <w:lastRenderedPageBreak/>
              <w:t>Family Violence</w:t>
            </w:r>
          </w:p>
        </w:tc>
        <w:tc>
          <w:tcPr>
            <w:tcW w:w="3118" w:type="dxa"/>
          </w:tcPr>
          <w:p w:rsidR="000E78DE" w:rsidRPr="00F14DD3" w:rsidRDefault="000E78DE" w:rsidP="00F14DD3">
            <w:pPr>
              <w:pStyle w:val="DHHStablebullet"/>
              <w:rPr>
                <w:i/>
              </w:rPr>
            </w:pPr>
            <w:r w:rsidRPr="00F14DD3">
              <w:rPr>
                <w:i/>
              </w:rPr>
              <w:t>Family Violence Protection Act 2008</w:t>
            </w:r>
          </w:p>
          <w:p w:rsidR="000E78DE" w:rsidRPr="00F14DD3" w:rsidRDefault="000E78DE" w:rsidP="00F14DD3">
            <w:pPr>
              <w:pStyle w:val="DHHStablebullet"/>
              <w:rPr>
                <w:i/>
              </w:rPr>
            </w:pPr>
            <w:r w:rsidRPr="00F14DD3">
              <w:rPr>
                <w:i/>
              </w:rPr>
              <w:t>The Family Violence Information Sharing Scheme (the scheme) created by Part 5A of the Family Violence Protection Act 2008 </w:t>
            </w:r>
          </w:p>
          <w:p w:rsidR="000E78DE" w:rsidRPr="00F14DD3" w:rsidRDefault="000E78DE" w:rsidP="00F14DD3">
            <w:pPr>
              <w:pStyle w:val="DHHStablebullet"/>
              <w:rPr>
                <w:i/>
              </w:rPr>
            </w:pPr>
            <w:r w:rsidRPr="00F14DD3">
              <w:rPr>
                <w:i/>
              </w:rPr>
              <w:t>The </w:t>
            </w:r>
            <w:hyperlink r:id="rId23" w:tgtFrame="_blank" w:history="1">
              <w:r w:rsidRPr="00F14DD3">
                <w:rPr>
                  <w:i/>
                </w:rPr>
                <w:t>Family Violence Protection (Information Sharing and Risk Management) Regulations 2018</w:t>
              </w:r>
            </w:hyperlink>
            <w:r w:rsidRPr="00F14DD3">
              <w:rPr>
                <w:i/>
              </w:rPr>
              <w:t>.</w:t>
            </w:r>
          </w:p>
          <w:p w:rsidR="000E78DE" w:rsidRPr="00F14DD3" w:rsidRDefault="000E78DE" w:rsidP="00F14DD3">
            <w:pPr>
              <w:pStyle w:val="DHHStablebullet"/>
              <w:rPr>
                <w:i/>
              </w:rPr>
            </w:pPr>
            <w:r w:rsidRPr="00F14DD3">
              <w:rPr>
                <w:i/>
              </w:rPr>
              <w:t xml:space="preserve">Family Violence Multi-Agency Risk Assessment and Management Framework (MARAM). </w:t>
            </w:r>
          </w:p>
          <w:p w:rsidR="000E78DE" w:rsidRPr="00F14DD3" w:rsidRDefault="000E78DE" w:rsidP="00F14DD3">
            <w:pPr>
              <w:pStyle w:val="DHHStablebullet"/>
              <w:rPr>
                <w:i/>
              </w:rPr>
            </w:pPr>
            <w:r w:rsidRPr="00F14DD3">
              <w:rPr>
                <w:i/>
              </w:rPr>
              <w:t>Family Violence Protection Amendment (Information Sharing) Act 2017</w:t>
            </w:r>
          </w:p>
          <w:p w:rsidR="000E78DE" w:rsidRPr="00F14DD3" w:rsidRDefault="000E78DE" w:rsidP="00F14DD3">
            <w:pPr>
              <w:pStyle w:val="DHHStablebullet"/>
              <w:numPr>
                <w:ilvl w:val="0"/>
                <w:numId w:val="0"/>
              </w:numPr>
              <w:rPr>
                <w:i/>
              </w:rPr>
            </w:pPr>
          </w:p>
        </w:tc>
        <w:tc>
          <w:tcPr>
            <w:tcW w:w="4678" w:type="dxa"/>
          </w:tcPr>
          <w:p w:rsidR="000E78DE" w:rsidRPr="00F14DD3" w:rsidRDefault="000E78DE" w:rsidP="00F14DD3">
            <w:pPr>
              <w:pStyle w:val="DHHStabletext"/>
            </w:pPr>
            <w:r w:rsidRPr="00F14DD3">
              <w:t xml:space="preserve">The Family Violence Information Sharing Scheme was created by Part 5A of the </w:t>
            </w:r>
            <w:r w:rsidRPr="00734DF6">
              <w:rPr>
                <w:i/>
              </w:rPr>
              <w:t>Family Violence Protection Act 2008</w:t>
            </w:r>
            <w:r w:rsidRPr="00F14DD3">
              <w:t xml:space="preserve"> and the </w:t>
            </w:r>
            <w:r w:rsidRPr="00734DF6">
              <w:rPr>
                <w:i/>
              </w:rPr>
              <w:t>Family Violence Protection (Information Sharing and Risk Management) Regulations 2018.</w:t>
            </w:r>
          </w:p>
          <w:p w:rsidR="000E78DE" w:rsidRPr="00F14DD3" w:rsidRDefault="000E78DE" w:rsidP="00F14DD3">
            <w:pPr>
              <w:pStyle w:val="DHHStabletext"/>
            </w:pPr>
            <w:r w:rsidRPr="00F14DD3">
              <w:t>The scheme authorises a select group of prescribed information sharing entities (ISEs), as identified in part 2 of the regulation, to share information between themselves for the purposes of family violence risk assessment and risk management.</w:t>
            </w:r>
          </w:p>
          <w:p w:rsidR="000E78DE" w:rsidRPr="00F14DD3" w:rsidRDefault="000E78DE" w:rsidP="00F14DD3">
            <w:pPr>
              <w:pStyle w:val="DHHStabletext"/>
            </w:pPr>
            <w:r w:rsidRPr="00F14DD3">
              <w:t xml:space="preserve">The scheme does affect existing legislation that allows information to be shared, such as privacy or child protection legislation. </w:t>
            </w:r>
          </w:p>
          <w:p w:rsidR="000E78DE" w:rsidRPr="00F14DD3" w:rsidRDefault="000E78DE" w:rsidP="00F14DD3">
            <w:pPr>
              <w:pStyle w:val="DHHStabletext"/>
            </w:pPr>
            <w:r w:rsidRPr="00F14DD3">
              <w:t>ISEs do not require the consent of a perpetrator or alleged perpetrator when sharing information under the Scheme. However, consent is required to share information about an adult victim survivor, unless sharing such information is necessary to lessen or prevent a serious threat to an individual's life, health, safety or welfare.</w:t>
            </w:r>
          </w:p>
        </w:tc>
        <w:tc>
          <w:tcPr>
            <w:tcW w:w="4119" w:type="dxa"/>
          </w:tcPr>
          <w:p w:rsidR="000E78DE" w:rsidRPr="000C6933" w:rsidRDefault="00541186" w:rsidP="00F14DD3">
            <w:pPr>
              <w:pStyle w:val="DHHStablebullet"/>
              <w:rPr>
                <w:rStyle w:val="Hyperlink"/>
                <w:rFonts w:eastAsia="MS Gothic"/>
              </w:rPr>
            </w:pPr>
            <w:hyperlink r:id="rId24" w:history="1">
              <w:r w:rsidR="000E78DE" w:rsidRPr="000C6933">
                <w:rPr>
                  <w:rStyle w:val="Hyperlink"/>
                  <w:rFonts w:eastAsia="MS Gothic"/>
                </w:rPr>
                <w:t>https://www.vic.gov.au/familyviolence/family-safety-victoria/information-sharing-and-risk-management.html</w:t>
              </w:r>
            </w:hyperlink>
          </w:p>
          <w:p w:rsidR="000E78DE" w:rsidRPr="00F14DD3" w:rsidRDefault="00541186" w:rsidP="00F14DD3">
            <w:pPr>
              <w:pStyle w:val="DHHStablebullet"/>
            </w:pPr>
            <w:hyperlink r:id="rId25" w:history="1">
              <w:r w:rsidR="000E78DE" w:rsidRPr="00F14DD3">
                <w:rPr>
                  <w:rStyle w:val="Hyperlink"/>
                  <w:rFonts w:eastAsia="MS Gothic"/>
                  <w:color w:val="auto"/>
                  <w:u w:val="none"/>
                </w:rPr>
                <w:t>Family Violence Risk Assessment and Risk Management Framework (MARAM</w:t>
              </w:r>
            </w:hyperlink>
            <w:r w:rsidR="000E78DE" w:rsidRPr="00F14DD3">
              <w:rPr>
                <w:rStyle w:val="Hyperlink"/>
                <w:rFonts w:eastAsia="MS Gothic"/>
                <w:color w:val="auto"/>
                <w:u w:val="none"/>
              </w:rPr>
              <w:t xml:space="preserve"> )</w:t>
            </w:r>
          </w:p>
        </w:tc>
      </w:tr>
      <w:tr w:rsidR="000E78DE" w:rsidRPr="00B12028" w:rsidTr="00E537B0">
        <w:trPr>
          <w:trHeight w:val="725"/>
        </w:trPr>
        <w:tc>
          <w:tcPr>
            <w:tcW w:w="2660" w:type="dxa"/>
          </w:tcPr>
          <w:p w:rsidR="000E78DE" w:rsidRPr="00F14DD3" w:rsidRDefault="000E78DE" w:rsidP="00F14DD3">
            <w:pPr>
              <w:pStyle w:val="DHHStabletext"/>
              <w:rPr>
                <w:b/>
                <w:highlight w:val="yellow"/>
              </w:rPr>
            </w:pPr>
            <w:r w:rsidRPr="00F14DD3">
              <w:rPr>
                <w:b/>
              </w:rPr>
              <w:t>Complex Needs clients involved in the Multiple and Complex Needs Initiative (MACNI)</w:t>
            </w:r>
          </w:p>
        </w:tc>
        <w:tc>
          <w:tcPr>
            <w:tcW w:w="3118" w:type="dxa"/>
          </w:tcPr>
          <w:p w:rsidR="000E78DE" w:rsidRPr="00F14DD3" w:rsidRDefault="000E78DE" w:rsidP="00F14DD3">
            <w:pPr>
              <w:pStyle w:val="DHHStablebullet"/>
              <w:rPr>
                <w:rFonts w:eastAsia="Times"/>
                <w:i/>
              </w:rPr>
            </w:pPr>
            <w:r w:rsidRPr="00F14DD3">
              <w:rPr>
                <w:i/>
              </w:rPr>
              <w:t>Human Services (Complex Needs) Act 2009</w:t>
            </w:r>
          </w:p>
        </w:tc>
        <w:tc>
          <w:tcPr>
            <w:tcW w:w="4678" w:type="dxa"/>
          </w:tcPr>
          <w:p w:rsidR="000E78DE" w:rsidRPr="00F14DD3" w:rsidRDefault="000E78DE" w:rsidP="00F14DD3">
            <w:pPr>
              <w:pStyle w:val="DHHStabletext"/>
            </w:pPr>
            <w:r w:rsidRPr="00F14DD3">
              <w:t xml:space="preserve">Service providers identified in a client’s MACNI care plan may be asked for personal or health related information. </w:t>
            </w:r>
          </w:p>
          <w:p w:rsidR="000E78DE" w:rsidRPr="00F14DD3" w:rsidRDefault="000E78DE" w:rsidP="00F14DD3">
            <w:pPr>
              <w:pStyle w:val="DHHStabletext"/>
            </w:pPr>
            <w:r w:rsidRPr="00F14DD3">
              <w:t>Information may be sought by the Secretary of the Department of Health and Human Services, or other service providers identified in the client’s care plan, for the development of care plans and any issues associated with service provision.</w:t>
            </w:r>
          </w:p>
          <w:p w:rsidR="000E78DE" w:rsidRPr="00F14DD3" w:rsidRDefault="000E78DE" w:rsidP="00F14DD3">
            <w:pPr>
              <w:pStyle w:val="DHHStabletext"/>
            </w:pPr>
            <w:r w:rsidRPr="00F14DD3">
              <w:t>Clients consent to information sharing across providers when they consent to the MACNI service.</w:t>
            </w:r>
          </w:p>
          <w:p w:rsidR="000E78DE" w:rsidRPr="00F14DD3" w:rsidRDefault="000E78DE" w:rsidP="00F14DD3">
            <w:pPr>
              <w:pStyle w:val="DHHStabletext"/>
            </w:pPr>
            <w:r w:rsidRPr="00F14DD3">
              <w:t xml:space="preserve">More information is provided in sections 14, 17 </w:t>
            </w:r>
            <w:r w:rsidRPr="00F14DD3">
              <w:lastRenderedPageBreak/>
              <w:t xml:space="preserve">and 23 of the </w:t>
            </w:r>
            <w:r w:rsidRPr="00734DF6">
              <w:rPr>
                <w:i/>
              </w:rPr>
              <w:t>Human Services (Complex Needs) Act 2009.</w:t>
            </w:r>
            <w:r w:rsidRPr="00F14DD3">
              <w:t xml:space="preserve"> </w:t>
            </w:r>
          </w:p>
        </w:tc>
        <w:tc>
          <w:tcPr>
            <w:tcW w:w="4119" w:type="dxa"/>
          </w:tcPr>
          <w:p w:rsidR="000E78DE" w:rsidRPr="00F14DD3" w:rsidRDefault="00541186" w:rsidP="00F14DD3">
            <w:pPr>
              <w:pStyle w:val="DHHStablebullet"/>
            </w:pPr>
            <w:hyperlink r:id="rId26" w:history="1">
              <w:r w:rsidR="000E78DE" w:rsidRPr="000C6933">
                <w:rPr>
                  <w:rStyle w:val="Hyperlink"/>
                  <w:rFonts w:eastAsia="MS Gothic"/>
                </w:rPr>
                <w:t>https://providers.dhhs.vic.gov.au/multiple-and-complex-needs-initiative</w:t>
              </w:r>
            </w:hyperlink>
            <w:r w:rsidR="000E78DE" w:rsidRPr="00F14DD3">
              <w:t xml:space="preserve"> </w:t>
            </w:r>
          </w:p>
        </w:tc>
      </w:tr>
    </w:tbl>
    <w:p w:rsidR="000E78DE" w:rsidRDefault="000E78DE" w:rsidP="00E537B0">
      <w:pPr>
        <w:pStyle w:val="DHHSbody"/>
        <w:spacing w:before="240"/>
      </w:pPr>
      <w:r w:rsidRPr="000C6933">
        <w:lastRenderedPageBreak/>
        <w:t xml:space="preserve">The Victorian Commissioner for Privacy and Data Protection have a range of helpful information available about best practice in relation to information sharing available at: </w:t>
      </w:r>
      <w:hyperlink r:id="rId27" w:history="1">
        <w:r w:rsidRPr="000C6933">
          <w:rPr>
            <w:rStyle w:val="Hyperlink"/>
            <w:rFonts w:eastAsia="MS Gothic"/>
          </w:rPr>
          <w:t>https://ovic.vic.gov.au/privacy/for-agencies/guidance-and-resources/</w:t>
        </w:r>
      </w:hyperlink>
      <w:r w:rsidR="000C6933">
        <w:rPr>
          <w:rStyle w:val="Hyperlink"/>
          <w:color w:val="auto"/>
          <w:u w:val="none"/>
        </w:rPr>
        <w:t xml:space="preserve"> </w:t>
      </w:r>
      <w:r w:rsidR="00F14DD3" w:rsidRPr="000C6933">
        <w:t xml:space="preserve"> </w:t>
      </w:r>
      <w:r w:rsidR="000C6933">
        <w:t xml:space="preserve"> </w:t>
      </w:r>
    </w:p>
    <w:p w:rsidR="00973F34" w:rsidRDefault="00973F34" w:rsidP="000C6933">
      <w:pPr>
        <w:pStyle w:val="DHHSbody"/>
      </w:pPr>
    </w:p>
    <w:p w:rsidR="00973F34" w:rsidRDefault="00973F34" w:rsidP="00973F34">
      <w:pPr>
        <w:pStyle w:val="Healthbody"/>
        <w:pBdr>
          <w:top w:val="single" w:sz="4" w:space="0" w:color="auto"/>
          <w:left w:val="single" w:sz="4" w:space="4" w:color="auto"/>
          <w:bottom w:val="single" w:sz="4" w:space="11" w:color="auto"/>
          <w:right w:val="single" w:sz="4" w:space="4" w:color="auto"/>
        </w:pBdr>
        <w:rPr>
          <w:sz w:val="24"/>
        </w:rPr>
      </w:pPr>
    </w:p>
    <w:p w:rsidR="00973F34" w:rsidRDefault="00973F34" w:rsidP="00973F34">
      <w:pPr>
        <w:pStyle w:val="Healthbody"/>
        <w:pBdr>
          <w:top w:val="single" w:sz="4" w:space="0" w:color="auto"/>
          <w:left w:val="single" w:sz="4" w:space="4" w:color="auto"/>
          <w:bottom w:val="single" w:sz="4" w:space="11" w:color="auto"/>
          <w:right w:val="single" w:sz="4" w:space="4" w:color="auto"/>
        </w:pBdr>
        <w:rPr>
          <w:sz w:val="24"/>
        </w:rPr>
      </w:pPr>
      <w:r>
        <w:rPr>
          <w:sz w:val="24"/>
        </w:rPr>
        <w:t xml:space="preserve">To receive this publication in an accessible format, email </w:t>
      </w:r>
      <w:hyperlink r:id="rId28" w:history="1">
        <w:r w:rsidRPr="00DE3F81">
          <w:rPr>
            <w:rStyle w:val="Hyperlink"/>
            <w:sz w:val="24"/>
          </w:rPr>
          <w:t>AOD.enquiries@dhhs.vic.gov.au</w:t>
        </w:r>
      </w:hyperlink>
      <w:r>
        <w:rPr>
          <w:sz w:val="24"/>
        </w:rPr>
        <w:t>.</w:t>
      </w:r>
      <w:r>
        <w:rPr>
          <w:sz w:val="24"/>
        </w:rPr>
        <w:t xml:space="preserve"> Authorised and published by the Victorian Government, 1 Treasury Place, Melbourne. </w:t>
      </w:r>
    </w:p>
    <w:p w:rsidR="00973F34" w:rsidRPr="000C6933" w:rsidRDefault="00973F34" w:rsidP="000C6933">
      <w:pPr>
        <w:pStyle w:val="DHHSbody"/>
      </w:pPr>
    </w:p>
    <w:p w:rsidR="00B2752E" w:rsidRPr="00906490" w:rsidRDefault="000E78DE" w:rsidP="000C6933">
      <w:pPr>
        <w:pStyle w:val="DHHSbullet1lastline"/>
        <w:numPr>
          <w:ilvl w:val="0"/>
          <w:numId w:val="0"/>
        </w:numPr>
        <w:tabs>
          <w:tab w:val="left" w:pos="3173"/>
          <w:tab w:val="left" w:pos="6291"/>
          <w:tab w:val="left" w:pos="10969"/>
        </w:tabs>
        <w:spacing w:before="80" w:line="240" w:lineRule="auto"/>
      </w:pPr>
      <w:r w:rsidRPr="007C0BC9">
        <w:rPr>
          <w:rFonts w:cs="Arial"/>
          <w:sz w:val="18"/>
          <w:szCs w:val="18"/>
        </w:rPr>
        <w:tab/>
      </w:r>
      <w:r w:rsidRPr="007C0BC9">
        <w:rPr>
          <w:rFonts w:cs="Arial"/>
          <w:i/>
          <w:sz w:val="18"/>
          <w:szCs w:val="18"/>
        </w:rPr>
        <w:tab/>
      </w:r>
      <w:r w:rsidRPr="007C0BC9">
        <w:rPr>
          <w:rFonts w:cs="Arial"/>
          <w:sz w:val="18"/>
          <w:szCs w:val="18"/>
        </w:rPr>
        <w:tab/>
      </w:r>
    </w:p>
    <w:sectPr w:rsidR="00B2752E" w:rsidRPr="00906490" w:rsidSect="000E78DE">
      <w:headerReference w:type="default" r:id="rId29"/>
      <w:footerReference w:type="default" r:id="rId30"/>
      <w:pgSz w:w="16838" w:h="11906" w:orient="landscape" w:code="9"/>
      <w:pgMar w:top="851" w:right="1418" w:bottom="851" w:left="1134"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8DE" w:rsidRDefault="000E78DE">
      <w:r>
        <w:separator/>
      </w:r>
    </w:p>
  </w:endnote>
  <w:endnote w:type="continuationSeparator" w:id="0">
    <w:p w:rsidR="000E78DE" w:rsidRDefault="000E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0E78DE" w:rsidP="0051568D">
    <w:pPr>
      <w:pStyle w:val="DHHSfooter"/>
    </w:pPr>
    <w:r>
      <w:rPr>
        <w:noProof/>
        <w:lang w:eastAsia="en-AU"/>
      </w:rPr>
      <w:drawing>
        <wp:anchor distT="0" distB="0" distL="114300" distR="114300" simplePos="0" relativeHeight="251657728" behindDoc="0" locked="1" layoutInCell="0" allowOverlap="1" wp14:anchorId="6BD00476" wp14:editId="26480493">
          <wp:simplePos x="0" y="0"/>
          <wp:positionH relativeFrom="page">
            <wp:posOffset>0</wp:posOffset>
          </wp:positionH>
          <wp:positionV relativeFrom="page">
            <wp:posOffset>9901555</wp:posOffset>
          </wp:positionV>
          <wp:extent cx="7561580" cy="791210"/>
          <wp:effectExtent l="0" t="0" r="0" b="0"/>
          <wp:wrapNone/>
          <wp:docPr id="2" name="Picture 2"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118" w:rsidRPr="00B21118" w:rsidRDefault="00B21118">
    <w:pPr>
      <w:pStyle w:val="Footer"/>
      <w:rPr>
        <w:rFonts w:ascii="Calibri" w:eastAsia="Calibri" w:hAnsi="Calibri" w:cs="Times New Roman"/>
        <w:noProof/>
        <w:sz w:val="22"/>
        <w:szCs w:val="22"/>
      </w:rPr>
    </w:pPr>
    <w:r>
      <w:t>Client information sharing – guidance for AOD workers</w:t>
    </w:r>
    <w:r w:rsidRPr="00B21118">
      <w:t xml:space="preserve"> </w:t>
    </w:r>
    <w:sdt>
      <w:sdtPr>
        <w:id w:val="-946159394"/>
        <w:docPartObj>
          <w:docPartGallery w:val="Page Numbers (Bottom of Page)"/>
          <w:docPartUnique/>
        </w:docPartObj>
      </w:sdtPr>
      <w:sdtEndPr>
        <w:rPr>
          <w:noProof/>
        </w:rPr>
      </w:sdtEndPr>
      <w:sdtContent>
        <w:r>
          <w:tab/>
        </w:r>
        <w:r>
          <w:tab/>
        </w:r>
        <w:r>
          <w:tab/>
        </w:r>
        <w:r>
          <w:tab/>
        </w:r>
        <w:r>
          <w:tab/>
          <w:t xml:space="preserve">                        </w:t>
        </w:r>
        <w:r>
          <w:fldChar w:fldCharType="begin"/>
        </w:r>
        <w:r>
          <w:instrText xml:space="preserve"> PAGE   \* MERGEFORMAT </w:instrText>
        </w:r>
        <w:r>
          <w:fldChar w:fldCharType="separate"/>
        </w:r>
        <w:r w:rsidR="00E537B0">
          <w:rPr>
            <w:noProof/>
          </w:rPr>
          <w:t>2</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355354"/>
      <w:docPartObj>
        <w:docPartGallery w:val="Page Numbers (Bottom of Page)"/>
        <w:docPartUnique/>
      </w:docPartObj>
    </w:sdtPr>
    <w:sdtEndPr>
      <w:rPr>
        <w:noProof/>
      </w:rPr>
    </w:sdtEndPr>
    <w:sdtContent>
      <w:p w:rsidR="000E78DE" w:rsidRDefault="000E78DE" w:rsidP="00D46D22">
        <w:pPr>
          <w:pStyle w:val="Footer"/>
          <w:jc w:val="right"/>
        </w:pPr>
        <w:r>
          <w:fldChar w:fldCharType="begin"/>
        </w:r>
        <w:r>
          <w:instrText xml:space="preserve"> PAGE   \* MERGEFORMAT </w:instrText>
        </w:r>
        <w:r>
          <w:fldChar w:fldCharType="separate"/>
        </w:r>
        <w:r w:rsidR="00F14DD3">
          <w:rPr>
            <w:noProof/>
          </w:rPr>
          <w:t>2</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0E78DE" w:rsidP="0051568D">
    <w:pPr>
      <w:pStyle w:val="DHHSfooter"/>
    </w:pPr>
    <w:r>
      <w:t xml:space="preserve">Client information sharing – guidance for AOD workers </w:t>
    </w:r>
    <w:r w:rsidR="009D70A4" w:rsidRPr="00A11421">
      <w:tab/>
    </w:r>
    <w:r>
      <w:tab/>
    </w:r>
    <w:r>
      <w:tab/>
    </w:r>
    <w:r>
      <w:tab/>
    </w:r>
    <w:r>
      <w:tab/>
    </w:r>
    <w:r w:rsidR="00B21118">
      <w:t xml:space="preserve">                        </w:t>
    </w:r>
    <w:r w:rsidR="009D70A4" w:rsidRPr="00A11421">
      <w:fldChar w:fldCharType="begin"/>
    </w:r>
    <w:r w:rsidR="009D70A4" w:rsidRPr="00A11421">
      <w:instrText xml:space="preserve"> PAGE </w:instrText>
    </w:r>
    <w:r w:rsidR="009D70A4" w:rsidRPr="00A11421">
      <w:fldChar w:fldCharType="separate"/>
    </w:r>
    <w:r w:rsidR="00541186">
      <w:rPr>
        <w:noProof/>
      </w:rPr>
      <w:t>3</w:t>
    </w:r>
    <w:r w:rsidR="009D70A4"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8DE" w:rsidRDefault="000E78DE" w:rsidP="002862F1">
      <w:pPr>
        <w:spacing w:before="120"/>
      </w:pPr>
      <w:r>
        <w:separator/>
      </w:r>
    </w:p>
  </w:footnote>
  <w:footnote w:type="continuationSeparator" w:id="0">
    <w:p w:rsidR="000E78DE" w:rsidRDefault="000E7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8DE" w:rsidRDefault="000E78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8DE" w:rsidRDefault="000E78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8DE" w:rsidRDefault="000E78D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76" w:hanging="284"/>
      </w:pPr>
      <w:rPr>
        <w:rFonts w:ascii="Symbol" w:hAnsi="Symbol" w:hint="default"/>
      </w:rPr>
    </w:lvl>
    <w:lvl w:ilvl="1">
      <w:start w:val="1"/>
      <w:numFmt w:val="bullet"/>
      <w:lvlRestart w:val="0"/>
      <w:lvlText w:val=""/>
      <w:lvlJc w:val="left"/>
      <w:pPr>
        <w:ind w:left="-76" w:hanging="284"/>
      </w:pPr>
      <w:rPr>
        <w:rFonts w:ascii="Symbol" w:hAnsi="Symbol" w:hint="default"/>
      </w:rPr>
    </w:lvl>
    <w:lvl w:ilvl="2">
      <w:start w:val="1"/>
      <w:numFmt w:val="bullet"/>
      <w:lvlRestart w:val="0"/>
      <w:lvlText w:val="–"/>
      <w:lvlJc w:val="left"/>
      <w:pPr>
        <w:ind w:left="207" w:hanging="283"/>
      </w:pPr>
      <w:rPr>
        <w:rFonts w:hint="default"/>
      </w:rPr>
    </w:lvl>
    <w:lvl w:ilvl="3">
      <w:start w:val="1"/>
      <w:numFmt w:val="bullet"/>
      <w:lvlRestart w:val="0"/>
      <w:lvlText w:val="–"/>
      <w:lvlJc w:val="left"/>
      <w:pPr>
        <w:ind w:left="207" w:hanging="283"/>
      </w:pPr>
      <w:rPr>
        <w:rFonts w:hint="default"/>
      </w:rPr>
    </w:lvl>
    <w:lvl w:ilvl="4">
      <w:start w:val="1"/>
      <w:numFmt w:val="bullet"/>
      <w:lvlRestart w:val="0"/>
      <w:lvlText w:val=""/>
      <w:lvlJc w:val="left"/>
      <w:pPr>
        <w:ind w:left="320" w:hanging="283"/>
      </w:pPr>
      <w:rPr>
        <w:rFonts w:ascii="Symbol" w:hAnsi="Symbol" w:hint="default"/>
      </w:rPr>
    </w:lvl>
    <w:lvl w:ilvl="5">
      <w:start w:val="1"/>
      <w:numFmt w:val="bullet"/>
      <w:lvlRestart w:val="0"/>
      <w:lvlText w:val=""/>
      <w:lvlJc w:val="left"/>
      <w:pPr>
        <w:ind w:left="320" w:hanging="283"/>
      </w:pPr>
      <w:rPr>
        <w:rFonts w:ascii="Symbol" w:hAnsi="Symbol" w:hint="default"/>
      </w:rPr>
    </w:lvl>
    <w:lvl w:ilvl="6">
      <w:start w:val="1"/>
      <w:numFmt w:val="bullet"/>
      <w:lvlRestart w:val="0"/>
      <w:lvlText w:val=""/>
      <w:lvlJc w:val="left"/>
      <w:pPr>
        <w:ind w:left="-133" w:hanging="227"/>
      </w:pPr>
      <w:rPr>
        <w:rFonts w:ascii="Symbol" w:hAnsi="Symbol" w:hint="default"/>
      </w:rPr>
    </w:lvl>
    <w:lvl w:ilvl="7">
      <w:start w:val="1"/>
      <w:numFmt w:val="none"/>
      <w:lvlRestart w:val="0"/>
      <w:lvlText w:val=""/>
      <w:lvlJc w:val="left"/>
      <w:pPr>
        <w:ind w:left="-360" w:firstLine="0"/>
      </w:pPr>
      <w:rPr>
        <w:rFonts w:hint="default"/>
      </w:rPr>
    </w:lvl>
    <w:lvl w:ilvl="8">
      <w:start w:val="1"/>
      <w:numFmt w:val="none"/>
      <w:lvlRestart w:val="0"/>
      <w:lvlText w:val=""/>
      <w:lvlJc w:val="left"/>
      <w:pPr>
        <w:ind w:left="-36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0F1D7782"/>
    <w:multiLevelType w:val="hybridMultilevel"/>
    <w:tmpl w:val="F8E4DB6C"/>
    <w:lvl w:ilvl="0" w:tplc="0C090001">
      <w:start w:val="1"/>
      <w:numFmt w:val="bullet"/>
      <w:lvlText w:val=""/>
      <w:lvlJc w:val="left"/>
      <w:pPr>
        <w:ind w:left="360" w:hanging="360"/>
      </w:pPr>
      <w:rPr>
        <w:rFonts w:ascii="Symbol" w:hAnsi="Symbol" w:hint="default"/>
        <w:b/>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3B07160"/>
    <w:multiLevelType w:val="hybridMultilevel"/>
    <w:tmpl w:val="98F2F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E30C63"/>
    <w:multiLevelType w:val="hybridMultilevel"/>
    <w:tmpl w:val="D5F0F4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A535D47"/>
    <w:multiLevelType w:val="hybridMultilevel"/>
    <w:tmpl w:val="79D6A6A6"/>
    <w:lvl w:ilvl="0" w:tplc="0C090001">
      <w:start w:val="1"/>
      <w:numFmt w:val="bullet"/>
      <w:lvlText w:val=""/>
      <w:lvlJc w:val="left"/>
      <w:pPr>
        <w:ind w:left="360" w:hanging="360"/>
      </w:pPr>
      <w:rPr>
        <w:rFonts w:ascii="Symbol" w:hAnsi="Symbol" w:hint="default"/>
        <w:b/>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356647BB"/>
    <w:multiLevelType w:val="hybridMultilevel"/>
    <w:tmpl w:val="99CED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nsid w:val="3F736EB6"/>
    <w:multiLevelType w:val="hybridMultilevel"/>
    <w:tmpl w:val="F698D51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18263EA"/>
    <w:multiLevelType w:val="hybridMultilevel"/>
    <w:tmpl w:val="830E161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42A33134"/>
    <w:multiLevelType w:val="multilevel"/>
    <w:tmpl w:val="8F24BC9A"/>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11"/>
  </w:num>
  <w:num w:numId="10">
    <w:abstractNumId w:val="5"/>
  </w:num>
  <w:num w:numId="11">
    <w:abstractNumId w:val="10"/>
  </w:num>
  <w:num w:numId="12">
    <w:abstractNumId w:val="3"/>
  </w:num>
  <w:num w:numId="13">
    <w:abstractNumId w:val="6"/>
  </w:num>
  <w:num w:numId="14">
    <w:abstractNumId w:val="9"/>
  </w:num>
  <w:num w:numId="15">
    <w:abstractNumId w:val="4"/>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8DE"/>
    <w:rsid w:val="000072B6"/>
    <w:rsid w:val="0001021B"/>
    <w:rsid w:val="00011D89"/>
    <w:rsid w:val="00024D89"/>
    <w:rsid w:val="000250B6"/>
    <w:rsid w:val="00033D81"/>
    <w:rsid w:val="00041BF0"/>
    <w:rsid w:val="0004536B"/>
    <w:rsid w:val="00046B68"/>
    <w:rsid w:val="000527DD"/>
    <w:rsid w:val="000578B2"/>
    <w:rsid w:val="00060038"/>
    <w:rsid w:val="00060959"/>
    <w:rsid w:val="000663CD"/>
    <w:rsid w:val="000733FE"/>
    <w:rsid w:val="00074219"/>
    <w:rsid w:val="00074ED5"/>
    <w:rsid w:val="0009113B"/>
    <w:rsid w:val="00094DA3"/>
    <w:rsid w:val="00096CD1"/>
    <w:rsid w:val="000A012C"/>
    <w:rsid w:val="000A0EB9"/>
    <w:rsid w:val="000A186C"/>
    <w:rsid w:val="000B23FD"/>
    <w:rsid w:val="000B543D"/>
    <w:rsid w:val="000B5BF7"/>
    <w:rsid w:val="000B6BC8"/>
    <w:rsid w:val="000C42EA"/>
    <w:rsid w:val="000C4546"/>
    <w:rsid w:val="000C6933"/>
    <w:rsid w:val="000D1242"/>
    <w:rsid w:val="000E3CC7"/>
    <w:rsid w:val="000E6BD4"/>
    <w:rsid w:val="000E78DE"/>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C4787"/>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5FF7"/>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0D9"/>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1186"/>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3C3A"/>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34DF6"/>
    <w:rsid w:val="00740F22"/>
    <w:rsid w:val="00741F1A"/>
    <w:rsid w:val="007450F8"/>
    <w:rsid w:val="0074696E"/>
    <w:rsid w:val="00750135"/>
    <w:rsid w:val="00750EC2"/>
    <w:rsid w:val="00752B28"/>
    <w:rsid w:val="00754E36"/>
    <w:rsid w:val="007554F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73F34"/>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26CFB"/>
    <w:rsid w:val="00A44882"/>
    <w:rsid w:val="00A54715"/>
    <w:rsid w:val="00A6061C"/>
    <w:rsid w:val="00A60852"/>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1118"/>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27B4"/>
    <w:rsid w:val="00C06F94"/>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4BAB"/>
    <w:rsid w:val="00D4606D"/>
    <w:rsid w:val="00D50B9C"/>
    <w:rsid w:val="00D52D73"/>
    <w:rsid w:val="00D52E58"/>
    <w:rsid w:val="00D714CC"/>
    <w:rsid w:val="00D75EA7"/>
    <w:rsid w:val="00D81F21"/>
    <w:rsid w:val="00D85AC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537B0"/>
    <w:rsid w:val="00E56A01"/>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4DD3"/>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6D9D"/>
    <w:rsid w:val="00FF73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Body Text" w:uiPriority="0"/>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0E78DE"/>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9"/>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9"/>
    <w:rsid w:val="00152073"/>
    <w:rPr>
      <w:rFonts w:ascii="Arial" w:eastAsia="MS Mincho" w:hAnsi="Arial"/>
      <w:b/>
      <w:bCs/>
      <w:lang w:eastAsia="en-US"/>
    </w:rPr>
  </w:style>
  <w:style w:type="paragraph" w:styleId="Header">
    <w:name w:val="header"/>
    <w:basedOn w:val="DHHSheader"/>
    <w:link w:val="HeaderChar"/>
    <w:uiPriority w:val="99"/>
    <w:rsid w:val="00262802"/>
  </w:style>
  <w:style w:type="paragraph" w:styleId="Footer">
    <w:name w:val="footer"/>
    <w:basedOn w:val="DHHSfooter"/>
    <w:link w:val="FooterChar"/>
    <w:uiPriority w:val="99"/>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HeaderChar">
    <w:name w:val="Header Char"/>
    <w:link w:val="Header"/>
    <w:uiPriority w:val="99"/>
    <w:rsid w:val="000E78DE"/>
    <w:rPr>
      <w:rFonts w:ascii="Arial" w:hAnsi="Arial" w:cs="Arial"/>
      <w:sz w:val="18"/>
      <w:szCs w:val="18"/>
      <w:lang w:eastAsia="en-US"/>
    </w:rPr>
  </w:style>
  <w:style w:type="character" w:customStyle="1" w:styleId="FooterChar">
    <w:name w:val="Footer Char"/>
    <w:link w:val="Footer"/>
    <w:uiPriority w:val="99"/>
    <w:rsid w:val="000E78DE"/>
    <w:rPr>
      <w:rFonts w:ascii="Arial" w:hAnsi="Arial" w:cs="Arial"/>
      <w:sz w:val="18"/>
      <w:szCs w:val="18"/>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SBulletText">
    <w:name w:val="DHS Bullet Text"/>
    <w:basedOn w:val="Normal"/>
    <w:next w:val="Normal"/>
    <w:rsid w:val="000E78DE"/>
    <w:pPr>
      <w:widowControl w:val="0"/>
      <w:tabs>
        <w:tab w:val="num" w:pos="907"/>
      </w:tabs>
      <w:overflowPunct w:val="0"/>
      <w:autoSpaceDE w:val="0"/>
      <w:autoSpaceDN w:val="0"/>
      <w:adjustRightInd w:val="0"/>
      <w:ind w:firstLine="567"/>
      <w:textAlignment w:val="baseline"/>
    </w:pPr>
    <w:rPr>
      <w:rFonts w:eastAsia="Times New Roman"/>
      <w:lang w:eastAsia="en-AU"/>
    </w:rPr>
  </w:style>
  <w:style w:type="paragraph" w:styleId="BodyText">
    <w:name w:val="Body Text"/>
    <w:link w:val="BodyTextChar"/>
    <w:rsid w:val="000E78DE"/>
    <w:pPr>
      <w:spacing w:before="120" w:after="120"/>
      <w:ind w:left="794"/>
    </w:pPr>
    <w:rPr>
      <w:rFonts w:ascii="Arial" w:hAnsi="Arial" w:cs="Arial"/>
      <w:szCs w:val="24"/>
      <w:lang w:eastAsia="en-US"/>
    </w:r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character" w:customStyle="1" w:styleId="BodyTextChar">
    <w:name w:val="Body Text Char"/>
    <w:basedOn w:val="DefaultParagraphFont"/>
    <w:link w:val="BodyText"/>
    <w:rsid w:val="000E78DE"/>
    <w:rPr>
      <w:rFonts w:ascii="Arial" w:hAnsi="Arial" w:cs="Arial"/>
      <w:szCs w:val="24"/>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ListParagraph">
    <w:name w:val="List Paragraph"/>
    <w:basedOn w:val="Normal"/>
    <w:uiPriority w:val="72"/>
    <w:semiHidden/>
    <w:qFormat/>
    <w:rsid w:val="00A60852"/>
    <w:pPr>
      <w:ind w:left="720"/>
      <w:contextualSpacing/>
    </w:pPr>
  </w:style>
  <w:style w:type="character" w:customStyle="1" w:styleId="HealthbodyChar">
    <w:name w:val="Health body Char"/>
    <w:link w:val="Healthbody"/>
    <w:locked/>
    <w:rsid w:val="00973F34"/>
    <w:rPr>
      <w:rFonts w:ascii="Arial" w:eastAsia="MS Mincho" w:hAnsi="Arial" w:cs="Arial"/>
      <w:szCs w:val="24"/>
      <w:lang w:eastAsia="en-US"/>
    </w:rPr>
  </w:style>
  <w:style w:type="paragraph" w:customStyle="1" w:styleId="Healthbody">
    <w:name w:val="Health body"/>
    <w:link w:val="HealthbodyChar"/>
    <w:rsid w:val="00973F34"/>
    <w:pPr>
      <w:spacing w:after="120" w:line="270" w:lineRule="atLeast"/>
    </w:pPr>
    <w:rPr>
      <w:rFonts w:ascii="Arial" w:eastAsia="MS Mincho" w:hAnsi="Arial" w:cs="Arial"/>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Body Text" w:uiPriority="0"/>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0E78DE"/>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9"/>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9"/>
    <w:rsid w:val="00152073"/>
    <w:rPr>
      <w:rFonts w:ascii="Arial" w:eastAsia="MS Mincho" w:hAnsi="Arial"/>
      <w:b/>
      <w:bCs/>
      <w:lang w:eastAsia="en-US"/>
    </w:rPr>
  </w:style>
  <w:style w:type="paragraph" w:styleId="Header">
    <w:name w:val="header"/>
    <w:basedOn w:val="DHHSheader"/>
    <w:link w:val="HeaderChar"/>
    <w:uiPriority w:val="99"/>
    <w:rsid w:val="00262802"/>
  </w:style>
  <w:style w:type="paragraph" w:styleId="Footer">
    <w:name w:val="footer"/>
    <w:basedOn w:val="DHHSfooter"/>
    <w:link w:val="FooterChar"/>
    <w:uiPriority w:val="99"/>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HeaderChar">
    <w:name w:val="Header Char"/>
    <w:link w:val="Header"/>
    <w:uiPriority w:val="99"/>
    <w:rsid w:val="000E78DE"/>
    <w:rPr>
      <w:rFonts w:ascii="Arial" w:hAnsi="Arial" w:cs="Arial"/>
      <w:sz w:val="18"/>
      <w:szCs w:val="18"/>
      <w:lang w:eastAsia="en-US"/>
    </w:rPr>
  </w:style>
  <w:style w:type="character" w:customStyle="1" w:styleId="FooterChar">
    <w:name w:val="Footer Char"/>
    <w:link w:val="Footer"/>
    <w:uiPriority w:val="99"/>
    <w:rsid w:val="000E78DE"/>
    <w:rPr>
      <w:rFonts w:ascii="Arial" w:hAnsi="Arial" w:cs="Arial"/>
      <w:sz w:val="18"/>
      <w:szCs w:val="18"/>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SBulletText">
    <w:name w:val="DHS Bullet Text"/>
    <w:basedOn w:val="Normal"/>
    <w:next w:val="Normal"/>
    <w:rsid w:val="000E78DE"/>
    <w:pPr>
      <w:widowControl w:val="0"/>
      <w:tabs>
        <w:tab w:val="num" w:pos="907"/>
      </w:tabs>
      <w:overflowPunct w:val="0"/>
      <w:autoSpaceDE w:val="0"/>
      <w:autoSpaceDN w:val="0"/>
      <w:adjustRightInd w:val="0"/>
      <w:ind w:firstLine="567"/>
      <w:textAlignment w:val="baseline"/>
    </w:pPr>
    <w:rPr>
      <w:rFonts w:eastAsia="Times New Roman"/>
      <w:lang w:eastAsia="en-AU"/>
    </w:rPr>
  </w:style>
  <w:style w:type="paragraph" w:styleId="BodyText">
    <w:name w:val="Body Text"/>
    <w:link w:val="BodyTextChar"/>
    <w:rsid w:val="000E78DE"/>
    <w:pPr>
      <w:spacing w:before="120" w:after="120"/>
      <w:ind w:left="794"/>
    </w:pPr>
    <w:rPr>
      <w:rFonts w:ascii="Arial" w:hAnsi="Arial" w:cs="Arial"/>
      <w:szCs w:val="24"/>
      <w:lang w:eastAsia="en-US"/>
    </w:r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character" w:customStyle="1" w:styleId="BodyTextChar">
    <w:name w:val="Body Text Char"/>
    <w:basedOn w:val="DefaultParagraphFont"/>
    <w:link w:val="BodyText"/>
    <w:rsid w:val="000E78DE"/>
    <w:rPr>
      <w:rFonts w:ascii="Arial" w:hAnsi="Arial" w:cs="Arial"/>
      <w:szCs w:val="24"/>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ListParagraph">
    <w:name w:val="List Paragraph"/>
    <w:basedOn w:val="Normal"/>
    <w:uiPriority w:val="72"/>
    <w:semiHidden/>
    <w:qFormat/>
    <w:rsid w:val="00A60852"/>
    <w:pPr>
      <w:ind w:left="720"/>
      <w:contextualSpacing/>
    </w:pPr>
  </w:style>
  <w:style w:type="character" w:customStyle="1" w:styleId="HealthbodyChar">
    <w:name w:val="Health body Char"/>
    <w:link w:val="Healthbody"/>
    <w:locked/>
    <w:rsid w:val="00973F34"/>
    <w:rPr>
      <w:rFonts w:ascii="Arial" w:eastAsia="MS Mincho" w:hAnsi="Arial" w:cs="Arial"/>
      <w:szCs w:val="24"/>
      <w:lang w:eastAsia="en-US"/>
    </w:rPr>
  </w:style>
  <w:style w:type="paragraph" w:customStyle="1" w:styleId="Healthbody">
    <w:name w:val="Health body"/>
    <w:link w:val="HealthbodyChar"/>
    <w:rsid w:val="00973F34"/>
    <w:pPr>
      <w:spacing w:after="120" w:line="270" w:lineRule="atLeast"/>
    </w:pPr>
    <w:rPr>
      <w:rFonts w:ascii="Arial" w:eastAsia="MS Mincho" w:hAnsi="Arial" w:cs="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582760">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legislation.vic.gov.au/" TargetMode="External"/><Relationship Id="rId26" Type="http://schemas.openxmlformats.org/officeDocument/2006/relationships/hyperlink" Target="https://providers.dhhs.vic.gov.au/multiple-and-complex-needs-initiative" TargetMode="External"/><Relationship Id="rId3" Type="http://schemas.openxmlformats.org/officeDocument/2006/relationships/styles" Target="styles.xml"/><Relationship Id="rId21" Type="http://schemas.openxmlformats.org/officeDocument/2006/relationships/hyperlink" Target="http://www.cpmanual.vic.gov.au/our-approach/privacy/information-sharing"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www2.health.vic.gov.au/" TargetMode="External"/><Relationship Id="rId25" Type="http://schemas.openxmlformats.org/officeDocument/2006/relationships/hyperlink" Target="https://www.vic.gov.au/familyviolence/family-safety-victoria/information-sharing-and-risk-management.html" TargetMode="External"/><Relationship Id="rId2" Type="http://schemas.openxmlformats.org/officeDocument/2006/relationships/numbering" Target="numbering.xml"/><Relationship Id="rId16" Type="http://schemas.openxmlformats.org/officeDocument/2006/relationships/hyperlink" Target="http://www.legislation.vic.gov.au/" TargetMode="External"/><Relationship Id="rId20" Type="http://schemas.openxmlformats.org/officeDocument/2006/relationships/hyperlink" Target="http://www.legislation.vic.gov.a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www.vic.gov.au/familyviolence/family-safety-victoria/information-sharing-and-risk-management.htm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legislation.vic.gov.au/Domino/Web_Notes/LDMS/PubStatbook.nsf/b05145073fa2a882ca256da4001bc4e7/91FE42FD0A56A93FCA25823300149DFF/$FILE/18-014sra%20authorised.pdf" TargetMode="External"/><Relationship Id="rId28" Type="http://schemas.openxmlformats.org/officeDocument/2006/relationships/hyperlink" Target="mailto:AOD.enquiries@dhhs.vic.gov.au" TargetMode="External"/><Relationship Id="rId10" Type="http://schemas.openxmlformats.org/officeDocument/2006/relationships/footer" Target="footer1.xml"/><Relationship Id="rId19" Type="http://schemas.openxmlformats.org/officeDocument/2006/relationships/hyperlink" Target="http://www.legislation.vic.gov.a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yperlink" Target="https://www.vic.gov.au/childinfosharing" TargetMode="External"/><Relationship Id="rId27" Type="http://schemas.openxmlformats.org/officeDocument/2006/relationships/hyperlink" Target="https://ovic.vic.gov.au/privacy/for-agencies/guidance-and-resources/" TargetMode="External"/><Relationship Id="rId30"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Visual%20style\DHHS%20Factsheet%2001%20Navy%2027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F511C-4B84-4F83-91B9-513DA92DC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01 Navy 2765.dot</Template>
  <TotalTime>4</TotalTime>
  <Pages>5</Pages>
  <Words>1371</Words>
  <Characters>9458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Client Information Sharing - Guidance for AOD workers</vt:lpstr>
    </vt:vector>
  </TitlesOfParts>
  <Company>Department of Health and Human Services</Company>
  <LinksUpToDate>false</LinksUpToDate>
  <CharactersWithSpaces>10808</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information sharing - Guidance for alcohol and other drug (AOD) workers</dc:title>
  <dc:subject>Client information sharing - Guidance for alcohol and other drug (AOD) workers</dc:subject>
  <dc:creator>Ross Broad;Drug Policy and Reform Unit</dc:creator>
  <cp:keywords>information sharing; AOD workers; authorising environment; voluntary and forensic clients; privacy and data protection</cp:keywords>
  <cp:lastModifiedBy>Shereen T Boland (DHHS)</cp:lastModifiedBy>
  <cp:revision>4</cp:revision>
  <cp:lastPrinted>2019-01-14T04:40:00Z</cp:lastPrinted>
  <dcterms:created xsi:type="dcterms:W3CDTF">2019-01-17T01:16:00Z</dcterms:created>
  <dcterms:modified xsi:type="dcterms:W3CDTF">2019-01-17T01:19:00Z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