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38" w:type="dxa"/>
        <w:tblInd w:w="-2835" w:type="dxa"/>
        <w:tblLayout w:type="fixed"/>
        <w:tblCellMar>
          <w:left w:w="0" w:type="dxa"/>
          <w:right w:w="0" w:type="dxa"/>
        </w:tblCellMar>
        <w:tblLook w:val="00A0" w:firstRow="1" w:lastRow="0" w:firstColumn="1" w:lastColumn="0" w:noHBand="0" w:noVBand="0"/>
      </w:tblPr>
      <w:tblGrid>
        <w:gridCol w:w="14238"/>
      </w:tblGrid>
      <w:tr w:rsidR="00BB15E1" w:rsidRPr="001C1231" w:rsidTr="007C27B7">
        <w:trPr>
          <w:trHeight w:val="2670"/>
        </w:trPr>
        <w:tc>
          <w:tcPr>
            <w:tcW w:w="14238" w:type="dxa"/>
            <w:shd w:val="clear" w:color="auto" w:fill="auto"/>
          </w:tcPr>
          <w:p w:rsidR="00BB15E1" w:rsidRPr="001C1231" w:rsidRDefault="00BB15E1" w:rsidP="007C27B7">
            <w:pPr>
              <w:tabs>
                <w:tab w:val="left" w:pos="13876"/>
              </w:tabs>
              <w:ind w:right="362"/>
              <w:jc w:val="right"/>
            </w:pPr>
            <w:r>
              <w:rPr>
                <w:noProof/>
                <w:lang w:eastAsia="en-AU"/>
              </w:rPr>
              <mc:AlternateContent>
                <mc:Choice Requires="wps">
                  <w:drawing>
                    <wp:anchor distT="0" distB="0" distL="114300" distR="114300" simplePos="0" relativeHeight="251659264" behindDoc="0" locked="0" layoutInCell="1" allowOverlap="0">
                      <wp:simplePos x="0" y="0"/>
                      <wp:positionH relativeFrom="margin">
                        <wp:posOffset>2030095</wp:posOffset>
                      </wp:positionH>
                      <wp:positionV relativeFrom="page">
                        <wp:posOffset>1610995</wp:posOffset>
                      </wp:positionV>
                      <wp:extent cx="6399530" cy="459740"/>
                      <wp:effectExtent l="127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B15E1" w:rsidRPr="003936DB" w:rsidRDefault="00BB15E1" w:rsidP="00BB15E1">
                                  <w:pPr>
                                    <w:pStyle w:val="DHSubheading"/>
                                  </w:pPr>
                                  <w:r>
                                    <w:t xml:space="preserve"> </w:t>
                                  </w:r>
                                  <w:r w:rsidR="00797C97">
                                    <w:t xml:space="preserve">Information for pharmacists                   </w:t>
                                  </w:r>
                                  <w:r>
                                    <w:t xml:space="preserve">                                         </w:t>
                                  </w:r>
                                  <w:r w:rsidRPr="00731AAF">
                                    <w:rPr>
                                      <w:sz w:val="22"/>
                                      <w:szCs w:val="22"/>
                                    </w:rPr>
                                    <w:t>201</w:t>
                                  </w:r>
                                  <w:r w:rsidR="00407EAB">
                                    <w:rPr>
                                      <w:sz w:val="22"/>
                                      <w:szCs w:val="22"/>
                                    </w:rPr>
                                    <w:t>4</w:t>
                                  </w:r>
                                  <w:r>
                                    <w:rPr>
                                      <w:sz w:val="22"/>
                                      <w:szCs w:val="22"/>
                                    </w:rPr>
                                    <w:t>.1</w:t>
                                  </w:r>
                                </w:p>
                                <w:p w:rsidR="00BB15E1" w:rsidRPr="00956179" w:rsidRDefault="00BB15E1" w:rsidP="00BB15E1">
                                  <w:pPr>
                                    <w:rPr>
                                      <w:szCs w:val="28"/>
                                    </w:rPr>
                                  </w:pPr>
                                </w:p>
                                <w:p w:rsidR="00BB15E1" w:rsidRPr="00563188" w:rsidRDefault="00BB15E1" w:rsidP="00BB15E1">
                                  <w:pPr>
                                    <w:rPr>
                                      <w:szCs w:val="28"/>
                                    </w:rPr>
                                  </w:pPr>
                                </w:p>
                                <w:p w:rsidR="00BB15E1" w:rsidRPr="00ED1D1A" w:rsidRDefault="00BB15E1" w:rsidP="00BB15E1">
                                  <w:pPr>
                                    <w:rPr>
                                      <w:szCs w:val="28"/>
                                    </w:rPr>
                                  </w:pPr>
                                </w:p>
                              </w:txbxContent>
                            </wps:txbx>
                            <wps:bodyPr rot="0" vert="horz" wrap="square" lIns="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9.85pt;margin-top:126.85pt;width:503.9pt;height:3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" o:allowoverlap="f" filled="f" stroked="f" strokecolor="white">
                      <v:textbox inset="0,0,0,2mm">
                        <w:txbxContent>
                          <w:p w:rsidR="00BB15E1" w:rsidRPr="003936DB" w:rsidRDefault="00BB15E1" w:rsidP="00BB15E1">
                            <w:pPr>
                              <w:pStyle w:val="DHSubheading"/>
                            </w:pPr>
                            <w:r>
                              <w:t xml:space="preserve"> </w:t>
                            </w:r>
                            <w:r w:rsidR="00797C97">
                              <w:t xml:space="preserve">Information for pharmacists                   </w:t>
                            </w:r>
                            <w:r>
                              <w:t xml:space="preserve">                                         </w:t>
                            </w:r>
                            <w:r w:rsidRPr="00731AAF">
                              <w:rPr>
                                <w:sz w:val="22"/>
                                <w:szCs w:val="22"/>
                              </w:rPr>
                              <w:t>201</w:t>
                            </w:r>
                            <w:r w:rsidR="00407EAB">
                              <w:rPr>
                                <w:sz w:val="22"/>
                                <w:szCs w:val="22"/>
                              </w:rPr>
                              <w:t>4</w:t>
                            </w:r>
                            <w:r>
                              <w:rPr>
                                <w:sz w:val="22"/>
                                <w:szCs w:val="22"/>
                              </w:rPr>
                              <w:t>.1</w:t>
                            </w:r>
                          </w:p>
                          <w:p w:rsidR="00BB15E1" w:rsidRPr="00956179" w:rsidRDefault="00BB15E1" w:rsidP="00BB15E1">
                            <w:pPr>
                              <w:rPr>
                                <w:szCs w:val="28"/>
                              </w:rPr>
                            </w:pPr>
                          </w:p>
                          <w:p w:rsidR="00BB15E1" w:rsidRPr="00563188" w:rsidRDefault="00BB15E1" w:rsidP="00BB15E1">
                            <w:pPr>
                              <w:rPr>
                                <w:szCs w:val="28"/>
                              </w:rPr>
                            </w:pPr>
                          </w:p>
                          <w:p w:rsidR="00BB15E1" w:rsidRPr="00ED1D1A" w:rsidRDefault="00BB15E1" w:rsidP="00BB15E1">
                            <w:pPr>
                              <w:rPr>
                                <w:szCs w:val="28"/>
                              </w:rPr>
                            </w:pPr>
                          </w:p>
                        </w:txbxContent>
                      </v:textbox>
                      <w10:wrap anchorx="margin" anchory="page"/>
                    </v:shape>
                  </w:pict>
                </mc:Fallback>
              </mc:AlternateContent>
            </w:r>
            <w:r>
              <w:rPr>
                <w:noProof/>
                <w:lang w:eastAsia="en-AU"/>
              </w:rPr>
              <w:drawing>
                <wp:inline distT="0" distB="0" distL="0" distR="0">
                  <wp:extent cx="7562850" cy="2047875"/>
                  <wp:effectExtent l="0" t="0" r="0" b="9525"/>
                  <wp:docPr id="1" name="Picture 1" descr="Red%20Word_Newsletter%20Factsheet%20cover%20header%201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20Word_Newsletter%20Factsheet%20cover%20header%2017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2047875"/>
                          </a:xfrm>
                          <a:prstGeom prst="rect">
                            <a:avLst/>
                          </a:prstGeom>
                          <a:noFill/>
                          <a:ln>
                            <a:noFill/>
                          </a:ln>
                        </pic:spPr>
                      </pic:pic>
                    </a:graphicData>
                  </a:graphic>
                </wp:inline>
              </w:drawing>
            </w:r>
          </w:p>
        </w:tc>
      </w:tr>
      <w:tr w:rsidR="00BB15E1" w:rsidRPr="001C1231" w:rsidTr="007C27B7">
        <w:trPr>
          <w:trHeight w:val="693"/>
        </w:trPr>
        <w:tc>
          <w:tcPr>
            <w:tcW w:w="14238" w:type="dxa"/>
            <w:shd w:val="clear" w:color="auto" w:fill="auto"/>
          </w:tcPr>
          <w:p w:rsidR="00BB15E1" w:rsidRDefault="00BB15E1" w:rsidP="007C27B7">
            <w:r w:rsidRPr="001C1231">
              <w:t xml:space="preserve"> </w:t>
            </w:r>
          </w:p>
          <w:p w:rsidR="00BB15E1" w:rsidRPr="00D92801" w:rsidRDefault="00BB15E1" w:rsidP="007C27B7">
            <w:pPr>
              <w:tabs>
                <w:tab w:val="left" w:pos="3120"/>
              </w:tabs>
            </w:pPr>
            <w:r>
              <w:tab/>
            </w:r>
          </w:p>
        </w:tc>
      </w:tr>
    </w:tbl>
    <w:p w:rsidR="00BB15E1" w:rsidRPr="001C1231" w:rsidRDefault="00BB15E1" w:rsidP="00BB15E1">
      <w:pPr>
        <w:sectPr w:rsidR="00BB15E1" w:rsidRPr="001C1231" w:rsidSect="00FC154F">
          <w:footerReference w:type="default" r:id="rId9"/>
          <w:footerReference w:type="first" r:id="rId10"/>
          <w:pgSz w:w="11906" w:h="16838" w:code="9"/>
          <w:pgMar w:top="0" w:right="851" w:bottom="1418" w:left="851" w:header="0" w:footer="478" w:gutter="0"/>
          <w:cols w:space="708"/>
          <w:titlePg/>
          <w:docGrid w:linePitch="360"/>
        </w:sectPr>
      </w:pPr>
    </w:p>
    <w:p w:rsidR="006569A6" w:rsidRDefault="00DE6C0A" w:rsidP="00407EAB">
      <w:pPr>
        <w:pStyle w:val="DHbody"/>
        <w:rPr>
          <w:rStyle w:val="DHbodyChar"/>
          <w:sz w:val="18"/>
          <w:szCs w:val="18"/>
        </w:rPr>
      </w:pPr>
      <w:r w:rsidRPr="00F135B1">
        <w:rPr>
          <w:rFonts w:cs="Arial"/>
          <w:sz w:val="18"/>
          <w:szCs w:val="18"/>
        </w:rPr>
        <w:lastRenderedPageBreak/>
        <w:t xml:space="preserve">This </w:t>
      </w:r>
      <w:r w:rsidR="00B2184E">
        <w:rPr>
          <w:rFonts w:cs="Arial"/>
          <w:sz w:val="18"/>
          <w:szCs w:val="18"/>
        </w:rPr>
        <w:t>document</w:t>
      </w:r>
      <w:r w:rsidRPr="00F135B1">
        <w:rPr>
          <w:rFonts w:cs="Arial"/>
          <w:sz w:val="18"/>
          <w:szCs w:val="18"/>
        </w:rPr>
        <w:t xml:space="preserve"> has been prepared by Drugs and Poisons Regulation (DPR) to </w:t>
      </w:r>
      <w:r w:rsidRPr="00F135B1">
        <w:rPr>
          <w:iCs/>
          <w:sz w:val="18"/>
          <w:szCs w:val="18"/>
        </w:rPr>
        <w:t>highlight concerns and legal issues associated with the practice of supplying multiple packs of medications either “over the counter” or by dispensing multiple repeats of prescription medications</w:t>
      </w:r>
      <w:r w:rsidRPr="00F135B1">
        <w:rPr>
          <w:rFonts w:cs="Arial"/>
          <w:sz w:val="18"/>
          <w:szCs w:val="18"/>
        </w:rPr>
        <w:t xml:space="preserve">. </w:t>
      </w:r>
      <w:r w:rsidRPr="00F135B1">
        <w:rPr>
          <w:sz w:val="18"/>
          <w:szCs w:val="18"/>
        </w:rPr>
        <w:t xml:space="preserve">Please refer to the Drugs, Poisons and Controlled Substances Act 1981 and </w:t>
      </w:r>
      <w:r w:rsidRPr="00653C4C">
        <w:rPr>
          <w:rFonts w:cs="Arial"/>
          <w:sz w:val="18"/>
          <w:szCs w:val="18"/>
        </w:rPr>
        <w:t>Regulations 2006 at (</w:t>
      </w:r>
      <w:hyperlink r:id="rId11" w:history="1">
        <w:r w:rsidRPr="00653C4C">
          <w:rPr>
            <w:rStyle w:val="Hyperlink"/>
            <w:rFonts w:ascii="Arial" w:hAnsi="Arial" w:cs="Arial"/>
            <w:sz w:val="18"/>
            <w:szCs w:val="18"/>
          </w:rPr>
          <w:t>www.legislation.vic.gov.au</w:t>
        </w:r>
      </w:hyperlink>
      <w:r w:rsidRPr="00653C4C">
        <w:rPr>
          <w:rFonts w:cs="Arial"/>
          <w:sz w:val="18"/>
          <w:szCs w:val="18"/>
        </w:rPr>
        <w:t>) or the DPR website (</w:t>
      </w:r>
      <w:r w:rsidRPr="00653C4C">
        <w:rPr>
          <w:rFonts w:cs="Arial"/>
          <w:iCs/>
          <w:color w:val="0000FF"/>
          <w:sz w:val="18"/>
          <w:szCs w:val="18"/>
          <w:u w:val="single"/>
        </w:rPr>
        <w:t>www.health.vic.gov.au/dpcs/reqhealth</w:t>
      </w:r>
      <w:r w:rsidRPr="00653C4C">
        <w:rPr>
          <w:rFonts w:cs="Arial"/>
          <w:iCs/>
          <w:sz w:val="18"/>
          <w:szCs w:val="18"/>
        </w:rPr>
        <w:t>)</w:t>
      </w:r>
      <w:r w:rsidRPr="00653C4C">
        <w:rPr>
          <w:rFonts w:cs="Arial"/>
          <w:sz w:val="18"/>
          <w:szCs w:val="18"/>
        </w:rPr>
        <w:t xml:space="preserve"> for </w:t>
      </w:r>
      <w:r w:rsidR="00B2184E" w:rsidRPr="00653C4C">
        <w:rPr>
          <w:rFonts w:cs="Arial"/>
          <w:sz w:val="18"/>
          <w:szCs w:val="18"/>
        </w:rPr>
        <w:t>full</w:t>
      </w:r>
      <w:r w:rsidR="00B2184E" w:rsidRPr="00F135B1">
        <w:rPr>
          <w:sz w:val="18"/>
          <w:szCs w:val="18"/>
        </w:rPr>
        <w:t xml:space="preserve"> details </w:t>
      </w:r>
      <w:r w:rsidR="00B2184E">
        <w:rPr>
          <w:sz w:val="18"/>
          <w:szCs w:val="18"/>
        </w:rPr>
        <w:t xml:space="preserve">or documents </w:t>
      </w:r>
      <w:r w:rsidRPr="00F135B1">
        <w:rPr>
          <w:sz w:val="18"/>
          <w:szCs w:val="18"/>
        </w:rPr>
        <w:t xml:space="preserve">relating to other </w:t>
      </w:r>
      <w:r w:rsidR="00B2184E">
        <w:rPr>
          <w:sz w:val="18"/>
          <w:szCs w:val="18"/>
        </w:rPr>
        <w:t xml:space="preserve">problematic </w:t>
      </w:r>
      <w:r w:rsidRPr="00F135B1">
        <w:rPr>
          <w:sz w:val="18"/>
          <w:szCs w:val="18"/>
        </w:rPr>
        <w:t xml:space="preserve">issues </w:t>
      </w:r>
      <w:r w:rsidR="00B2184E">
        <w:rPr>
          <w:sz w:val="18"/>
          <w:szCs w:val="18"/>
        </w:rPr>
        <w:t>to which pharmacists</w:t>
      </w:r>
      <w:r w:rsidR="00BB15E1" w:rsidRPr="006569A6">
        <w:rPr>
          <w:noProof/>
          <w:sz w:val="18"/>
          <w:szCs w:val="18"/>
          <w:highlight w:val="yellow"/>
          <w:lang w:eastAsia="en-AU"/>
        </w:rPr>
        <mc:AlternateContent>
          <mc:Choice Requires="wps">
            <w:drawing>
              <wp:anchor distT="0" distB="0" distL="114300" distR="114300" simplePos="0" relativeHeight="251660288" behindDoc="0" locked="1" layoutInCell="1" allowOverlap="0" wp14:anchorId="2B1B1D1C" wp14:editId="4A389084">
                <wp:simplePos x="0" y="0"/>
                <wp:positionH relativeFrom="margin">
                  <wp:posOffset>50165</wp:posOffset>
                </wp:positionH>
                <wp:positionV relativeFrom="page">
                  <wp:posOffset>574675</wp:posOffset>
                </wp:positionV>
                <wp:extent cx="4252595" cy="967105"/>
                <wp:effectExtent l="2540" t="317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E6C0A" w:rsidRDefault="00DE6C0A" w:rsidP="00DE6C0A">
                            <w:pPr>
                              <w:pStyle w:val="DHMainheading"/>
                            </w:pPr>
                            <w:r>
                              <w:t xml:space="preserve">Supplying multiple packs or </w:t>
                            </w:r>
                            <w:r w:rsidR="00653C4C">
                              <w:t xml:space="preserve">multiple </w:t>
                            </w:r>
                            <w:r>
                              <w:t>repeats</w:t>
                            </w:r>
                          </w:p>
                          <w:p w:rsidR="00BB15E1" w:rsidRPr="00BC5E74" w:rsidRDefault="00BB15E1" w:rsidP="00BB15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pt;margin-top:45.25pt;width:334.85pt;height:7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" o:allowoverlap="f" filled="f" stroked="f" strokecolor="white">
                <v:textbox inset="0,0,0,0">
                  <w:txbxContent>
                    <w:p w:rsidR="00DE6C0A" w:rsidRDefault="00DE6C0A" w:rsidP="00DE6C0A">
                      <w:pPr>
                        <w:pStyle w:val="DHMainheading"/>
                      </w:pPr>
                      <w:r>
                        <w:t xml:space="preserve">Supplying multiple packs or </w:t>
                      </w:r>
                      <w:r w:rsidR="00653C4C">
                        <w:t xml:space="preserve">multiple </w:t>
                      </w:r>
                      <w:r>
                        <w:t>repeats</w:t>
                      </w:r>
                    </w:p>
                    <w:p w:rsidR="00BB15E1" w:rsidRPr="00BC5E74" w:rsidRDefault="00BB15E1" w:rsidP="00BB15E1"/>
                  </w:txbxContent>
                </v:textbox>
                <w10:wrap anchorx="margin" anchory="page"/>
                <w10:anchorlock/>
              </v:shape>
            </w:pict>
          </mc:Fallback>
        </mc:AlternateContent>
      </w:r>
      <w:r w:rsidR="00B2184E">
        <w:rPr>
          <w:sz w:val="18"/>
          <w:szCs w:val="18"/>
        </w:rPr>
        <w:t xml:space="preserve"> have been exposed</w:t>
      </w:r>
      <w:r w:rsidR="004A6834">
        <w:rPr>
          <w:sz w:val="18"/>
          <w:szCs w:val="18"/>
        </w:rPr>
        <w:t>.</w:t>
      </w:r>
    </w:p>
    <w:p w:rsidR="00DE6C0A" w:rsidRPr="00772C16" w:rsidRDefault="00DE6C0A" w:rsidP="00DE6C0A">
      <w:pPr>
        <w:pStyle w:val="DHheading2"/>
        <w:rPr>
          <w:b w:val="0"/>
          <w:color w:val="FF0000"/>
          <w:sz w:val="44"/>
          <w:szCs w:val="44"/>
        </w:rPr>
      </w:pPr>
      <w:r w:rsidRPr="00772C16">
        <w:rPr>
          <w:b w:val="0"/>
          <w:color w:val="FF0000"/>
          <w:sz w:val="44"/>
          <w:szCs w:val="44"/>
        </w:rPr>
        <w:t>Schedule 4 and Schedule 8 poisons</w:t>
      </w:r>
    </w:p>
    <w:p w:rsidR="003A3AB8" w:rsidRDefault="00B2184E" w:rsidP="00B2184E">
      <w:pPr>
        <w:pStyle w:val="DHheading2"/>
        <w:rPr>
          <w:b w:val="0"/>
          <w:sz w:val="20"/>
          <w:lang w:eastAsia="en-AU"/>
        </w:rPr>
      </w:pPr>
      <w:r>
        <w:rPr>
          <w:b w:val="0"/>
          <w:sz w:val="20"/>
          <w:lang w:eastAsia="en-AU"/>
        </w:rPr>
        <w:t>A</w:t>
      </w:r>
      <w:r w:rsidRPr="00DE6C0A">
        <w:rPr>
          <w:b w:val="0"/>
          <w:sz w:val="20"/>
          <w:lang w:eastAsia="en-AU"/>
        </w:rPr>
        <w:t xml:space="preserve"> </w:t>
      </w:r>
      <w:r w:rsidRPr="00B2184E">
        <w:rPr>
          <w:b w:val="0"/>
          <w:sz w:val="20"/>
          <w:lang w:eastAsia="en-AU"/>
        </w:rPr>
        <w:t xml:space="preserve">pharmacist is not </w:t>
      </w:r>
      <w:r w:rsidR="006E33F7">
        <w:rPr>
          <w:b w:val="0"/>
          <w:sz w:val="20"/>
          <w:lang w:eastAsia="en-AU"/>
        </w:rPr>
        <w:t xml:space="preserve">authorised to supply multiple repeats of a </w:t>
      </w:r>
      <w:r w:rsidRPr="00B2184E">
        <w:rPr>
          <w:b w:val="0"/>
          <w:sz w:val="20"/>
          <w:lang w:eastAsia="en-AU"/>
        </w:rPr>
        <w:t xml:space="preserve">prescription </w:t>
      </w:r>
      <w:r w:rsidR="006E33F7">
        <w:rPr>
          <w:b w:val="0"/>
          <w:sz w:val="20"/>
          <w:lang w:eastAsia="en-AU"/>
        </w:rPr>
        <w:t xml:space="preserve">merely because the patient requests it or the pharmacist </w:t>
      </w:r>
      <w:r w:rsidR="00653C4C">
        <w:rPr>
          <w:b w:val="0"/>
          <w:sz w:val="20"/>
          <w:lang w:eastAsia="en-AU"/>
        </w:rPr>
        <w:t>wants</w:t>
      </w:r>
      <w:r w:rsidR="006E33F7">
        <w:rPr>
          <w:b w:val="0"/>
          <w:sz w:val="20"/>
          <w:lang w:eastAsia="en-AU"/>
        </w:rPr>
        <w:t xml:space="preserve"> to do so. </w:t>
      </w:r>
    </w:p>
    <w:p w:rsidR="003A3AB8" w:rsidRDefault="003A3AB8" w:rsidP="003A3AB8">
      <w:pPr>
        <w:pStyle w:val="DHheading2"/>
        <w:rPr>
          <w:b w:val="0"/>
          <w:sz w:val="20"/>
          <w:lang w:eastAsia="en-AU"/>
        </w:rPr>
      </w:pPr>
      <w:r>
        <w:rPr>
          <w:b w:val="0"/>
          <w:sz w:val="20"/>
          <w:lang w:eastAsia="en-AU"/>
        </w:rPr>
        <w:t>Where a prescription authorises the original supply of a medication plus a number of repeats, it is implicit that each repeat supply should occur on a separate occasion and not more frequently than a specified interval (if any). If a prescriber had a different intent, he or she could</w:t>
      </w:r>
      <w:r w:rsidR="0029198D">
        <w:rPr>
          <w:b w:val="0"/>
          <w:sz w:val="20"/>
          <w:lang w:eastAsia="en-AU"/>
        </w:rPr>
        <w:t>:</w:t>
      </w:r>
    </w:p>
    <w:p w:rsidR="00DE6C0A" w:rsidRPr="0059480E" w:rsidRDefault="006E33F7" w:rsidP="006E33F7">
      <w:pPr>
        <w:pStyle w:val="DHbullet"/>
        <w:numPr>
          <w:ilvl w:val="0"/>
          <w:numId w:val="7"/>
        </w:numPr>
        <w:tabs>
          <w:tab w:val="clear" w:pos="360"/>
        </w:tabs>
      </w:pPr>
      <w:r>
        <w:t>S</w:t>
      </w:r>
      <w:r w:rsidR="00DE6C0A" w:rsidRPr="0059480E">
        <w:t>eek a PBS Authority prescription for a larger quantity and/or a larger number of repeats</w:t>
      </w:r>
    </w:p>
    <w:p w:rsidR="0029198D" w:rsidRDefault="00DE6C0A" w:rsidP="003A3AB8">
      <w:pPr>
        <w:pStyle w:val="DHbullet"/>
        <w:numPr>
          <w:ilvl w:val="0"/>
          <w:numId w:val="7"/>
        </w:numPr>
        <w:tabs>
          <w:tab w:val="clear" w:pos="360"/>
        </w:tabs>
        <w:rPr>
          <w:lang w:eastAsia="en-AU"/>
        </w:rPr>
      </w:pPr>
      <w:r w:rsidRPr="0059480E">
        <w:t xml:space="preserve">Direct the pharmacist to </w:t>
      </w:r>
      <w:r w:rsidR="0029198D">
        <w:t>provide</w:t>
      </w:r>
      <w:r w:rsidRPr="0059480E">
        <w:t xml:space="preserve"> repeat</w:t>
      </w:r>
      <w:r w:rsidR="0029198D">
        <w:t xml:space="preserve"> </w:t>
      </w:r>
      <w:r w:rsidRPr="0059480E">
        <w:t>s</w:t>
      </w:r>
      <w:r w:rsidR="0029198D">
        <w:t xml:space="preserve">upplies on the same occasion </w:t>
      </w:r>
      <w:r w:rsidRPr="0059480E">
        <w:t>as the original supply by endorsing the prescription with the term “regulation 24”</w:t>
      </w:r>
      <w:r w:rsidR="0029198D">
        <w:t xml:space="preserve"> (for PBS medications)</w:t>
      </w:r>
    </w:p>
    <w:p w:rsidR="0029198D" w:rsidRDefault="0029198D" w:rsidP="003A3AB8">
      <w:pPr>
        <w:pStyle w:val="DHbullet"/>
        <w:numPr>
          <w:ilvl w:val="0"/>
          <w:numId w:val="7"/>
        </w:numPr>
        <w:tabs>
          <w:tab w:val="clear" w:pos="360"/>
        </w:tabs>
        <w:rPr>
          <w:lang w:eastAsia="en-AU"/>
        </w:rPr>
      </w:pPr>
      <w:r>
        <w:t xml:space="preserve">In the case of </w:t>
      </w:r>
      <w:r w:rsidR="003A3AB8" w:rsidRPr="0029198D">
        <w:rPr>
          <w:lang w:eastAsia="en-AU"/>
        </w:rPr>
        <w:t xml:space="preserve">private (non-PBS) prescriptions, prescribe the quantity and number of repeats he or she believes to be appropriate. </w:t>
      </w:r>
    </w:p>
    <w:p w:rsidR="001B6FF6" w:rsidRDefault="001B6FF6" w:rsidP="001B6FF6">
      <w:pPr>
        <w:pStyle w:val="DHheading2"/>
        <w:rPr>
          <w:b w:val="0"/>
          <w:sz w:val="20"/>
          <w:lang w:eastAsia="en-AU"/>
        </w:rPr>
      </w:pPr>
      <w:r>
        <w:rPr>
          <w:b w:val="0"/>
          <w:sz w:val="20"/>
          <w:lang w:eastAsia="en-AU"/>
        </w:rPr>
        <w:t>In</w:t>
      </w:r>
      <w:r w:rsidRPr="00DE6C0A">
        <w:rPr>
          <w:b w:val="0"/>
          <w:sz w:val="20"/>
          <w:lang w:eastAsia="en-AU"/>
        </w:rPr>
        <w:t xml:space="preserve"> </w:t>
      </w:r>
      <w:r w:rsidRPr="001B6FF6">
        <w:rPr>
          <w:b w:val="0"/>
          <w:sz w:val="20"/>
          <w:lang w:eastAsia="en-AU"/>
        </w:rPr>
        <w:t>each case, it is the prescriber who has the legislative responsibility to determine the quantity to be supplied, the number of repeats and the interval between repea</w:t>
      </w:r>
      <w:r>
        <w:rPr>
          <w:b w:val="0"/>
          <w:sz w:val="20"/>
          <w:lang w:eastAsia="en-AU"/>
        </w:rPr>
        <w:t xml:space="preserve">t supplies. </w:t>
      </w:r>
    </w:p>
    <w:p w:rsidR="003A3AB8" w:rsidRDefault="001B6FF6" w:rsidP="00A2027D">
      <w:pPr>
        <w:pStyle w:val="DHheading2"/>
        <w:rPr>
          <w:b w:val="0"/>
          <w:sz w:val="20"/>
          <w:lang w:eastAsia="en-AU"/>
        </w:rPr>
      </w:pPr>
      <w:r>
        <w:rPr>
          <w:b w:val="0"/>
          <w:sz w:val="20"/>
          <w:lang w:eastAsia="en-AU"/>
        </w:rPr>
        <w:t>A</w:t>
      </w:r>
      <w:r w:rsidR="003A3AB8" w:rsidRPr="003A3AB8">
        <w:rPr>
          <w:b w:val="0"/>
          <w:sz w:val="20"/>
          <w:lang w:eastAsia="en-AU"/>
        </w:rPr>
        <w:t xml:space="preserve"> pharmacist does not have the authority to vary from the details of a prescription without the expressed approval of the</w:t>
      </w:r>
      <w:r w:rsidR="003A3AB8">
        <w:rPr>
          <w:b w:val="0"/>
          <w:sz w:val="20"/>
          <w:lang w:eastAsia="en-AU"/>
        </w:rPr>
        <w:t xml:space="preserve"> prescriber. In fact, r</w:t>
      </w:r>
      <w:r w:rsidR="006E33F7">
        <w:rPr>
          <w:b w:val="0"/>
          <w:sz w:val="20"/>
          <w:lang w:eastAsia="en-AU"/>
        </w:rPr>
        <w:t>egulation</w:t>
      </w:r>
      <w:r w:rsidR="006E33F7" w:rsidRPr="00DE6C0A">
        <w:rPr>
          <w:b w:val="0"/>
          <w:sz w:val="20"/>
          <w:lang w:eastAsia="en-AU"/>
        </w:rPr>
        <w:t xml:space="preserve"> </w:t>
      </w:r>
      <w:r w:rsidR="006E33F7" w:rsidRPr="00A2027D">
        <w:rPr>
          <w:b w:val="0"/>
          <w:sz w:val="20"/>
          <w:lang w:eastAsia="en-AU"/>
        </w:rPr>
        <w:t>31 of the Drugs, Poisons and Controlled Substances Regulations 2006 makes it an offence to supply Schedule 4 or Schedule 8 poisons, in excess of the quantities authorised on a prescription or when the quantity authorised has already been supplied.</w:t>
      </w:r>
      <w:r w:rsidR="003A3AB8">
        <w:rPr>
          <w:b w:val="0"/>
          <w:sz w:val="20"/>
          <w:lang w:eastAsia="en-AU"/>
        </w:rPr>
        <w:t xml:space="preserve"> </w:t>
      </w:r>
    </w:p>
    <w:p w:rsidR="00B2184E" w:rsidRPr="00DE6C0A" w:rsidRDefault="00A2027D" w:rsidP="00A2027D">
      <w:pPr>
        <w:pStyle w:val="DHheading2"/>
        <w:rPr>
          <w:b w:val="0"/>
          <w:sz w:val="20"/>
        </w:rPr>
      </w:pPr>
      <w:r w:rsidRPr="0029198D">
        <w:rPr>
          <w:b w:val="0"/>
          <w:sz w:val="20"/>
          <w:lang w:eastAsia="en-AU"/>
        </w:rPr>
        <w:t xml:space="preserve">Pharmacists </w:t>
      </w:r>
      <w:r w:rsidR="00653C4C">
        <w:rPr>
          <w:b w:val="0"/>
          <w:sz w:val="20"/>
          <w:lang w:eastAsia="en-AU"/>
        </w:rPr>
        <w:t xml:space="preserve">who are </w:t>
      </w:r>
      <w:r w:rsidRPr="0029198D">
        <w:rPr>
          <w:b w:val="0"/>
          <w:sz w:val="20"/>
          <w:lang w:eastAsia="en-AU"/>
        </w:rPr>
        <w:t xml:space="preserve">requested to </w:t>
      </w:r>
      <w:r w:rsidR="0029198D" w:rsidRPr="0029198D">
        <w:rPr>
          <w:b w:val="0"/>
          <w:sz w:val="20"/>
          <w:lang w:eastAsia="en-AU"/>
        </w:rPr>
        <w:t>provide</w:t>
      </w:r>
      <w:r w:rsidRPr="0029198D">
        <w:rPr>
          <w:b w:val="0"/>
          <w:sz w:val="20"/>
          <w:lang w:eastAsia="en-AU"/>
        </w:rPr>
        <w:t xml:space="preserve"> multiple repeats </w:t>
      </w:r>
      <w:r w:rsidR="0029198D" w:rsidRPr="0029198D">
        <w:rPr>
          <w:b w:val="0"/>
          <w:sz w:val="20"/>
          <w:lang w:eastAsia="en-AU"/>
        </w:rPr>
        <w:t xml:space="preserve">on the same occasion </w:t>
      </w:r>
      <w:r w:rsidRPr="0029198D">
        <w:rPr>
          <w:b w:val="0"/>
          <w:sz w:val="20"/>
          <w:lang w:eastAsia="en-AU"/>
        </w:rPr>
        <w:t xml:space="preserve">or to supply repeats more frequently than </w:t>
      </w:r>
      <w:r w:rsidR="0029198D" w:rsidRPr="0029198D">
        <w:rPr>
          <w:b w:val="0"/>
          <w:sz w:val="20"/>
          <w:lang w:eastAsia="en-AU"/>
        </w:rPr>
        <w:t xml:space="preserve">a specified interval (or more frequently than </w:t>
      </w:r>
      <w:r w:rsidRPr="0029198D">
        <w:rPr>
          <w:b w:val="0"/>
          <w:sz w:val="20"/>
          <w:lang w:eastAsia="en-AU"/>
        </w:rPr>
        <w:t>reasonably necessary</w:t>
      </w:r>
      <w:r w:rsidR="0029198D" w:rsidRPr="0029198D">
        <w:rPr>
          <w:b w:val="0"/>
          <w:sz w:val="20"/>
          <w:lang w:eastAsia="en-AU"/>
        </w:rPr>
        <w:t>)</w:t>
      </w:r>
      <w:r w:rsidRPr="0029198D">
        <w:rPr>
          <w:b w:val="0"/>
          <w:sz w:val="20"/>
          <w:lang w:eastAsia="en-AU"/>
        </w:rPr>
        <w:t xml:space="preserve"> should obtain the prescriber’s consent</w:t>
      </w:r>
      <w:r w:rsidR="0029198D" w:rsidRPr="0029198D">
        <w:rPr>
          <w:b w:val="0"/>
          <w:sz w:val="20"/>
          <w:lang w:eastAsia="en-AU"/>
        </w:rPr>
        <w:t xml:space="preserve"> and </w:t>
      </w:r>
      <w:r w:rsidR="001B6FF6">
        <w:rPr>
          <w:b w:val="0"/>
          <w:sz w:val="20"/>
          <w:lang w:eastAsia="en-AU"/>
        </w:rPr>
        <w:t>are</w:t>
      </w:r>
      <w:r w:rsidR="0029198D" w:rsidRPr="0029198D">
        <w:rPr>
          <w:b w:val="0"/>
          <w:sz w:val="20"/>
          <w:lang w:eastAsia="en-AU"/>
        </w:rPr>
        <w:t xml:space="preserve"> s</w:t>
      </w:r>
      <w:r w:rsidRPr="0029198D">
        <w:rPr>
          <w:b w:val="0"/>
          <w:sz w:val="20"/>
          <w:lang w:eastAsia="en-AU"/>
        </w:rPr>
        <w:t>trongly advised to make a contemporaneous note of the circumstances</w:t>
      </w:r>
      <w:r w:rsidR="00B2184E" w:rsidRPr="0029198D">
        <w:rPr>
          <w:b w:val="0"/>
          <w:sz w:val="20"/>
          <w:lang w:eastAsia="en-AU"/>
        </w:rPr>
        <w:t>.</w:t>
      </w:r>
      <w:r w:rsidR="00B2184E" w:rsidRPr="00DE6C0A">
        <w:rPr>
          <w:b w:val="0"/>
          <w:sz w:val="20"/>
          <w:lang w:eastAsia="en-AU"/>
        </w:rPr>
        <w:t xml:space="preserve">  </w:t>
      </w:r>
    </w:p>
    <w:p w:rsidR="0029198D" w:rsidRDefault="00DE6C0A" w:rsidP="001B6FF6">
      <w:pPr>
        <w:pStyle w:val="DHheading2"/>
        <w:rPr>
          <w:b w:val="0"/>
          <w:bCs w:val="0"/>
        </w:rPr>
      </w:pPr>
      <w:r w:rsidRPr="00DE6C0A">
        <w:rPr>
          <w:b w:val="0"/>
          <w:sz w:val="20"/>
          <w:lang w:eastAsia="en-AU"/>
        </w:rPr>
        <w:t>The Australian Pharmacy Council</w:t>
      </w:r>
      <w:r w:rsidR="00653C4C">
        <w:rPr>
          <w:b w:val="0"/>
          <w:sz w:val="20"/>
          <w:lang w:eastAsia="en-AU"/>
        </w:rPr>
        <w:t xml:space="preserve"> has</w:t>
      </w:r>
      <w:r w:rsidRPr="00DE6C0A">
        <w:rPr>
          <w:b w:val="0"/>
          <w:sz w:val="20"/>
          <w:lang w:eastAsia="en-AU"/>
        </w:rPr>
        <w:t xml:space="preserve"> indicated that the simultaneous supply of multiple quantities (e.g. supply of multiple repeats at one time) may not be in accordance with the prescriber’s intention, is contrary to good pharmaceutical practice, is contrary to the National Medicines Policy and may deprive the consumer of regular review and provision of medicine information which can assist in minimising medication misadventure.  </w:t>
      </w:r>
      <w:r w:rsidR="0029198D">
        <w:br w:type="page"/>
      </w:r>
    </w:p>
    <w:p w:rsidR="00DE6C0A" w:rsidRPr="0059480E" w:rsidRDefault="00DE6C0A" w:rsidP="00DE6C0A">
      <w:pPr>
        <w:pStyle w:val="DHheading2"/>
      </w:pPr>
      <w:r w:rsidRPr="0059480E">
        <w:lastRenderedPageBreak/>
        <w:t>Two contrasting scenarios</w:t>
      </w:r>
    </w:p>
    <w:p w:rsidR="00A2027D" w:rsidRPr="00A2027D" w:rsidRDefault="00A2027D" w:rsidP="00A2027D">
      <w:pPr>
        <w:pStyle w:val="DHheading2"/>
        <w:rPr>
          <w:b w:val="0"/>
          <w:sz w:val="20"/>
          <w:lang w:eastAsia="en-AU"/>
        </w:rPr>
      </w:pPr>
      <w:r>
        <w:rPr>
          <w:b w:val="0"/>
          <w:sz w:val="20"/>
          <w:lang w:eastAsia="en-AU"/>
        </w:rPr>
        <w:t>One</w:t>
      </w:r>
      <w:r w:rsidRPr="00DE6C0A">
        <w:rPr>
          <w:b w:val="0"/>
          <w:sz w:val="20"/>
          <w:lang w:eastAsia="en-AU"/>
        </w:rPr>
        <w:t xml:space="preserve"> </w:t>
      </w:r>
      <w:r w:rsidRPr="00A2027D">
        <w:rPr>
          <w:b w:val="0"/>
          <w:sz w:val="20"/>
          <w:lang w:eastAsia="en-AU"/>
        </w:rPr>
        <w:t>pharmacist was concerned when requested to dispense a repeat supply of three Sustanon</w:t>
      </w:r>
      <w:r w:rsidRPr="00A2027D">
        <w:rPr>
          <w:b w:val="0"/>
          <w:sz w:val="20"/>
          <w:vertAlign w:val="superscript"/>
          <w:lang w:eastAsia="en-AU"/>
        </w:rPr>
        <w:t>®</w:t>
      </w:r>
      <w:r w:rsidRPr="00A2027D">
        <w:rPr>
          <w:b w:val="0"/>
          <w:sz w:val="20"/>
          <w:lang w:eastAsia="en-AU"/>
        </w:rPr>
        <w:t xml:space="preserve"> injections to a person only eight days after the original supply. She phoned the prescriber, who informed her that the Sustanon</w:t>
      </w:r>
      <w:r w:rsidRPr="00A2027D">
        <w:rPr>
          <w:b w:val="0"/>
          <w:sz w:val="20"/>
          <w:vertAlign w:val="superscript"/>
          <w:lang w:eastAsia="en-AU"/>
        </w:rPr>
        <w:t>®</w:t>
      </w:r>
      <w:r w:rsidRPr="00A2027D">
        <w:rPr>
          <w:b w:val="0"/>
          <w:sz w:val="20"/>
          <w:lang w:eastAsia="en-AU"/>
        </w:rPr>
        <w:t xml:space="preserve"> was intended for bodybuilding purposes. She refused supply</w:t>
      </w:r>
      <w:r w:rsidR="001C297C">
        <w:rPr>
          <w:b w:val="0"/>
          <w:sz w:val="20"/>
          <w:lang w:eastAsia="en-AU"/>
        </w:rPr>
        <w:t>,</w:t>
      </w:r>
      <w:r w:rsidRPr="00A2027D">
        <w:rPr>
          <w:b w:val="0"/>
          <w:sz w:val="20"/>
          <w:lang w:eastAsia="en-AU"/>
        </w:rPr>
        <w:t xml:space="preserve"> informed DPR</w:t>
      </w:r>
      <w:r w:rsidR="001C297C">
        <w:rPr>
          <w:b w:val="0"/>
          <w:sz w:val="20"/>
          <w:lang w:eastAsia="en-AU"/>
        </w:rPr>
        <w:t xml:space="preserve"> and</w:t>
      </w:r>
      <w:r w:rsidRPr="00A2027D">
        <w:rPr>
          <w:b w:val="0"/>
          <w:sz w:val="20"/>
          <w:lang w:eastAsia="en-AU"/>
        </w:rPr>
        <w:t xml:space="preserve"> the medical practitioner was subsequently prosecuted.</w:t>
      </w:r>
    </w:p>
    <w:p w:rsidR="001B6FF6" w:rsidRDefault="0029198D" w:rsidP="00A2027D">
      <w:pPr>
        <w:pStyle w:val="DHheading2"/>
        <w:rPr>
          <w:b w:val="0"/>
          <w:sz w:val="20"/>
          <w:lang w:eastAsia="en-AU"/>
        </w:rPr>
      </w:pPr>
      <w:r>
        <w:rPr>
          <w:b w:val="0"/>
          <w:sz w:val="20"/>
          <w:lang w:eastAsia="en-AU"/>
        </w:rPr>
        <w:t>A</w:t>
      </w:r>
      <w:r w:rsidR="00A2027D" w:rsidRPr="00A2027D">
        <w:rPr>
          <w:b w:val="0"/>
          <w:sz w:val="20"/>
          <w:lang w:eastAsia="en-AU"/>
        </w:rPr>
        <w:t>nother pharmacist repeatedly dispensed multiple repeats of Sustanon</w:t>
      </w:r>
      <w:r w:rsidR="00A2027D" w:rsidRPr="00A2027D">
        <w:rPr>
          <w:b w:val="0"/>
          <w:sz w:val="20"/>
          <w:vertAlign w:val="superscript"/>
          <w:lang w:eastAsia="en-AU"/>
        </w:rPr>
        <w:t>®</w:t>
      </w:r>
      <w:r w:rsidR="00A2027D" w:rsidRPr="00A2027D">
        <w:rPr>
          <w:b w:val="0"/>
          <w:sz w:val="20"/>
          <w:lang w:eastAsia="en-AU"/>
        </w:rPr>
        <w:t xml:space="preserve"> </w:t>
      </w:r>
      <w:r w:rsidR="001C297C">
        <w:rPr>
          <w:b w:val="0"/>
          <w:sz w:val="20"/>
          <w:lang w:eastAsia="en-AU"/>
        </w:rPr>
        <w:t xml:space="preserve">on the same </w:t>
      </w:r>
      <w:r>
        <w:rPr>
          <w:b w:val="0"/>
          <w:sz w:val="20"/>
          <w:lang w:eastAsia="en-AU"/>
        </w:rPr>
        <w:t>occasion</w:t>
      </w:r>
      <w:r w:rsidR="001C297C">
        <w:rPr>
          <w:b w:val="0"/>
          <w:sz w:val="20"/>
          <w:lang w:eastAsia="en-AU"/>
        </w:rPr>
        <w:t xml:space="preserve"> </w:t>
      </w:r>
      <w:r w:rsidR="00A2027D" w:rsidRPr="00A2027D">
        <w:rPr>
          <w:b w:val="0"/>
          <w:sz w:val="20"/>
          <w:lang w:eastAsia="en-AU"/>
        </w:rPr>
        <w:t xml:space="preserve">without contacting the purported prescriber </w:t>
      </w:r>
      <w:r>
        <w:rPr>
          <w:b w:val="0"/>
          <w:sz w:val="20"/>
          <w:lang w:eastAsia="en-AU"/>
        </w:rPr>
        <w:t>(</w:t>
      </w:r>
      <w:r w:rsidR="00A2027D" w:rsidRPr="00A2027D">
        <w:rPr>
          <w:b w:val="0"/>
          <w:sz w:val="20"/>
          <w:lang w:eastAsia="en-AU"/>
        </w:rPr>
        <w:t>or notifying DPR</w:t>
      </w:r>
      <w:r>
        <w:rPr>
          <w:b w:val="0"/>
          <w:sz w:val="20"/>
          <w:lang w:eastAsia="en-AU"/>
        </w:rPr>
        <w:t>)</w:t>
      </w:r>
      <w:r w:rsidR="00A2027D" w:rsidRPr="00A2027D">
        <w:rPr>
          <w:b w:val="0"/>
          <w:sz w:val="20"/>
          <w:lang w:eastAsia="en-AU"/>
        </w:rPr>
        <w:t xml:space="preserve">. The prescriptions were </w:t>
      </w:r>
      <w:r>
        <w:rPr>
          <w:b w:val="0"/>
          <w:sz w:val="20"/>
          <w:lang w:eastAsia="en-AU"/>
        </w:rPr>
        <w:t xml:space="preserve">subsequently </w:t>
      </w:r>
      <w:r w:rsidR="00A2027D" w:rsidRPr="00A2027D">
        <w:rPr>
          <w:b w:val="0"/>
          <w:sz w:val="20"/>
          <w:lang w:eastAsia="en-AU"/>
        </w:rPr>
        <w:t>found to be forgeries and the pharmacist was</w:t>
      </w:r>
      <w:r w:rsidR="00A2027D">
        <w:rPr>
          <w:b w:val="0"/>
          <w:sz w:val="20"/>
          <w:lang w:eastAsia="en-AU"/>
        </w:rPr>
        <w:t xml:space="preserve"> prosecuted</w:t>
      </w:r>
      <w:r w:rsidR="00A2027D" w:rsidRPr="00DE6C0A">
        <w:rPr>
          <w:b w:val="0"/>
          <w:sz w:val="20"/>
          <w:lang w:eastAsia="en-AU"/>
        </w:rPr>
        <w:t xml:space="preserve">. </w:t>
      </w:r>
    </w:p>
    <w:p w:rsidR="001B6FF6" w:rsidRPr="00B8227D" w:rsidRDefault="001B6FF6" w:rsidP="001B6FF6">
      <w:pPr>
        <w:pStyle w:val="DHheading2"/>
        <w:rPr>
          <w:b w:val="0"/>
          <w:bCs w:val="0"/>
          <w:color w:val="FF0000"/>
          <w:sz w:val="44"/>
        </w:rPr>
      </w:pPr>
      <w:r>
        <w:rPr>
          <w:b w:val="0"/>
          <w:bCs w:val="0"/>
          <w:color w:val="FF0000"/>
          <w:sz w:val="44"/>
        </w:rPr>
        <w:t>Possible prosecution and litigation</w:t>
      </w:r>
    </w:p>
    <w:p w:rsidR="008126AD" w:rsidRDefault="008A770E" w:rsidP="001B6FF6">
      <w:pPr>
        <w:pStyle w:val="DHheading2"/>
        <w:rPr>
          <w:b w:val="0"/>
          <w:sz w:val="20"/>
          <w:lang w:eastAsia="en-AU"/>
        </w:rPr>
      </w:pPr>
      <w:r>
        <w:rPr>
          <w:b w:val="0"/>
          <w:sz w:val="20"/>
          <w:lang w:eastAsia="en-AU"/>
        </w:rPr>
        <w:t>P</w:t>
      </w:r>
      <w:r w:rsidR="001B6FF6" w:rsidRPr="003A3AB8">
        <w:rPr>
          <w:b w:val="0"/>
          <w:sz w:val="20"/>
          <w:lang w:eastAsia="en-AU"/>
        </w:rPr>
        <w:t>harmacist</w:t>
      </w:r>
      <w:r>
        <w:rPr>
          <w:b w:val="0"/>
          <w:sz w:val="20"/>
          <w:lang w:eastAsia="en-AU"/>
        </w:rPr>
        <w:t>s</w:t>
      </w:r>
      <w:r w:rsidR="001B6FF6" w:rsidRPr="003A3AB8">
        <w:rPr>
          <w:b w:val="0"/>
          <w:sz w:val="20"/>
          <w:lang w:eastAsia="en-AU"/>
        </w:rPr>
        <w:t xml:space="preserve"> </w:t>
      </w:r>
      <w:r w:rsidR="001B6FF6">
        <w:rPr>
          <w:b w:val="0"/>
          <w:sz w:val="20"/>
          <w:lang w:eastAsia="en-AU"/>
        </w:rPr>
        <w:t>who suppl</w:t>
      </w:r>
      <w:r w:rsidR="00653C4C">
        <w:rPr>
          <w:b w:val="0"/>
          <w:sz w:val="20"/>
          <w:lang w:eastAsia="en-AU"/>
        </w:rPr>
        <w:t>y</w:t>
      </w:r>
      <w:r w:rsidR="001B6FF6">
        <w:rPr>
          <w:b w:val="0"/>
          <w:sz w:val="20"/>
          <w:lang w:eastAsia="en-AU"/>
        </w:rPr>
        <w:t xml:space="preserve"> multiple repeats on the same occasion (or too frequently) without </w:t>
      </w:r>
      <w:r w:rsidR="001B6FF6" w:rsidRPr="003A3AB8">
        <w:rPr>
          <w:b w:val="0"/>
          <w:sz w:val="20"/>
          <w:lang w:eastAsia="en-AU"/>
        </w:rPr>
        <w:t>the expressed approval of the</w:t>
      </w:r>
      <w:r w:rsidR="001B6FF6">
        <w:rPr>
          <w:b w:val="0"/>
          <w:sz w:val="20"/>
          <w:lang w:eastAsia="en-AU"/>
        </w:rPr>
        <w:t xml:space="preserve"> prescriber </w:t>
      </w:r>
      <w:r>
        <w:rPr>
          <w:b w:val="0"/>
          <w:sz w:val="20"/>
          <w:lang w:eastAsia="en-AU"/>
        </w:rPr>
        <w:t xml:space="preserve">render themselves </w:t>
      </w:r>
      <w:r w:rsidR="001B6FF6">
        <w:rPr>
          <w:b w:val="0"/>
          <w:sz w:val="20"/>
          <w:lang w:eastAsia="en-AU"/>
        </w:rPr>
        <w:t xml:space="preserve">liable to prosecution </w:t>
      </w:r>
      <w:r>
        <w:rPr>
          <w:b w:val="0"/>
          <w:sz w:val="20"/>
          <w:lang w:eastAsia="en-AU"/>
        </w:rPr>
        <w:t>and/</w:t>
      </w:r>
      <w:r w:rsidR="001B6FF6">
        <w:rPr>
          <w:b w:val="0"/>
          <w:sz w:val="20"/>
          <w:lang w:eastAsia="en-AU"/>
        </w:rPr>
        <w:t xml:space="preserve">or professional review by the </w:t>
      </w:r>
      <w:r w:rsidR="008126AD">
        <w:rPr>
          <w:b w:val="0"/>
          <w:sz w:val="20"/>
          <w:lang w:eastAsia="en-AU"/>
        </w:rPr>
        <w:t>Pharmacy B</w:t>
      </w:r>
      <w:r w:rsidR="001B6FF6">
        <w:rPr>
          <w:b w:val="0"/>
          <w:sz w:val="20"/>
          <w:lang w:eastAsia="en-AU"/>
        </w:rPr>
        <w:t>oard</w:t>
      </w:r>
      <w:r w:rsidR="00653C4C">
        <w:rPr>
          <w:b w:val="0"/>
          <w:sz w:val="20"/>
          <w:lang w:eastAsia="en-AU"/>
        </w:rPr>
        <w:t xml:space="preserve"> of Australia</w:t>
      </w:r>
      <w:r w:rsidR="001B6FF6">
        <w:rPr>
          <w:b w:val="0"/>
          <w:sz w:val="20"/>
          <w:lang w:eastAsia="en-AU"/>
        </w:rPr>
        <w:t>. The</w:t>
      </w:r>
      <w:r w:rsidR="008126AD">
        <w:rPr>
          <w:b w:val="0"/>
          <w:sz w:val="20"/>
          <w:lang w:eastAsia="en-AU"/>
        </w:rPr>
        <w:t xml:space="preserve"> likelihood of such an outcome </w:t>
      </w:r>
      <w:r>
        <w:rPr>
          <w:b w:val="0"/>
          <w:sz w:val="20"/>
          <w:lang w:eastAsia="en-AU"/>
        </w:rPr>
        <w:t>would be greater in circumstances</w:t>
      </w:r>
      <w:r w:rsidR="008126AD">
        <w:rPr>
          <w:b w:val="0"/>
          <w:sz w:val="20"/>
          <w:lang w:eastAsia="en-AU"/>
        </w:rPr>
        <w:t xml:space="preserve"> where:</w:t>
      </w:r>
    </w:p>
    <w:p w:rsidR="006C23CF" w:rsidRPr="006C23CF" w:rsidRDefault="006C23CF" w:rsidP="006C23CF">
      <w:pPr>
        <w:pStyle w:val="DHheading2"/>
        <w:numPr>
          <w:ilvl w:val="0"/>
          <w:numId w:val="10"/>
        </w:numPr>
        <w:rPr>
          <w:b w:val="0"/>
          <w:sz w:val="20"/>
          <w:lang w:eastAsia="en-AU"/>
        </w:rPr>
      </w:pPr>
      <w:r w:rsidRPr="006C23CF">
        <w:rPr>
          <w:b w:val="0"/>
          <w:sz w:val="20"/>
          <w:lang w:eastAsia="en-AU"/>
        </w:rPr>
        <w:t>drugs of dependence or other commonly misused medications are involved</w:t>
      </w:r>
    </w:p>
    <w:p w:rsidR="006C23CF" w:rsidRPr="006C23CF" w:rsidRDefault="006C23CF" w:rsidP="006C23CF">
      <w:pPr>
        <w:pStyle w:val="DHheading2"/>
        <w:numPr>
          <w:ilvl w:val="0"/>
          <w:numId w:val="10"/>
        </w:numPr>
        <w:rPr>
          <w:b w:val="0"/>
          <w:sz w:val="20"/>
          <w:lang w:eastAsia="en-AU"/>
        </w:rPr>
      </w:pPr>
      <w:r w:rsidRPr="006C23CF">
        <w:rPr>
          <w:b w:val="0"/>
          <w:sz w:val="20"/>
          <w:lang w:eastAsia="en-AU"/>
        </w:rPr>
        <w:t xml:space="preserve">a patient suffers harm </w:t>
      </w:r>
    </w:p>
    <w:p w:rsidR="006C23CF" w:rsidRPr="006C23CF" w:rsidRDefault="006C23CF" w:rsidP="006C23CF">
      <w:pPr>
        <w:pStyle w:val="DHheading2"/>
        <w:numPr>
          <w:ilvl w:val="0"/>
          <w:numId w:val="10"/>
        </w:numPr>
        <w:rPr>
          <w:b w:val="0"/>
          <w:sz w:val="20"/>
          <w:lang w:eastAsia="en-AU"/>
        </w:rPr>
      </w:pPr>
      <w:r w:rsidRPr="006C23CF">
        <w:rPr>
          <w:b w:val="0"/>
          <w:sz w:val="20"/>
          <w:lang w:eastAsia="en-AU"/>
        </w:rPr>
        <w:t>medications are hoarded in excessive quantities</w:t>
      </w:r>
    </w:p>
    <w:p w:rsidR="006C23CF" w:rsidRDefault="006C23CF" w:rsidP="006C23CF">
      <w:pPr>
        <w:pStyle w:val="DHheading2"/>
        <w:numPr>
          <w:ilvl w:val="0"/>
          <w:numId w:val="10"/>
        </w:numPr>
        <w:rPr>
          <w:b w:val="0"/>
          <w:sz w:val="20"/>
          <w:lang w:eastAsia="en-AU"/>
        </w:rPr>
      </w:pPr>
      <w:r w:rsidRPr="006C23CF">
        <w:rPr>
          <w:b w:val="0"/>
          <w:sz w:val="20"/>
          <w:lang w:eastAsia="en-AU"/>
        </w:rPr>
        <w:t xml:space="preserve">communicating with a purported prescriber </w:t>
      </w:r>
      <w:r w:rsidR="008A770E">
        <w:rPr>
          <w:b w:val="0"/>
          <w:sz w:val="20"/>
          <w:lang w:eastAsia="en-AU"/>
        </w:rPr>
        <w:t>(</w:t>
      </w:r>
      <w:r w:rsidRPr="006C23CF">
        <w:rPr>
          <w:b w:val="0"/>
          <w:sz w:val="20"/>
          <w:lang w:eastAsia="en-AU"/>
        </w:rPr>
        <w:t xml:space="preserve">or </w:t>
      </w:r>
      <w:r w:rsidR="00C950D2">
        <w:rPr>
          <w:b w:val="0"/>
          <w:sz w:val="20"/>
          <w:lang w:eastAsia="en-AU"/>
        </w:rPr>
        <w:t>DPR</w:t>
      </w:r>
      <w:r w:rsidR="008A770E">
        <w:rPr>
          <w:b w:val="0"/>
          <w:sz w:val="20"/>
          <w:lang w:eastAsia="en-AU"/>
        </w:rPr>
        <w:t>)</w:t>
      </w:r>
      <w:r w:rsidRPr="006C23CF">
        <w:rPr>
          <w:b w:val="0"/>
          <w:sz w:val="20"/>
          <w:lang w:eastAsia="en-AU"/>
        </w:rPr>
        <w:t xml:space="preserve"> would have prevented</w:t>
      </w:r>
      <w:r>
        <w:rPr>
          <w:b w:val="0"/>
          <w:sz w:val="20"/>
          <w:lang w:eastAsia="en-AU"/>
        </w:rPr>
        <w:t xml:space="preserve"> or limited the extent of offending or </w:t>
      </w:r>
      <w:r w:rsidRPr="006C23CF">
        <w:rPr>
          <w:b w:val="0"/>
          <w:sz w:val="20"/>
          <w:lang w:eastAsia="en-AU"/>
        </w:rPr>
        <w:t>misadventure</w:t>
      </w:r>
      <w:r>
        <w:rPr>
          <w:b w:val="0"/>
          <w:sz w:val="20"/>
          <w:lang w:eastAsia="en-AU"/>
        </w:rPr>
        <w:t xml:space="preserve"> (e.g. dispensing multiple forged prescriptions)</w:t>
      </w:r>
    </w:p>
    <w:p w:rsidR="001B6FF6" w:rsidRPr="00DE6C0A" w:rsidRDefault="006C23CF" w:rsidP="001B6FF6">
      <w:pPr>
        <w:pStyle w:val="DHheading2"/>
        <w:rPr>
          <w:b w:val="0"/>
          <w:sz w:val="20"/>
        </w:rPr>
      </w:pPr>
      <w:r>
        <w:rPr>
          <w:b w:val="0"/>
          <w:sz w:val="20"/>
          <w:lang w:eastAsia="en-AU"/>
        </w:rPr>
        <w:t>The same factors could also contribute to a</w:t>
      </w:r>
      <w:r w:rsidR="001B6FF6" w:rsidRPr="00DE6C0A">
        <w:rPr>
          <w:b w:val="0"/>
          <w:sz w:val="20"/>
          <w:lang w:eastAsia="en-AU"/>
        </w:rPr>
        <w:t xml:space="preserve"> </w:t>
      </w:r>
      <w:r w:rsidR="001B6FF6" w:rsidRPr="00A2027D">
        <w:rPr>
          <w:b w:val="0"/>
          <w:sz w:val="20"/>
          <w:lang w:eastAsia="en-AU"/>
        </w:rPr>
        <w:t>pharmacist</w:t>
      </w:r>
      <w:r>
        <w:rPr>
          <w:b w:val="0"/>
          <w:sz w:val="20"/>
          <w:lang w:eastAsia="en-AU"/>
        </w:rPr>
        <w:t xml:space="preserve">’s liability in the event that </w:t>
      </w:r>
      <w:r w:rsidR="001B6FF6" w:rsidRPr="00A2027D">
        <w:rPr>
          <w:b w:val="0"/>
          <w:sz w:val="20"/>
          <w:lang w:eastAsia="en-AU"/>
        </w:rPr>
        <w:t xml:space="preserve">litigation </w:t>
      </w:r>
      <w:r w:rsidR="00C950D2">
        <w:rPr>
          <w:b w:val="0"/>
          <w:sz w:val="20"/>
          <w:lang w:eastAsia="en-AU"/>
        </w:rPr>
        <w:t>and/or</w:t>
      </w:r>
      <w:r w:rsidR="008126AD">
        <w:rPr>
          <w:b w:val="0"/>
          <w:sz w:val="20"/>
          <w:lang w:eastAsia="en-AU"/>
        </w:rPr>
        <w:t xml:space="preserve"> allegations that</w:t>
      </w:r>
      <w:r w:rsidR="001B6FF6" w:rsidRPr="00A2027D">
        <w:rPr>
          <w:b w:val="0"/>
          <w:sz w:val="20"/>
          <w:lang w:eastAsia="en-AU"/>
        </w:rPr>
        <w:t xml:space="preserve"> harm result</w:t>
      </w:r>
      <w:r w:rsidR="008126AD">
        <w:rPr>
          <w:b w:val="0"/>
          <w:sz w:val="20"/>
          <w:lang w:eastAsia="en-AU"/>
        </w:rPr>
        <w:t>ed</w:t>
      </w:r>
      <w:r w:rsidR="001B6FF6" w:rsidRPr="00A2027D">
        <w:rPr>
          <w:b w:val="0"/>
          <w:sz w:val="20"/>
          <w:lang w:eastAsia="en-AU"/>
        </w:rPr>
        <w:t xml:space="preserve"> from his or her failure to exercise the care and standards expected of a pharmacist</w:t>
      </w:r>
      <w:r>
        <w:rPr>
          <w:b w:val="0"/>
          <w:sz w:val="20"/>
          <w:lang w:eastAsia="en-AU"/>
        </w:rPr>
        <w:t xml:space="preserve">, </w:t>
      </w:r>
      <w:r w:rsidR="008126AD" w:rsidRPr="00A2027D">
        <w:rPr>
          <w:b w:val="0"/>
          <w:sz w:val="20"/>
          <w:lang w:eastAsia="en-AU"/>
        </w:rPr>
        <w:t xml:space="preserve">regardless of whether medications </w:t>
      </w:r>
      <w:r w:rsidR="00C950D2">
        <w:rPr>
          <w:b w:val="0"/>
          <w:sz w:val="20"/>
          <w:lang w:eastAsia="en-AU"/>
        </w:rPr>
        <w:t>were</w:t>
      </w:r>
      <w:r w:rsidR="008126AD" w:rsidRPr="00A2027D">
        <w:rPr>
          <w:b w:val="0"/>
          <w:sz w:val="20"/>
          <w:lang w:eastAsia="en-AU"/>
        </w:rPr>
        <w:t xml:space="preserve"> supplied on prescription or “over</w:t>
      </w:r>
      <w:r w:rsidR="008126AD">
        <w:rPr>
          <w:b w:val="0"/>
          <w:sz w:val="20"/>
          <w:lang w:eastAsia="en-AU"/>
        </w:rPr>
        <w:t>-</w:t>
      </w:r>
      <w:r w:rsidR="008126AD" w:rsidRPr="00A2027D">
        <w:rPr>
          <w:b w:val="0"/>
          <w:sz w:val="20"/>
          <w:lang w:eastAsia="en-AU"/>
        </w:rPr>
        <w:t>the</w:t>
      </w:r>
      <w:r w:rsidR="008126AD">
        <w:rPr>
          <w:b w:val="0"/>
          <w:sz w:val="20"/>
          <w:lang w:eastAsia="en-AU"/>
        </w:rPr>
        <w:t>-</w:t>
      </w:r>
      <w:r w:rsidR="008126AD" w:rsidRPr="00A2027D">
        <w:rPr>
          <w:b w:val="0"/>
          <w:sz w:val="20"/>
          <w:lang w:eastAsia="en-AU"/>
        </w:rPr>
        <w:t>counter”.</w:t>
      </w:r>
    </w:p>
    <w:p w:rsidR="00DE6C0A" w:rsidRPr="0059480E" w:rsidRDefault="00DE6C0A" w:rsidP="00DE6C0A">
      <w:pPr>
        <w:rPr>
          <w:rFonts w:ascii="Arial" w:hAnsi="Arial" w:cs="Arial"/>
          <w:color w:val="FF0000"/>
          <w:sz w:val="44"/>
          <w:szCs w:val="44"/>
        </w:rPr>
      </w:pPr>
      <w:r w:rsidRPr="0059480E">
        <w:rPr>
          <w:rFonts w:ascii="Arial" w:hAnsi="Arial" w:cs="Arial"/>
          <w:color w:val="FF0000"/>
          <w:sz w:val="44"/>
          <w:szCs w:val="44"/>
        </w:rPr>
        <w:t>Schedule 2 and Schedule 3 poisons</w:t>
      </w:r>
    </w:p>
    <w:p w:rsidR="00090AF9" w:rsidRPr="00090AF9" w:rsidRDefault="001B6FF6" w:rsidP="00090AF9">
      <w:pPr>
        <w:pStyle w:val="DHheading2"/>
        <w:rPr>
          <w:szCs w:val="28"/>
          <w:lang w:eastAsia="en-AU"/>
        </w:rPr>
      </w:pPr>
      <w:r w:rsidRPr="001B6FF6">
        <w:rPr>
          <w:szCs w:val="28"/>
          <w:lang w:eastAsia="en-AU"/>
        </w:rPr>
        <w:t>Supplying m</w:t>
      </w:r>
      <w:r w:rsidR="00090AF9" w:rsidRPr="001B6FF6">
        <w:rPr>
          <w:szCs w:val="28"/>
          <w:lang w:eastAsia="en-AU"/>
        </w:rPr>
        <w:t>ultiple packs</w:t>
      </w:r>
    </w:p>
    <w:p w:rsidR="00090AF9" w:rsidRDefault="00090AF9" w:rsidP="00090AF9">
      <w:pPr>
        <w:pStyle w:val="DHheading2"/>
        <w:rPr>
          <w:b w:val="0"/>
          <w:sz w:val="20"/>
          <w:lang w:eastAsia="en-AU"/>
        </w:rPr>
      </w:pPr>
      <w:r w:rsidRPr="00DE6C0A">
        <w:rPr>
          <w:b w:val="0"/>
          <w:sz w:val="20"/>
          <w:lang w:eastAsia="en-AU"/>
        </w:rPr>
        <w:t xml:space="preserve">The </w:t>
      </w:r>
      <w:r w:rsidRPr="00A2027D">
        <w:rPr>
          <w:b w:val="0"/>
          <w:sz w:val="20"/>
          <w:lang w:eastAsia="en-AU"/>
        </w:rPr>
        <w:t>Australian Medical Association (AMA) has expressed concerns about pharmacists who offer discounts for multiple packs of “over</w:t>
      </w:r>
      <w:r>
        <w:rPr>
          <w:b w:val="0"/>
          <w:sz w:val="20"/>
          <w:lang w:eastAsia="en-AU"/>
        </w:rPr>
        <w:t>-</w:t>
      </w:r>
      <w:r w:rsidRPr="00A2027D">
        <w:rPr>
          <w:b w:val="0"/>
          <w:sz w:val="20"/>
          <w:lang w:eastAsia="en-AU"/>
        </w:rPr>
        <w:t>the</w:t>
      </w:r>
      <w:r>
        <w:rPr>
          <w:b w:val="0"/>
          <w:sz w:val="20"/>
          <w:lang w:eastAsia="en-AU"/>
        </w:rPr>
        <w:t>-</w:t>
      </w:r>
      <w:r w:rsidRPr="00A2027D">
        <w:rPr>
          <w:b w:val="0"/>
          <w:sz w:val="20"/>
          <w:lang w:eastAsia="en-AU"/>
        </w:rPr>
        <w:t>counter” medications. The AMA suggests that this practice does not encourage sensible use or regular review with a health practitioner. The practice is of particular concern when it involves medications that are subject to misuse and abuse (e.g. cough mixtures, analgesics, preparations</w:t>
      </w:r>
      <w:r>
        <w:rPr>
          <w:b w:val="0"/>
          <w:sz w:val="20"/>
          <w:lang w:eastAsia="en-AU"/>
        </w:rPr>
        <w:t xml:space="preserve"> containing pseudoephedrine</w:t>
      </w:r>
      <w:r w:rsidRPr="00A2027D">
        <w:rPr>
          <w:b w:val="0"/>
          <w:sz w:val="20"/>
          <w:lang w:eastAsia="en-AU"/>
        </w:rPr>
        <w:t>, Unisom</w:t>
      </w:r>
      <w:r w:rsidRPr="00A2027D">
        <w:rPr>
          <w:b w:val="0"/>
          <w:sz w:val="20"/>
          <w:vertAlign w:val="superscript"/>
          <w:lang w:eastAsia="en-AU"/>
        </w:rPr>
        <w:t>®</w:t>
      </w:r>
      <w:r w:rsidRPr="00A2027D">
        <w:rPr>
          <w:b w:val="0"/>
          <w:sz w:val="20"/>
          <w:lang w:eastAsia="en-AU"/>
        </w:rPr>
        <w:t xml:space="preserve"> gel capsules) or medications that are likely to cause adverse reactions if used excessively (e.g. ibuprofen and codeine tablets).</w:t>
      </w:r>
    </w:p>
    <w:p w:rsidR="00090AF9" w:rsidRPr="00DE6C0A" w:rsidRDefault="00090AF9" w:rsidP="00090AF9">
      <w:pPr>
        <w:pStyle w:val="DHheading2"/>
        <w:rPr>
          <w:b w:val="0"/>
          <w:sz w:val="20"/>
        </w:rPr>
      </w:pPr>
      <w:r w:rsidRPr="00A2027D">
        <w:rPr>
          <w:b w:val="0"/>
          <w:sz w:val="20"/>
          <w:lang w:eastAsia="en-AU"/>
        </w:rPr>
        <w:t>The poisons schedules of various medications are directly related to the number of doses contained in a particular pack size and in some cases a larger pack size will cause a medication to be subject to the stricter legislative controls of a higher schedule. It is recommended that pharmacists apply the stricter legislative controls when requested to supply multiple smaller packs in circumstances where a larger pack, containing a comparable number of doses, would place the medication in a higher</w:t>
      </w:r>
      <w:r>
        <w:rPr>
          <w:b w:val="0"/>
          <w:sz w:val="20"/>
          <w:lang w:eastAsia="en-AU"/>
        </w:rPr>
        <w:t xml:space="preserve"> schedule</w:t>
      </w:r>
      <w:r w:rsidRPr="00DE6C0A">
        <w:rPr>
          <w:b w:val="0"/>
          <w:sz w:val="20"/>
          <w:lang w:eastAsia="en-AU"/>
        </w:rPr>
        <w:t xml:space="preserve">.  </w:t>
      </w:r>
    </w:p>
    <w:p w:rsidR="00090AF9" w:rsidRPr="0059480E" w:rsidRDefault="00090AF9" w:rsidP="00090AF9">
      <w:pPr>
        <w:pStyle w:val="DHheading2"/>
      </w:pPr>
      <w:r w:rsidRPr="0059480E">
        <w:lastRenderedPageBreak/>
        <w:t>Trafficking</w:t>
      </w:r>
    </w:p>
    <w:p w:rsidR="00182B65" w:rsidRPr="004A6834" w:rsidRDefault="00182B65" w:rsidP="00182B65">
      <w:pPr>
        <w:pStyle w:val="DHheading2"/>
        <w:rPr>
          <w:b w:val="0"/>
          <w:sz w:val="20"/>
        </w:rPr>
      </w:pPr>
      <w:r>
        <w:rPr>
          <w:b w:val="0"/>
          <w:sz w:val="20"/>
          <w:lang w:eastAsia="en-AU"/>
        </w:rPr>
        <w:t>A</w:t>
      </w:r>
      <w:r w:rsidRPr="004A6834">
        <w:rPr>
          <w:b w:val="0"/>
          <w:sz w:val="20"/>
          <w:lang w:eastAsia="en-AU"/>
        </w:rPr>
        <w:t xml:space="preserve"> </w:t>
      </w:r>
      <w:r w:rsidRPr="00A2027D">
        <w:rPr>
          <w:b w:val="0"/>
          <w:sz w:val="20"/>
          <w:lang w:eastAsia="en-AU"/>
        </w:rPr>
        <w:t>pharmacist who supplied multiple packs of “over</w:t>
      </w:r>
      <w:r>
        <w:rPr>
          <w:b w:val="0"/>
          <w:sz w:val="20"/>
          <w:lang w:eastAsia="en-AU"/>
        </w:rPr>
        <w:t>-</w:t>
      </w:r>
      <w:r w:rsidRPr="00A2027D">
        <w:rPr>
          <w:b w:val="0"/>
          <w:sz w:val="20"/>
          <w:lang w:eastAsia="en-AU"/>
        </w:rPr>
        <w:t>the</w:t>
      </w:r>
      <w:r>
        <w:rPr>
          <w:b w:val="0"/>
          <w:sz w:val="20"/>
          <w:lang w:eastAsia="en-AU"/>
        </w:rPr>
        <w:t>-</w:t>
      </w:r>
      <w:r w:rsidRPr="00A2027D">
        <w:rPr>
          <w:b w:val="0"/>
          <w:sz w:val="20"/>
          <w:lang w:eastAsia="en-AU"/>
        </w:rPr>
        <w:t>counter” medications containing pseudoephedrine was successfully prosecuted for trafficking a drug of dependence</w:t>
      </w:r>
      <w:r w:rsidR="00C950D2">
        <w:rPr>
          <w:b w:val="0"/>
          <w:sz w:val="20"/>
          <w:lang w:eastAsia="en-AU"/>
        </w:rPr>
        <w:t>;</w:t>
      </w:r>
      <w:r w:rsidRPr="00A2027D">
        <w:rPr>
          <w:b w:val="0"/>
          <w:sz w:val="20"/>
          <w:lang w:eastAsia="en-AU"/>
        </w:rPr>
        <w:t xml:space="preserve"> the cumulative total of pseudoephedrine supplied exceeded the amount that corresponds to a traffickable</w:t>
      </w:r>
      <w:r w:rsidRPr="004A6834">
        <w:rPr>
          <w:b w:val="0"/>
          <w:sz w:val="20"/>
          <w:lang w:eastAsia="en-AU"/>
        </w:rPr>
        <w:t xml:space="preserve"> </w:t>
      </w:r>
      <w:r>
        <w:rPr>
          <w:b w:val="0"/>
          <w:sz w:val="20"/>
          <w:lang w:eastAsia="en-AU"/>
        </w:rPr>
        <w:t>quantity</w:t>
      </w:r>
      <w:r w:rsidRPr="004A6834">
        <w:rPr>
          <w:b w:val="0"/>
          <w:sz w:val="20"/>
          <w:lang w:eastAsia="en-AU"/>
        </w:rPr>
        <w:t>.</w:t>
      </w:r>
    </w:p>
    <w:p w:rsidR="00090AF9" w:rsidRPr="00090AF9" w:rsidRDefault="00090AF9" w:rsidP="00A2027D">
      <w:pPr>
        <w:pStyle w:val="DHheading2"/>
        <w:rPr>
          <w:szCs w:val="28"/>
          <w:lang w:eastAsia="en-AU"/>
        </w:rPr>
      </w:pPr>
      <w:r w:rsidRPr="00090AF9">
        <w:rPr>
          <w:szCs w:val="28"/>
          <w:lang w:eastAsia="en-AU"/>
        </w:rPr>
        <w:t>R</w:t>
      </w:r>
      <w:r>
        <w:rPr>
          <w:szCs w:val="28"/>
          <w:lang w:eastAsia="en-AU"/>
        </w:rPr>
        <w:t>elated r</w:t>
      </w:r>
      <w:r w:rsidRPr="00090AF9">
        <w:rPr>
          <w:szCs w:val="28"/>
          <w:lang w:eastAsia="en-AU"/>
        </w:rPr>
        <w:t>egulations</w:t>
      </w:r>
    </w:p>
    <w:p w:rsidR="00090AF9" w:rsidRDefault="0029198D" w:rsidP="00D52807">
      <w:pPr>
        <w:pStyle w:val="DHheading2"/>
        <w:rPr>
          <w:b w:val="0"/>
          <w:sz w:val="20"/>
        </w:rPr>
      </w:pPr>
      <w:r w:rsidRPr="009B4CAF">
        <w:rPr>
          <w:b w:val="0"/>
          <w:sz w:val="20"/>
          <w:lang w:eastAsia="en-AU"/>
        </w:rPr>
        <w:t xml:space="preserve">Pharmacists may supply </w:t>
      </w:r>
      <w:r w:rsidR="00A2027D" w:rsidRPr="009B4CAF">
        <w:rPr>
          <w:b w:val="0"/>
          <w:sz w:val="20"/>
          <w:lang w:eastAsia="en-AU"/>
        </w:rPr>
        <w:t xml:space="preserve">Schedule </w:t>
      </w:r>
      <w:r w:rsidRPr="009B4CAF">
        <w:rPr>
          <w:b w:val="0"/>
          <w:sz w:val="20"/>
          <w:lang w:eastAsia="en-AU"/>
        </w:rPr>
        <w:t>2</w:t>
      </w:r>
      <w:r w:rsidR="00A2027D" w:rsidRPr="009B4CAF">
        <w:rPr>
          <w:b w:val="0"/>
          <w:sz w:val="20"/>
          <w:lang w:eastAsia="en-AU"/>
        </w:rPr>
        <w:t xml:space="preserve"> </w:t>
      </w:r>
      <w:r w:rsidRPr="009B4CAF">
        <w:rPr>
          <w:b w:val="0"/>
          <w:sz w:val="20"/>
          <w:lang w:eastAsia="en-AU"/>
        </w:rPr>
        <w:t xml:space="preserve">and </w:t>
      </w:r>
      <w:r w:rsidR="00A2027D" w:rsidRPr="009B4CAF">
        <w:rPr>
          <w:b w:val="0"/>
          <w:sz w:val="20"/>
          <w:lang w:eastAsia="en-AU"/>
        </w:rPr>
        <w:t xml:space="preserve">Schedule </w:t>
      </w:r>
      <w:r w:rsidRPr="009B4CAF">
        <w:rPr>
          <w:b w:val="0"/>
          <w:sz w:val="20"/>
          <w:lang w:eastAsia="en-AU"/>
        </w:rPr>
        <w:t>3</w:t>
      </w:r>
      <w:r w:rsidR="00A2027D" w:rsidRPr="009B4CAF">
        <w:rPr>
          <w:b w:val="0"/>
          <w:sz w:val="20"/>
          <w:lang w:eastAsia="en-AU"/>
        </w:rPr>
        <w:t xml:space="preserve"> poisons without a prescription</w:t>
      </w:r>
      <w:r w:rsidR="00653C4C">
        <w:rPr>
          <w:b w:val="0"/>
          <w:sz w:val="20"/>
          <w:lang w:eastAsia="en-AU"/>
        </w:rPr>
        <w:t>. However,</w:t>
      </w:r>
      <w:r w:rsidRPr="009B4CAF">
        <w:rPr>
          <w:b w:val="0"/>
          <w:sz w:val="20"/>
          <w:lang w:eastAsia="en-AU"/>
        </w:rPr>
        <w:t xml:space="preserve"> as Schedule 3 poisons have a greater potential for misuse or abuse,</w:t>
      </w:r>
      <w:r w:rsidR="00A2027D" w:rsidRPr="009B4CAF">
        <w:rPr>
          <w:b w:val="0"/>
          <w:sz w:val="20"/>
          <w:lang w:eastAsia="en-AU"/>
        </w:rPr>
        <w:t xml:space="preserve"> the supply of Schedule 3 poisons </w:t>
      </w:r>
      <w:r w:rsidR="00090AF9" w:rsidRPr="009B4CAF">
        <w:rPr>
          <w:b w:val="0"/>
          <w:sz w:val="20"/>
          <w:lang w:eastAsia="en-AU"/>
        </w:rPr>
        <w:t>is subject to regulations which require the personal involvement of a pharmacist to exercise competent professional judgement in assessing both the appropriateness of the medication</w:t>
      </w:r>
      <w:r w:rsidR="00653C4C">
        <w:rPr>
          <w:b w:val="0"/>
          <w:sz w:val="20"/>
          <w:lang w:eastAsia="en-AU"/>
        </w:rPr>
        <w:t xml:space="preserve"> and</w:t>
      </w:r>
      <w:r w:rsidR="00090AF9" w:rsidRPr="009B4CAF">
        <w:rPr>
          <w:b w:val="0"/>
          <w:sz w:val="20"/>
          <w:lang w:eastAsia="en-AU"/>
        </w:rPr>
        <w:t xml:space="preserve"> the quantity that is to be supplied</w:t>
      </w:r>
      <w:r w:rsidR="00653C4C">
        <w:rPr>
          <w:b w:val="0"/>
          <w:sz w:val="20"/>
          <w:lang w:eastAsia="en-AU"/>
        </w:rPr>
        <w:t xml:space="preserve"> in addition</w:t>
      </w:r>
      <w:r w:rsidR="00090AF9" w:rsidRPr="009B4CAF">
        <w:rPr>
          <w:b w:val="0"/>
          <w:sz w:val="20"/>
          <w:lang w:eastAsia="en-AU"/>
        </w:rPr>
        <w:t xml:space="preserve"> </w:t>
      </w:r>
      <w:r w:rsidR="00A2027D" w:rsidRPr="009B4CAF">
        <w:rPr>
          <w:b w:val="0"/>
          <w:sz w:val="20"/>
          <w:lang w:eastAsia="en-AU"/>
        </w:rPr>
        <w:t>to provid</w:t>
      </w:r>
      <w:r w:rsidR="00653C4C">
        <w:rPr>
          <w:b w:val="0"/>
          <w:sz w:val="20"/>
          <w:lang w:eastAsia="en-AU"/>
        </w:rPr>
        <w:t>ing</w:t>
      </w:r>
      <w:r w:rsidR="00A2027D" w:rsidRPr="009B4CAF">
        <w:rPr>
          <w:b w:val="0"/>
          <w:sz w:val="20"/>
          <w:lang w:eastAsia="en-AU"/>
        </w:rPr>
        <w:t xml:space="preserve"> professional advice about the safe and effective use of the medication. </w:t>
      </w:r>
    </w:p>
    <w:p w:rsidR="00D52807" w:rsidRPr="004A6834" w:rsidRDefault="00090AF9" w:rsidP="00D52807">
      <w:pPr>
        <w:pStyle w:val="DHheading2"/>
        <w:rPr>
          <w:b w:val="0"/>
          <w:sz w:val="20"/>
        </w:rPr>
      </w:pPr>
      <w:r>
        <w:rPr>
          <w:b w:val="0"/>
          <w:sz w:val="20"/>
          <w:lang w:eastAsia="en-AU"/>
        </w:rPr>
        <w:t>T</w:t>
      </w:r>
      <w:r w:rsidR="00D52807" w:rsidRPr="004A6834">
        <w:rPr>
          <w:b w:val="0"/>
          <w:sz w:val="20"/>
          <w:lang w:eastAsia="en-AU"/>
        </w:rPr>
        <w:t xml:space="preserve">he requirement for a pharmacist to take “all reasonable steps” to ensure there is a therapeutic need before supplying a Schedule 3 poison (regulation 61), is unlikely to be achieved unless the pharmacist is able to personally examine and communicate with the person seeking to obtain the </w:t>
      </w:r>
      <w:r w:rsidR="00653C4C">
        <w:rPr>
          <w:b w:val="0"/>
          <w:sz w:val="20"/>
          <w:lang w:eastAsia="en-AU"/>
        </w:rPr>
        <w:t>medication</w:t>
      </w:r>
      <w:r w:rsidR="00D52807" w:rsidRPr="004A6834">
        <w:rPr>
          <w:b w:val="0"/>
          <w:sz w:val="20"/>
          <w:lang w:eastAsia="en-AU"/>
        </w:rPr>
        <w:t>.</w:t>
      </w:r>
    </w:p>
    <w:p w:rsidR="00D52807" w:rsidRPr="00DE6C0A" w:rsidRDefault="00D52807" w:rsidP="00D52807">
      <w:pPr>
        <w:pStyle w:val="DHheading2"/>
        <w:rPr>
          <w:b w:val="0"/>
          <w:sz w:val="20"/>
        </w:rPr>
      </w:pPr>
      <w:r w:rsidRPr="004A6834">
        <w:rPr>
          <w:b w:val="0"/>
          <w:sz w:val="20"/>
          <w:lang w:eastAsia="en-AU"/>
        </w:rPr>
        <w:t xml:space="preserve">Therefore, unless </w:t>
      </w:r>
      <w:r w:rsidR="00653C4C">
        <w:rPr>
          <w:b w:val="0"/>
          <w:sz w:val="20"/>
          <w:lang w:eastAsia="en-AU"/>
        </w:rPr>
        <w:t>a</w:t>
      </w:r>
      <w:r w:rsidRPr="004A6834">
        <w:rPr>
          <w:b w:val="0"/>
          <w:sz w:val="20"/>
          <w:lang w:eastAsia="en-AU"/>
        </w:rPr>
        <w:t xml:space="preserve"> pharmacist has already taken the necessary steps to ensure a</w:t>
      </w:r>
      <w:r w:rsidR="00653C4C">
        <w:rPr>
          <w:b w:val="0"/>
          <w:sz w:val="20"/>
          <w:lang w:eastAsia="en-AU"/>
        </w:rPr>
        <w:t xml:space="preserve"> particular person</w:t>
      </w:r>
      <w:r w:rsidRPr="004A6834">
        <w:rPr>
          <w:b w:val="0"/>
          <w:sz w:val="20"/>
          <w:lang w:eastAsia="en-AU"/>
        </w:rPr>
        <w:t xml:space="preserve"> </w:t>
      </w:r>
      <w:r w:rsidR="00653C4C">
        <w:rPr>
          <w:b w:val="0"/>
          <w:sz w:val="20"/>
          <w:lang w:eastAsia="en-AU"/>
        </w:rPr>
        <w:t xml:space="preserve">has an existing </w:t>
      </w:r>
      <w:r w:rsidRPr="004A6834">
        <w:rPr>
          <w:b w:val="0"/>
          <w:sz w:val="20"/>
          <w:lang w:eastAsia="en-AU"/>
        </w:rPr>
        <w:t>therapeutic need, Schedule 3 poisons must not be supplied in response to requests forwarded by correspondence or via the</w:t>
      </w:r>
      <w:r>
        <w:rPr>
          <w:b w:val="0"/>
          <w:sz w:val="20"/>
          <w:lang w:eastAsia="en-AU"/>
        </w:rPr>
        <w:t xml:space="preserve"> internet</w:t>
      </w:r>
      <w:r w:rsidRPr="00DE6C0A">
        <w:rPr>
          <w:b w:val="0"/>
          <w:sz w:val="20"/>
          <w:lang w:eastAsia="en-AU"/>
        </w:rPr>
        <w:t xml:space="preserve">.  </w:t>
      </w:r>
    </w:p>
    <w:p w:rsidR="00182B65" w:rsidRDefault="00A2027D" w:rsidP="00A2027D">
      <w:pPr>
        <w:pStyle w:val="DHheading2"/>
        <w:rPr>
          <w:b w:val="0"/>
          <w:sz w:val="20"/>
          <w:lang w:eastAsia="en-AU"/>
        </w:rPr>
      </w:pPr>
      <w:r>
        <w:rPr>
          <w:b w:val="0"/>
          <w:sz w:val="20"/>
          <w:lang w:eastAsia="en-AU"/>
        </w:rPr>
        <w:t>Notwithstanding</w:t>
      </w:r>
      <w:r w:rsidRPr="00DE6C0A">
        <w:rPr>
          <w:b w:val="0"/>
          <w:sz w:val="20"/>
          <w:lang w:eastAsia="en-AU"/>
        </w:rPr>
        <w:t xml:space="preserve"> </w:t>
      </w:r>
      <w:r w:rsidRPr="00A2027D">
        <w:rPr>
          <w:b w:val="0"/>
          <w:sz w:val="20"/>
          <w:lang w:eastAsia="en-AU"/>
        </w:rPr>
        <w:t xml:space="preserve">other regulatory requirements, regulation 62 makes it an offence to store or display any Schedule 3 poison in a manner that will promote the sale or draw undue attention to it. </w:t>
      </w:r>
    </w:p>
    <w:p w:rsidR="00A2027D" w:rsidRPr="00A2027D" w:rsidRDefault="00A2027D" w:rsidP="00A2027D">
      <w:pPr>
        <w:pStyle w:val="DHheading2"/>
        <w:rPr>
          <w:b w:val="0"/>
          <w:sz w:val="20"/>
          <w:lang w:eastAsia="en-AU"/>
        </w:rPr>
      </w:pPr>
      <w:r w:rsidRPr="00A2027D">
        <w:rPr>
          <w:b w:val="0"/>
          <w:sz w:val="20"/>
          <w:lang w:eastAsia="en-AU"/>
        </w:rPr>
        <w:t>Display material that promotes a price discount for multiple packs of a Schedule 3 poison might be considered</w:t>
      </w:r>
      <w:r w:rsidR="00182B65">
        <w:rPr>
          <w:b w:val="0"/>
          <w:sz w:val="20"/>
          <w:lang w:eastAsia="en-AU"/>
        </w:rPr>
        <w:t xml:space="preserve"> </w:t>
      </w:r>
      <w:r w:rsidRPr="00A2027D">
        <w:rPr>
          <w:b w:val="0"/>
          <w:sz w:val="20"/>
          <w:lang w:eastAsia="en-AU"/>
        </w:rPr>
        <w:t>unacceptable</w:t>
      </w:r>
      <w:r w:rsidR="00182B65">
        <w:rPr>
          <w:b w:val="0"/>
          <w:sz w:val="20"/>
          <w:lang w:eastAsia="en-AU"/>
        </w:rPr>
        <w:t>, unlawful</w:t>
      </w:r>
      <w:r w:rsidRPr="00A2027D">
        <w:rPr>
          <w:b w:val="0"/>
          <w:sz w:val="20"/>
          <w:lang w:eastAsia="en-AU"/>
        </w:rPr>
        <w:t xml:space="preserve"> </w:t>
      </w:r>
      <w:r w:rsidR="00182B65">
        <w:rPr>
          <w:b w:val="0"/>
          <w:sz w:val="20"/>
          <w:lang w:eastAsia="en-AU"/>
        </w:rPr>
        <w:t>or</w:t>
      </w:r>
      <w:r w:rsidRPr="00A2027D">
        <w:rPr>
          <w:b w:val="0"/>
          <w:sz w:val="20"/>
          <w:lang w:eastAsia="en-AU"/>
        </w:rPr>
        <w:t xml:space="preserve"> professionally irresponsible.</w:t>
      </w:r>
    </w:p>
    <w:p w:rsidR="00DE6C0A" w:rsidRPr="00C17F62" w:rsidRDefault="00DE6C0A" w:rsidP="00DE6C0A">
      <w:pPr>
        <w:pStyle w:val="DHheading2"/>
        <w:rPr>
          <w:b w:val="0"/>
          <w:bCs w:val="0"/>
          <w:color w:val="FF0000"/>
          <w:sz w:val="44"/>
        </w:rPr>
      </w:pPr>
      <w:r w:rsidRPr="00C17F62">
        <w:rPr>
          <w:b w:val="0"/>
          <w:bCs w:val="0"/>
          <w:color w:val="FF0000"/>
          <w:sz w:val="44"/>
        </w:rPr>
        <w:t>Contemporaneous notes</w:t>
      </w:r>
    </w:p>
    <w:p w:rsidR="00A2027D" w:rsidRPr="00A2027D" w:rsidRDefault="00A2027D" w:rsidP="00A2027D">
      <w:pPr>
        <w:pStyle w:val="DHheading2"/>
        <w:rPr>
          <w:b w:val="0"/>
          <w:sz w:val="20"/>
          <w:lang w:eastAsia="en-AU"/>
        </w:rPr>
      </w:pPr>
      <w:r>
        <w:rPr>
          <w:b w:val="0"/>
          <w:sz w:val="20"/>
          <w:lang w:eastAsia="en-AU"/>
        </w:rPr>
        <w:t>It</w:t>
      </w:r>
      <w:r w:rsidRPr="00DE6C0A">
        <w:rPr>
          <w:b w:val="0"/>
          <w:sz w:val="20"/>
          <w:lang w:eastAsia="en-AU"/>
        </w:rPr>
        <w:t xml:space="preserve"> </w:t>
      </w:r>
      <w:r w:rsidRPr="00A2027D">
        <w:rPr>
          <w:b w:val="0"/>
          <w:sz w:val="20"/>
          <w:lang w:eastAsia="en-AU"/>
        </w:rPr>
        <w:t>is strongly recommended that pharmacists make contemporaneous notes in the dispensing records, of any communications with prescribers or the authorities, to demonstrate compliance and to ensure that colleagues know whether notifications and communications have occurred - so that false assumptions are not made.</w:t>
      </w:r>
    </w:p>
    <w:p w:rsidR="00DE6C0A" w:rsidRPr="0059480E" w:rsidRDefault="00DE6C0A" w:rsidP="00DE6C0A">
      <w:pPr>
        <w:pStyle w:val="DHheading2"/>
      </w:pPr>
      <w:r w:rsidRPr="0059480E">
        <w:t>For further information</w:t>
      </w:r>
    </w:p>
    <w:p w:rsidR="00407EAB" w:rsidRPr="00020F57" w:rsidRDefault="00407EAB" w:rsidP="00407EAB">
      <w:pPr>
        <w:pStyle w:val="DHHeading3"/>
      </w:pPr>
      <w:r w:rsidRPr="00020F57">
        <w:t xml:space="preserve">Department of Health (DH)  </w:t>
      </w:r>
    </w:p>
    <w:p w:rsidR="00407EAB" w:rsidRPr="00020F57" w:rsidRDefault="00407EAB" w:rsidP="00407EAB">
      <w:pPr>
        <w:pStyle w:val="DHbodynospace"/>
      </w:pPr>
      <w:r w:rsidRPr="00020F57">
        <w:t xml:space="preserve">Drugs and Poisons Regulation, </w:t>
      </w:r>
    </w:p>
    <w:p w:rsidR="00407EAB" w:rsidRPr="00020F57" w:rsidRDefault="00407EAB" w:rsidP="00407EAB">
      <w:pPr>
        <w:pStyle w:val="DHbodynospace"/>
      </w:pPr>
      <w:r w:rsidRPr="00020F57">
        <w:t xml:space="preserve">GPO Box </w:t>
      </w:r>
      <w:r>
        <w:t>4541</w:t>
      </w:r>
    </w:p>
    <w:p w:rsidR="00407EAB" w:rsidRPr="00020F57" w:rsidRDefault="00407EAB" w:rsidP="00407EAB">
      <w:pPr>
        <w:pStyle w:val="DHbodynospace"/>
      </w:pPr>
      <w:r w:rsidRPr="00020F57">
        <w:t>Melbourne 3001</w:t>
      </w:r>
    </w:p>
    <w:p w:rsidR="00407EAB" w:rsidRPr="00020F57" w:rsidRDefault="00407EAB" w:rsidP="00407EAB">
      <w:pPr>
        <w:pStyle w:val="DHbodynospace"/>
      </w:pPr>
    </w:p>
    <w:p w:rsidR="00407EAB" w:rsidRPr="00020F57" w:rsidRDefault="00407EAB" w:rsidP="00407EAB">
      <w:pPr>
        <w:pStyle w:val="DHbodynospace"/>
      </w:pPr>
      <w:r w:rsidRPr="00020F57">
        <w:t>Tel: 1300 364 545</w:t>
      </w:r>
      <w:r w:rsidRPr="00020F57">
        <w:tab/>
        <w:t xml:space="preserve"> </w:t>
      </w:r>
    </w:p>
    <w:p w:rsidR="00407EAB" w:rsidRDefault="00407EAB" w:rsidP="00407EAB">
      <w:pPr>
        <w:pStyle w:val="DHbodynospace"/>
      </w:pPr>
      <w:r w:rsidRPr="00020F57">
        <w:t>Fax: 1300 360 830</w:t>
      </w:r>
    </w:p>
    <w:p w:rsidR="00407EAB" w:rsidRPr="00020F57" w:rsidRDefault="00407EAB" w:rsidP="00407EAB">
      <w:pPr>
        <w:pStyle w:val="DHbodynospace"/>
      </w:pPr>
    </w:p>
    <w:p w:rsidR="00407EAB" w:rsidRDefault="00407EAB" w:rsidP="00407EAB">
      <w:pPr>
        <w:pStyle w:val="DHbodynospace"/>
      </w:pPr>
      <w:r w:rsidRPr="005458FF">
        <w:t xml:space="preserve">Email: </w:t>
      </w:r>
      <w:r>
        <w:tab/>
      </w:r>
      <w:hyperlink r:id="rId12" w:history="1">
        <w:r w:rsidRPr="005458FF">
          <w:rPr>
            <w:rStyle w:val="Hyperlink"/>
            <w:rFonts w:ascii="Arial" w:hAnsi="Arial"/>
            <w:b/>
          </w:rPr>
          <w:t>dpcs@health.vic.gov.au</w:t>
        </w:r>
      </w:hyperlink>
    </w:p>
    <w:p w:rsidR="00407EAB" w:rsidRPr="00090A38" w:rsidRDefault="00407EAB" w:rsidP="00407EAB">
      <w:pPr>
        <w:pStyle w:val="DHbody"/>
      </w:pPr>
      <w:r w:rsidRPr="005458FF">
        <w:t xml:space="preserve">Web: </w:t>
      </w:r>
      <w:r>
        <w:tab/>
      </w:r>
      <w:hyperlink r:id="rId13" w:history="1">
        <w:r w:rsidRPr="005458FF">
          <w:rPr>
            <w:rStyle w:val="Hyperlink"/>
            <w:rFonts w:ascii="Arial" w:hAnsi="Arial"/>
            <w:b/>
            <w:szCs w:val="19"/>
          </w:rPr>
          <w:t>www.health.vic.gov.au/dpcs</w:t>
        </w:r>
      </w:hyperlink>
    </w:p>
    <w:p w:rsidR="00653C4C" w:rsidRDefault="00653C4C">
      <w:pPr>
        <w:spacing w:after="200" w:line="276" w:lineRule="auto"/>
        <w:rPr>
          <w:rFonts w:ascii="Arial" w:eastAsia="Times" w:hAnsi="Arial"/>
        </w:rPr>
      </w:pPr>
      <w:r>
        <w:br w:type="page"/>
      </w:r>
    </w:p>
    <w:p w:rsidR="00407EAB" w:rsidRDefault="00407EAB" w:rsidP="00407EAB">
      <w:pPr>
        <w:pStyle w:val="DHbodynospace"/>
        <w:jc w:val="right"/>
      </w:pPr>
      <w:bookmarkStart w:id="0" w:name="_GoBack"/>
      <w:bookmarkEnd w:id="0"/>
    </w:p>
    <w:tbl>
      <w:tblPr>
        <w:tblStyle w:val="TableGrid"/>
        <w:tblW w:w="0" w:type="auto"/>
        <w:tblLook w:val="04A0" w:firstRow="1" w:lastRow="0" w:firstColumn="1" w:lastColumn="0" w:noHBand="0" w:noVBand="1"/>
      </w:tblPr>
      <w:tblGrid>
        <w:gridCol w:w="10137"/>
      </w:tblGrid>
      <w:tr w:rsidR="00F10D45" w:rsidTr="00F10D45">
        <w:tc>
          <w:tcPr>
            <w:tcW w:w="10137" w:type="dxa"/>
          </w:tcPr>
          <w:p w:rsidR="00F10D45" w:rsidRPr="004A6834" w:rsidRDefault="00F10D45" w:rsidP="00F10D45">
            <w:pPr>
              <w:autoSpaceDE w:val="0"/>
              <w:autoSpaceDN w:val="0"/>
              <w:adjustRightInd w:val="0"/>
              <w:rPr>
                <w:rFonts w:ascii="Arial" w:hAnsi="Arial" w:cs="Arial"/>
              </w:rPr>
            </w:pPr>
            <w:r w:rsidRPr="004A6834">
              <w:rPr>
                <w:rFonts w:ascii="Arial" w:hAnsi="Arial" w:cs="Arial"/>
              </w:rPr>
              <w:t>Authorised and published by the Victorian Government, 50 Lonsdale St, Melbourne.</w:t>
            </w:r>
          </w:p>
          <w:p w:rsidR="00F10D45" w:rsidRPr="004A6834" w:rsidRDefault="00F10D45" w:rsidP="00F10D45">
            <w:pPr>
              <w:pStyle w:val="DHbodynospace"/>
              <w:rPr>
                <w:rFonts w:cs="Arial"/>
              </w:rPr>
            </w:pPr>
            <w:r w:rsidRPr="004A6834">
              <w:rPr>
                <w:rFonts w:cs="Arial"/>
              </w:rPr>
              <w:t xml:space="preserve">To receive this publication in an accessible format phone Drugs and Poisons Regulation on 1300 364 545 or forward an Email to </w:t>
            </w:r>
            <w:hyperlink r:id="rId14" w:history="1">
              <w:r w:rsidR="00317D1B" w:rsidRPr="004A6834">
                <w:rPr>
                  <w:rStyle w:val="Hyperlink"/>
                  <w:rFonts w:ascii="Arial" w:hAnsi="Arial" w:cs="Arial"/>
                </w:rPr>
                <w:t>dpcs@health.vic.gov.au</w:t>
              </w:r>
            </w:hyperlink>
          </w:p>
          <w:p w:rsidR="00317D1B" w:rsidRDefault="00653C4C" w:rsidP="00317D1B">
            <w:pPr>
              <w:pStyle w:val="DHbodynospace"/>
              <w:jc w:val="right"/>
            </w:pPr>
            <w:r>
              <w:t>April</w:t>
            </w:r>
            <w:r w:rsidR="00317D1B" w:rsidRPr="004A6834">
              <w:t xml:space="preserve"> 2014</w:t>
            </w:r>
          </w:p>
        </w:tc>
      </w:tr>
    </w:tbl>
    <w:p w:rsidR="00407EAB" w:rsidRDefault="00407EAB" w:rsidP="00407EAB">
      <w:pPr>
        <w:pStyle w:val="DHbodynospace"/>
        <w:jc w:val="right"/>
      </w:pPr>
    </w:p>
    <w:p w:rsidR="00B2184E" w:rsidRDefault="00B2184E" w:rsidP="00B2184E">
      <w:pPr>
        <w:pStyle w:val="DHbodynospace"/>
      </w:pPr>
    </w:p>
    <w:sectPr w:rsidR="00B2184E" w:rsidSect="00FC154F">
      <w:type w:val="continuous"/>
      <w:pgSz w:w="11906" w:h="16838"/>
      <w:pgMar w:top="-1264" w:right="851" w:bottom="1418"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46" w:rsidRDefault="00157746">
      <w:r>
        <w:separator/>
      </w:r>
    </w:p>
  </w:endnote>
  <w:endnote w:type="continuationSeparator" w:id="0">
    <w:p w:rsidR="00157746" w:rsidRDefault="0015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4F" w:rsidRPr="005A39EC" w:rsidRDefault="00BB15E1" w:rsidP="00FC154F">
    <w:pPr>
      <w:pStyle w:val="Footer"/>
      <w:tabs>
        <w:tab w:val="clear" w:pos="4153"/>
        <w:tab w:val="clear" w:pos="8306"/>
        <w:tab w:val="right" w:pos="9955"/>
      </w:tabs>
      <w:rPr>
        <w:color w:val="808080"/>
      </w:rPr>
    </w:pPr>
    <w:r>
      <w:rPr>
        <w:rFonts w:ascii="Arial" w:hAnsi="Arial" w:cs="Arial"/>
        <w:color w:val="808080"/>
      </w:rPr>
      <w:t xml:space="preserve">Page </w:t>
    </w:r>
    <w:r w:rsidRPr="005A39EC">
      <w:rPr>
        <w:rFonts w:ascii="Arial" w:hAnsi="Arial" w:cs="Arial"/>
        <w:color w:val="808080"/>
      </w:rPr>
      <w:fldChar w:fldCharType="begin"/>
    </w:r>
    <w:r w:rsidRPr="005A39EC">
      <w:rPr>
        <w:rFonts w:ascii="Arial" w:hAnsi="Arial" w:cs="Arial"/>
        <w:color w:val="808080"/>
      </w:rPr>
      <w:instrText xml:space="preserve"> PAGE </w:instrText>
    </w:r>
    <w:r w:rsidRPr="005A39EC">
      <w:rPr>
        <w:rFonts w:ascii="Arial" w:hAnsi="Arial" w:cs="Arial"/>
        <w:color w:val="808080"/>
      </w:rPr>
      <w:fldChar w:fldCharType="separate"/>
    </w:r>
    <w:r w:rsidR="00653C4C">
      <w:rPr>
        <w:rFonts w:ascii="Arial" w:hAnsi="Arial" w:cs="Arial"/>
        <w:noProof/>
        <w:color w:val="808080"/>
      </w:rPr>
      <w:t>2</w:t>
    </w:r>
    <w:r w:rsidRPr="005A39EC">
      <w:rPr>
        <w:rFonts w:ascii="Arial" w:hAnsi="Arial" w:cs="Arial"/>
        <w:color w:val="808080"/>
      </w:rPr>
      <w:fldChar w:fldCharType="end"/>
    </w:r>
    <w:r>
      <w:rPr>
        <w:rFonts w:ascii="Arial" w:hAnsi="Arial" w:cs="Arial"/>
        <w:color w:val="808080"/>
      </w:rPr>
      <w:tab/>
    </w:r>
    <w:r w:rsidRPr="008732BC">
      <w:rPr>
        <w:rFonts w:ascii="Arial" w:hAnsi="Arial" w:cs="Arial"/>
        <w:color w:val="808080"/>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4F" w:rsidRPr="008732BC" w:rsidRDefault="00BB15E1" w:rsidP="00FC154F">
    <w:pPr>
      <w:pStyle w:val="Footer"/>
      <w:tabs>
        <w:tab w:val="clear" w:pos="4153"/>
        <w:tab w:val="clear" w:pos="8306"/>
      </w:tabs>
      <w:rPr>
        <w:color w:val="808080"/>
      </w:rPr>
    </w:pPr>
    <w:r>
      <w:rPr>
        <w:noProof/>
        <w:lang w:eastAsia="en-AU"/>
      </w:rPr>
      <w:drawing>
        <wp:inline distT="0" distB="0" distL="0" distR="0">
          <wp:extent cx="695325" cy="400050"/>
          <wp:effectExtent l="0" t="0" r="9525" b="0"/>
          <wp:docPr id="4" name="Picture 4" descr="Stand%20Alone%20Insignia%20PMS%2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20Alone%20Insignia%20PMS%20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r>
      <w:t xml:space="preserve">                                                                                              </w:t>
    </w:r>
    <w:r w:rsidRPr="00395A60">
      <w:rPr>
        <w:rFonts w:ascii="Arial" w:hAnsi="Arial" w:cs="Arial"/>
        <w:b/>
        <w:color w:val="808080"/>
      </w:rPr>
      <w:t>.</w:t>
    </w:r>
    <w:r>
      <w:rPr>
        <w:rFonts w:ascii="Arial" w:hAnsi="Arial" w:cs="Arial"/>
        <w:color w:val="808080"/>
      </w:rPr>
      <w:tab/>
    </w:r>
    <w:r w:rsidRPr="008732BC">
      <w:rPr>
        <w:rFonts w:ascii="Arial" w:hAnsi="Arial" w:cs="Arial"/>
        <w:color w:val="808080"/>
      </w:rPr>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46" w:rsidRDefault="00157746">
      <w:r>
        <w:separator/>
      </w:r>
    </w:p>
  </w:footnote>
  <w:footnote w:type="continuationSeparator" w:id="0">
    <w:p w:rsidR="00157746" w:rsidRDefault="00157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6EF"/>
    <w:multiLevelType w:val="hybridMultilevel"/>
    <w:tmpl w:val="976E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941A37"/>
    <w:multiLevelType w:val="hybridMultilevel"/>
    <w:tmpl w:val="A704B8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1F6780"/>
    <w:multiLevelType w:val="hybridMultilevel"/>
    <w:tmpl w:val="A78E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4A261E"/>
    <w:multiLevelType w:val="hybridMultilevel"/>
    <w:tmpl w:val="18745D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9B83E5B"/>
    <w:multiLevelType w:val="hybridMultilevel"/>
    <w:tmpl w:val="1F62786C"/>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6">
    <w:nsid w:val="6A1F632D"/>
    <w:multiLevelType w:val="hybridMultilevel"/>
    <w:tmpl w:val="05F60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1E72DE"/>
    <w:multiLevelType w:val="hybridMultilevel"/>
    <w:tmpl w:val="FADA1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FC68FD"/>
    <w:multiLevelType w:val="hybridMultilevel"/>
    <w:tmpl w:val="F850C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17798B"/>
    <w:multiLevelType w:val="hybridMultilevel"/>
    <w:tmpl w:val="ACE414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6"/>
  </w:num>
  <w:num w:numId="6">
    <w:abstractNumId w:val="5"/>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E1"/>
    <w:rsid w:val="00020ADB"/>
    <w:rsid w:val="00030FED"/>
    <w:rsid w:val="00052CB3"/>
    <w:rsid w:val="00090AF9"/>
    <w:rsid w:val="00095634"/>
    <w:rsid w:val="000B4600"/>
    <w:rsid w:val="000C1183"/>
    <w:rsid w:val="000C22E5"/>
    <w:rsid w:val="000C5B2A"/>
    <w:rsid w:val="000E2453"/>
    <w:rsid w:val="0011575C"/>
    <w:rsid w:val="00157746"/>
    <w:rsid w:val="00182B65"/>
    <w:rsid w:val="001940E4"/>
    <w:rsid w:val="001B6FF6"/>
    <w:rsid w:val="001C297C"/>
    <w:rsid w:val="00235F03"/>
    <w:rsid w:val="0027089C"/>
    <w:rsid w:val="0029198D"/>
    <w:rsid w:val="002B32B9"/>
    <w:rsid w:val="002B76B1"/>
    <w:rsid w:val="002D0958"/>
    <w:rsid w:val="002E62CA"/>
    <w:rsid w:val="002F52DE"/>
    <w:rsid w:val="00317D1B"/>
    <w:rsid w:val="00322E93"/>
    <w:rsid w:val="003671B9"/>
    <w:rsid w:val="00382699"/>
    <w:rsid w:val="00383958"/>
    <w:rsid w:val="003A3AB8"/>
    <w:rsid w:val="003D0946"/>
    <w:rsid w:val="00407EAB"/>
    <w:rsid w:val="0043310D"/>
    <w:rsid w:val="0044118F"/>
    <w:rsid w:val="004A6834"/>
    <w:rsid w:val="006270B7"/>
    <w:rsid w:val="00653C4C"/>
    <w:rsid w:val="006569A6"/>
    <w:rsid w:val="00663DB6"/>
    <w:rsid w:val="00691437"/>
    <w:rsid w:val="0069283F"/>
    <w:rsid w:val="006A6DED"/>
    <w:rsid w:val="006C23CF"/>
    <w:rsid w:val="006D4C65"/>
    <w:rsid w:val="006E33F7"/>
    <w:rsid w:val="00797C97"/>
    <w:rsid w:val="008126AD"/>
    <w:rsid w:val="00832DB7"/>
    <w:rsid w:val="008A3261"/>
    <w:rsid w:val="008A770E"/>
    <w:rsid w:val="008C13E8"/>
    <w:rsid w:val="008C53CE"/>
    <w:rsid w:val="008C5A2E"/>
    <w:rsid w:val="0090748B"/>
    <w:rsid w:val="009B4CAF"/>
    <w:rsid w:val="00A2027D"/>
    <w:rsid w:val="00A24BD7"/>
    <w:rsid w:val="00A4176A"/>
    <w:rsid w:val="00AD0F5C"/>
    <w:rsid w:val="00AF044C"/>
    <w:rsid w:val="00B2184E"/>
    <w:rsid w:val="00BA7321"/>
    <w:rsid w:val="00BB15E1"/>
    <w:rsid w:val="00C44D7A"/>
    <w:rsid w:val="00C6511E"/>
    <w:rsid w:val="00C950D2"/>
    <w:rsid w:val="00CA008B"/>
    <w:rsid w:val="00D52807"/>
    <w:rsid w:val="00D809F9"/>
    <w:rsid w:val="00DD6CC2"/>
    <w:rsid w:val="00DE6C0A"/>
    <w:rsid w:val="00DF7FEB"/>
    <w:rsid w:val="00E04E90"/>
    <w:rsid w:val="00E927A3"/>
    <w:rsid w:val="00F10D45"/>
    <w:rsid w:val="00F96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90"/>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15E1"/>
    <w:pPr>
      <w:tabs>
        <w:tab w:val="center" w:pos="4153"/>
        <w:tab w:val="right" w:pos="8306"/>
      </w:tabs>
    </w:pPr>
  </w:style>
  <w:style w:type="character" w:customStyle="1" w:styleId="FooterChar">
    <w:name w:val="Footer Char"/>
    <w:basedOn w:val="DefaultParagraphFont"/>
    <w:link w:val="Footer"/>
    <w:rsid w:val="00BB15E1"/>
    <w:rPr>
      <w:rFonts w:ascii="Verdana" w:eastAsia="Times New Roman" w:hAnsi="Verdana" w:cs="Times New Roman"/>
      <w:sz w:val="20"/>
      <w:szCs w:val="20"/>
    </w:rPr>
  </w:style>
  <w:style w:type="character" w:styleId="Hyperlink">
    <w:name w:val="Hyperlink"/>
    <w:rsid w:val="00BB15E1"/>
    <w:rPr>
      <w:rFonts w:ascii="Verdana" w:hAnsi="Verdana"/>
      <w:color w:val="0000FF"/>
      <w:u w:val="single"/>
    </w:rPr>
  </w:style>
  <w:style w:type="paragraph" w:customStyle="1" w:styleId="DHbody">
    <w:name w:val="DH body"/>
    <w:link w:val="DHbodyChar"/>
    <w:rsid w:val="00BB15E1"/>
    <w:pPr>
      <w:spacing w:after="120" w:line="270" w:lineRule="exact"/>
    </w:pPr>
    <w:rPr>
      <w:rFonts w:ascii="Arial" w:eastAsia="Times" w:hAnsi="Arial" w:cs="Times New Roman"/>
      <w:sz w:val="20"/>
      <w:szCs w:val="20"/>
    </w:rPr>
  </w:style>
  <w:style w:type="paragraph" w:customStyle="1" w:styleId="DHbodynospace">
    <w:name w:val="DH body no space"/>
    <w:basedOn w:val="DHbody"/>
    <w:rsid w:val="00BB15E1"/>
    <w:pPr>
      <w:spacing w:after="0"/>
    </w:pPr>
  </w:style>
  <w:style w:type="paragraph" w:customStyle="1" w:styleId="DHbullet">
    <w:name w:val="DH bullet"/>
    <w:basedOn w:val="DHbody"/>
    <w:rsid w:val="00BB15E1"/>
    <w:pPr>
      <w:tabs>
        <w:tab w:val="num" w:pos="287"/>
        <w:tab w:val="num" w:pos="360"/>
      </w:tabs>
      <w:ind w:left="289" w:hanging="289"/>
    </w:pPr>
  </w:style>
  <w:style w:type="paragraph" w:customStyle="1" w:styleId="DHheading2">
    <w:name w:val="DH heading 2"/>
    <w:next w:val="DHbody"/>
    <w:link w:val="DHheading2Char"/>
    <w:rsid w:val="00BB15E1"/>
    <w:pPr>
      <w:spacing w:before="240" w:after="90" w:line="320" w:lineRule="exact"/>
    </w:pPr>
    <w:rPr>
      <w:rFonts w:ascii="Arial" w:eastAsia="Times New Roman" w:hAnsi="Arial" w:cs="Times New Roman"/>
      <w:b/>
      <w:bCs/>
      <w:sz w:val="28"/>
      <w:szCs w:val="24"/>
    </w:rPr>
  </w:style>
  <w:style w:type="paragraph" w:customStyle="1" w:styleId="DHHeading3">
    <w:name w:val="DH Heading 3"/>
    <w:basedOn w:val="Normal"/>
    <w:link w:val="DHHeading3Char"/>
    <w:rsid w:val="00BB15E1"/>
    <w:pPr>
      <w:spacing w:before="280" w:after="120" w:line="270" w:lineRule="exact"/>
    </w:pPr>
    <w:rPr>
      <w:rFonts w:ascii="Arial" w:hAnsi="Arial"/>
      <w:b/>
      <w:bCs/>
      <w:sz w:val="24"/>
      <w:szCs w:val="24"/>
      <w:lang w:val="it-IT"/>
    </w:rPr>
  </w:style>
  <w:style w:type="paragraph" w:customStyle="1" w:styleId="DHSubheading">
    <w:name w:val="DH Subheading"/>
    <w:basedOn w:val="Normal"/>
    <w:rsid w:val="00BB15E1"/>
    <w:pPr>
      <w:spacing w:before="240" w:after="120"/>
    </w:pPr>
    <w:rPr>
      <w:rFonts w:ascii="Arial" w:hAnsi="Arial"/>
      <w:bCs/>
      <w:color w:val="FFFFFF"/>
      <w:sz w:val="28"/>
      <w:szCs w:val="28"/>
    </w:rPr>
  </w:style>
  <w:style w:type="paragraph" w:customStyle="1" w:styleId="DHMainheading">
    <w:name w:val="DH Main heading"/>
    <w:basedOn w:val="Normal"/>
    <w:rsid w:val="00BB15E1"/>
    <w:pPr>
      <w:spacing w:before="360"/>
    </w:pPr>
    <w:rPr>
      <w:rFonts w:ascii="Arial" w:hAnsi="Arial"/>
      <w:bCs/>
      <w:color w:val="FFFFFF"/>
      <w:sz w:val="44"/>
      <w:szCs w:val="44"/>
    </w:rPr>
  </w:style>
  <w:style w:type="character" w:customStyle="1" w:styleId="DHheading2Char">
    <w:name w:val="DH heading 2 Char"/>
    <w:link w:val="DHheading2"/>
    <w:rsid w:val="00BB15E1"/>
    <w:rPr>
      <w:rFonts w:ascii="Arial" w:eastAsia="Times New Roman" w:hAnsi="Arial" w:cs="Times New Roman"/>
      <w:b/>
      <w:bCs/>
      <w:sz w:val="28"/>
      <w:szCs w:val="24"/>
    </w:rPr>
  </w:style>
  <w:style w:type="character" w:customStyle="1" w:styleId="DHHeading3Char">
    <w:name w:val="DH Heading 3 Char"/>
    <w:link w:val="DHHeading3"/>
    <w:rsid w:val="00BB15E1"/>
    <w:rPr>
      <w:rFonts w:ascii="Arial" w:eastAsia="Times New Roman" w:hAnsi="Arial" w:cs="Times New Roman"/>
      <w:b/>
      <w:bCs/>
      <w:sz w:val="24"/>
      <w:szCs w:val="24"/>
      <w:lang w:val="it-IT"/>
    </w:rPr>
  </w:style>
  <w:style w:type="character" w:customStyle="1" w:styleId="DHbodyChar">
    <w:name w:val="DH body Char"/>
    <w:link w:val="DHbody"/>
    <w:rsid w:val="00BB15E1"/>
    <w:rPr>
      <w:rFonts w:ascii="Arial" w:eastAsia="Times" w:hAnsi="Arial" w:cs="Times New Roman"/>
      <w:sz w:val="20"/>
      <w:szCs w:val="20"/>
    </w:rPr>
  </w:style>
  <w:style w:type="paragraph" w:styleId="BalloonText">
    <w:name w:val="Balloon Text"/>
    <w:basedOn w:val="Normal"/>
    <w:link w:val="BalloonTextChar"/>
    <w:uiPriority w:val="99"/>
    <w:semiHidden/>
    <w:unhideWhenUsed/>
    <w:rsid w:val="00BB15E1"/>
    <w:rPr>
      <w:rFonts w:ascii="Tahoma" w:hAnsi="Tahoma" w:cs="Tahoma"/>
      <w:sz w:val="16"/>
      <w:szCs w:val="16"/>
    </w:rPr>
  </w:style>
  <w:style w:type="character" w:customStyle="1" w:styleId="BalloonTextChar">
    <w:name w:val="Balloon Text Char"/>
    <w:basedOn w:val="DefaultParagraphFont"/>
    <w:link w:val="BalloonText"/>
    <w:uiPriority w:val="99"/>
    <w:semiHidden/>
    <w:rsid w:val="00BB15E1"/>
    <w:rPr>
      <w:rFonts w:ascii="Tahoma" w:eastAsia="Times New Roman" w:hAnsi="Tahoma" w:cs="Tahoma"/>
      <w:sz w:val="16"/>
      <w:szCs w:val="16"/>
    </w:rPr>
  </w:style>
  <w:style w:type="paragraph" w:customStyle="1" w:styleId="DHheading4">
    <w:name w:val="DH heading 4"/>
    <w:next w:val="DHbody"/>
    <w:link w:val="DHheading4Char"/>
    <w:rsid w:val="00407EAB"/>
    <w:pPr>
      <w:spacing w:before="120" w:after="120" w:line="240" w:lineRule="exact"/>
    </w:pPr>
    <w:rPr>
      <w:rFonts w:ascii="Arial" w:eastAsia="Times New Roman" w:hAnsi="Arial" w:cs="Times New Roman"/>
      <w:b/>
      <w:bCs/>
      <w:sz w:val="20"/>
      <w:szCs w:val="20"/>
    </w:rPr>
  </w:style>
  <w:style w:type="character" w:customStyle="1" w:styleId="DHheading4Char">
    <w:name w:val="DH heading 4 Char"/>
    <w:basedOn w:val="DefaultParagraphFont"/>
    <w:link w:val="DHheading4"/>
    <w:rsid w:val="00407EAB"/>
    <w:rPr>
      <w:rFonts w:ascii="Arial" w:eastAsia="Times New Roman" w:hAnsi="Arial" w:cs="Times New Roman"/>
      <w:b/>
      <w:bCs/>
      <w:sz w:val="20"/>
      <w:szCs w:val="20"/>
    </w:rPr>
  </w:style>
  <w:style w:type="paragraph" w:styleId="BodyText">
    <w:name w:val="Body Text"/>
    <w:basedOn w:val="Normal"/>
    <w:link w:val="BodyTextChar"/>
    <w:rsid w:val="00691437"/>
    <w:rPr>
      <w:sz w:val="18"/>
    </w:rPr>
  </w:style>
  <w:style w:type="character" w:customStyle="1" w:styleId="BodyTextChar">
    <w:name w:val="Body Text Char"/>
    <w:basedOn w:val="DefaultParagraphFont"/>
    <w:link w:val="BodyText"/>
    <w:rsid w:val="00691437"/>
    <w:rPr>
      <w:rFonts w:ascii="Verdana" w:eastAsia="Times New Roman" w:hAnsi="Verdana" w:cs="Times New Roman"/>
      <w:sz w:val="18"/>
      <w:szCs w:val="20"/>
    </w:rPr>
  </w:style>
  <w:style w:type="table" w:styleId="TableGrid">
    <w:name w:val="Table Grid"/>
    <w:basedOn w:val="TableNormal"/>
    <w:uiPriority w:val="59"/>
    <w:rsid w:val="00F10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DE6C0A"/>
    <w:rPr>
      <w:rFonts w:ascii="Arial" w:hAnsi="Arial"/>
      <w:sz w:val="20"/>
      <w:vertAlign w:val="superscript"/>
    </w:rPr>
  </w:style>
  <w:style w:type="paragraph" w:styleId="NoSpacing">
    <w:name w:val="No Spacing"/>
    <w:uiPriority w:val="1"/>
    <w:qFormat/>
    <w:rsid w:val="008126AD"/>
    <w:pPr>
      <w:spacing w:after="0" w:line="240" w:lineRule="auto"/>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90"/>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15E1"/>
    <w:pPr>
      <w:tabs>
        <w:tab w:val="center" w:pos="4153"/>
        <w:tab w:val="right" w:pos="8306"/>
      </w:tabs>
    </w:pPr>
  </w:style>
  <w:style w:type="character" w:customStyle="1" w:styleId="FooterChar">
    <w:name w:val="Footer Char"/>
    <w:basedOn w:val="DefaultParagraphFont"/>
    <w:link w:val="Footer"/>
    <w:rsid w:val="00BB15E1"/>
    <w:rPr>
      <w:rFonts w:ascii="Verdana" w:eastAsia="Times New Roman" w:hAnsi="Verdana" w:cs="Times New Roman"/>
      <w:sz w:val="20"/>
      <w:szCs w:val="20"/>
    </w:rPr>
  </w:style>
  <w:style w:type="character" w:styleId="Hyperlink">
    <w:name w:val="Hyperlink"/>
    <w:rsid w:val="00BB15E1"/>
    <w:rPr>
      <w:rFonts w:ascii="Verdana" w:hAnsi="Verdana"/>
      <w:color w:val="0000FF"/>
      <w:u w:val="single"/>
    </w:rPr>
  </w:style>
  <w:style w:type="paragraph" w:customStyle="1" w:styleId="DHbody">
    <w:name w:val="DH body"/>
    <w:link w:val="DHbodyChar"/>
    <w:rsid w:val="00BB15E1"/>
    <w:pPr>
      <w:spacing w:after="120" w:line="270" w:lineRule="exact"/>
    </w:pPr>
    <w:rPr>
      <w:rFonts w:ascii="Arial" w:eastAsia="Times" w:hAnsi="Arial" w:cs="Times New Roman"/>
      <w:sz w:val="20"/>
      <w:szCs w:val="20"/>
    </w:rPr>
  </w:style>
  <w:style w:type="paragraph" w:customStyle="1" w:styleId="DHbodynospace">
    <w:name w:val="DH body no space"/>
    <w:basedOn w:val="DHbody"/>
    <w:rsid w:val="00BB15E1"/>
    <w:pPr>
      <w:spacing w:after="0"/>
    </w:pPr>
  </w:style>
  <w:style w:type="paragraph" w:customStyle="1" w:styleId="DHbullet">
    <w:name w:val="DH bullet"/>
    <w:basedOn w:val="DHbody"/>
    <w:rsid w:val="00BB15E1"/>
    <w:pPr>
      <w:tabs>
        <w:tab w:val="num" w:pos="287"/>
        <w:tab w:val="num" w:pos="360"/>
      </w:tabs>
      <w:ind w:left="289" w:hanging="289"/>
    </w:pPr>
  </w:style>
  <w:style w:type="paragraph" w:customStyle="1" w:styleId="DHheading2">
    <w:name w:val="DH heading 2"/>
    <w:next w:val="DHbody"/>
    <w:link w:val="DHheading2Char"/>
    <w:rsid w:val="00BB15E1"/>
    <w:pPr>
      <w:spacing w:before="240" w:after="90" w:line="320" w:lineRule="exact"/>
    </w:pPr>
    <w:rPr>
      <w:rFonts w:ascii="Arial" w:eastAsia="Times New Roman" w:hAnsi="Arial" w:cs="Times New Roman"/>
      <w:b/>
      <w:bCs/>
      <w:sz w:val="28"/>
      <w:szCs w:val="24"/>
    </w:rPr>
  </w:style>
  <w:style w:type="paragraph" w:customStyle="1" w:styleId="DHHeading3">
    <w:name w:val="DH Heading 3"/>
    <w:basedOn w:val="Normal"/>
    <w:link w:val="DHHeading3Char"/>
    <w:rsid w:val="00BB15E1"/>
    <w:pPr>
      <w:spacing w:before="280" w:after="120" w:line="270" w:lineRule="exact"/>
    </w:pPr>
    <w:rPr>
      <w:rFonts w:ascii="Arial" w:hAnsi="Arial"/>
      <w:b/>
      <w:bCs/>
      <w:sz w:val="24"/>
      <w:szCs w:val="24"/>
      <w:lang w:val="it-IT"/>
    </w:rPr>
  </w:style>
  <w:style w:type="paragraph" w:customStyle="1" w:styleId="DHSubheading">
    <w:name w:val="DH Subheading"/>
    <w:basedOn w:val="Normal"/>
    <w:rsid w:val="00BB15E1"/>
    <w:pPr>
      <w:spacing w:before="240" w:after="120"/>
    </w:pPr>
    <w:rPr>
      <w:rFonts w:ascii="Arial" w:hAnsi="Arial"/>
      <w:bCs/>
      <w:color w:val="FFFFFF"/>
      <w:sz w:val="28"/>
      <w:szCs w:val="28"/>
    </w:rPr>
  </w:style>
  <w:style w:type="paragraph" w:customStyle="1" w:styleId="DHMainheading">
    <w:name w:val="DH Main heading"/>
    <w:basedOn w:val="Normal"/>
    <w:rsid w:val="00BB15E1"/>
    <w:pPr>
      <w:spacing w:before="360"/>
    </w:pPr>
    <w:rPr>
      <w:rFonts w:ascii="Arial" w:hAnsi="Arial"/>
      <w:bCs/>
      <w:color w:val="FFFFFF"/>
      <w:sz w:val="44"/>
      <w:szCs w:val="44"/>
    </w:rPr>
  </w:style>
  <w:style w:type="character" w:customStyle="1" w:styleId="DHheading2Char">
    <w:name w:val="DH heading 2 Char"/>
    <w:link w:val="DHheading2"/>
    <w:rsid w:val="00BB15E1"/>
    <w:rPr>
      <w:rFonts w:ascii="Arial" w:eastAsia="Times New Roman" w:hAnsi="Arial" w:cs="Times New Roman"/>
      <w:b/>
      <w:bCs/>
      <w:sz w:val="28"/>
      <w:szCs w:val="24"/>
    </w:rPr>
  </w:style>
  <w:style w:type="character" w:customStyle="1" w:styleId="DHHeading3Char">
    <w:name w:val="DH Heading 3 Char"/>
    <w:link w:val="DHHeading3"/>
    <w:rsid w:val="00BB15E1"/>
    <w:rPr>
      <w:rFonts w:ascii="Arial" w:eastAsia="Times New Roman" w:hAnsi="Arial" w:cs="Times New Roman"/>
      <w:b/>
      <w:bCs/>
      <w:sz w:val="24"/>
      <w:szCs w:val="24"/>
      <w:lang w:val="it-IT"/>
    </w:rPr>
  </w:style>
  <w:style w:type="character" w:customStyle="1" w:styleId="DHbodyChar">
    <w:name w:val="DH body Char"/>
    <w:link w:val="DHbody"/>
    <w:rsid w:val="00BB15E1"/>
    <w:rPr>
      <w:rFonts w:ascii="Arial" w:eastAsia="Times" w:hAnsi="Arial" w:cs="Times New Roman"/>
      <w:sz w:val="20"/>
      <w:szCs w:val="20"/>
    </w:rPr>
  </w:style>
  <w:style w:type="paragraph" w:styleId="BalloonText">
    <w:name w:val="Balloon Text"/>
    <w:basedOn w:val="Normal"/>
    <w:link w:val="BalloonTextChar"/>
    <w:uiPriority w:val="99"/>
    <w:semiHidden/>
    <w:unhideWhenUsed/>
    <w:rsid w:val="00BB15E1"/>
    <w:rPr>
      <w:rFonts w:ascii="Tahoma" w:hAnsi="Tahoma" w:cs="Tahoma"/>
      <w:sz w:val="16"/>
      <w:szCs w:val="16"/>
    </w:rPr>
  </w:style>
  <w:style w:type="character" w:customStyle="1" w:styleId="BalloonTextChar">
    <w:name w:val="Balloon Text Char"/>
    <w:basedOn w:val="DefaultParagraphFont"/>
    <w:link w:val="BalloonText"/>
    <w:uiPriority w:val="99"/>
    <w:semiHidden/>
    <w:rsid w:val="00BB15E1"/>
    <w:rPr>
      <w:rFonts w:ascii="Tahoma" w:eastAsia="Times New Roman" w:hAnsi="Tahoma" w:cs="Tahoma"/>
      <w:sz w:val="16"/>
      <w:szCs w:val="16"/>
    </w:rPr>
  </w:style>
  <w:style w:type="paragraph" w:customStyle="1" w:styleId="DHheading4">
    <w:name w:val="DH heading 4"/>
    <w:next w:val="DHbody"/>
    <w:link w:val="DHheading4Char"/>
    <w:rsid w:val="00407EAB"/>
    <w:pPr>
      <w:spacing w:before="120" w:after="120" w:line="240" w:lineRule="exact"/>
    </w:pPr>
    <w:rPr>
      <w:rFonts w:ascii="Arial" w:eastAsia="Times New Roman" w:hAnsi="Arial" w:cs="Times New Roman"/>
      <w:b/>
      <w:bCs/>
      <w:sz w:val="20"/>
      <w:szCs w:val="20"/>
    </w:rPr>
  </w:style>
  <w:style w:type="character" w:customStyle="1" w:styleId="DHheading4Char">
    <w:name w:val="DH heading 4 Char"/>
    <w:basedOn w:val="DefaultParagraphFont"/>
    <w:link w:val="DHheading4"/>
    <w:rsid w:val="00407EAB"/>
    <w:rPr>
      <w:rFonts w:ascii="Arial" w:eastAsia="Times New Roman" w:hAnsi="Arial" w:cs="Times New Roman"/>
      <w:b/>
      <w:bCs/>
      <w:sz w:val="20"/>
      <w:szCs w:val="20"/>
    </w:rPr>
  </w:style>
  <w:style w:type="paragraph" w:styleId="BodyText">
    <w:name w:val="Body Text"/>
    <w:basedOn w:val="Normal"/>
    <w:link w:val="BodyTextChar"/>
    <w:rsid w:val="00691437"/>
    <w:rPr>
      <w:sz w:val="18"/>
    </w:rPr>
  </w:style>
  <w:style w:type="character" w:customStyle="1" w:styleId="BodyTextChar">
    <w:name w:val="Body Text Char"/>
    <w:basedOn w:val="DefaultParagraphFont"/>
    <w:link w:val="BodyText"/>
    <w:rsid w:val="00691437"/>
    <w:rPr>
      <w:rFonts w:ascii="Verdana" w:eastAsia="Times New Roman" w:hAnsi="Verdana" w:cs="Times New Roman"/>
      <w:sz w:val="18"/>
      <w:szCs w:val="20"/>
    </w:rPr>
  </w:style>
  <w:style w:type="table" w:styleId="TableGrid">
    <w:name w:val="Table Grid"/>
    <w:basedOn w:val="TableNormal"/>
    <w:uiPriority w:val="59"/>
    <w:rsid w:val="00F10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rsid w:val="00DE6C0A"/>
    <w:rPr>
      <w:rFonts w:ascii="Arial" w:hAnsi="Arial"/>
      <w:sz w:val="20"/>
      <w:vertAlign w:val="superscript"/>
    </w:rPr>
  </w:style>
  <w:style w:type="paragraph" w:styleId="NoSpacing">
    <w:name w:val="No Spacing"/>
    <w:uiPriority w:val="1"/>
    <w:qFormat/>
    <w:rsid w:val="008126AD"/>
    <w:pPr>
      <w:spacing w:after="0" w:line="240" w:lineRule="auto"/>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vic.gov.au/dp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cs@health.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c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Falcke</dc:creator>
  <cp:keywords/>
  <dc:description/>
  <cp:lastModifiedBy>Chris Falcke</cp:lastModifiedBy>
  <cp:revision>9</cp:revision>
  <dcterms:created xsi:type="dcterms:W3CDTF">2014-02-16T23:29:00Z</dcterms:created>
  <dcterms:modified xsi:type="dcterms:W3CDTF">2014-04-04T00:20:00Z</dcterms:modified>
</cp:coreProperties>
</file>