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204874" w:rsidP="00A55989">
      <w:pPr>
        <w:pStyle w:val="DHHSbodynospace"/>
      </w:pPr>
      <w:r>
        <w:rPr>
          <w:noProof/>
        </w:rPr>
        <w:drawing>
          <wp:anchor distT="0" distB="0" distL="114300" distR="114300" simplePos="0" relativeHeight="251659264" behindDoc="1" locked="1" layoutInCell="0" allowOverlap="1" wp14:editId="13B894DC">
            <wp:simplePos x="0" y="0"/>
            <wp:positionH relativeFrom="page">
              <wp:align>right</wp:align>
            </wp:positionH>
            <wp:positionV relativeFrom="page">
              <wp:align>top</wp:align>
            </wp:positionV>
            <wp:extent cx="7540625" cy="10668000"/>
            <wp:effectExtent l="0" t="0" r="3175" b="0"/>
            <wp:wrapNone/>
            <wp:docPr id="7" name="Picture 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06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5D241D" w:rsidP="00E91933">
            <w:pPr>
              <w:pStyle w:val="DHHSreportmaintitlewhite"/>
            </w:pPr>
            <w:r>
              <w:t xml:space="preserve">Aboriginal and Torres Strait Islander cultural safety framework </w:t>
            </w:r>
            <w:r w:rsidR="008033A1">
              <w:t>guidelines</w:t>
            </w:r>
          </w:p>
          <w:p w:rsidR="00444D82" w:rsidRPr="003072C6" w:rsidRDefault="008A73BF" w:rsidP="00E91933">
            <w:pPr>
              <w:pStyle w:val="DHHSreportsubtitlewhite"/>
            </w:pPr>
            <w:r>
              <w:t>Department of Health and Human Services</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FA2F0E" w:rsidRPr="003072C6" w:rsidRDefault="00FA2F0E" w:rsidP="00FA2F0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FA2F0E" w:rsidRPr="003072C6" w:rsidTr="004C45A6">
        <w:trPr>
          <w:trHeight w:val="4313"/>
        </w:trPr>
        <w:tc>
          <w:tcPr>
            <w:tcW w:w="9401" w:type="dxa"/>
          </w:tcPr>
          <w:p w:rsidR="00FA2F0E" w:rsidRPr="00605B5B" w:rsidRDefault="00FA2F0E" w:rsidP="004C45A6">
            <w:pPr>
              <w:pStyle w:val="DHHSbody"/>
              <w:rPr>
                <w:i/>
                <w:color w:val="008950"/>
                <w:sz w:val="26"/>
                <w:szCs w:val="26"/>
              </w:rPr>
            </w:pPr>
          </w:p>
        </w:tc>
      </w:tr>
      <w:tr w:rsidR="00FA2F0E" w:rsidRPr="003072C6" w:rsidTr="00305445">
        <w:trPr>
          <w:trHeight w:val="7897"/>
        </w:trPr>
        <w:tc>
          <w:tcPr>
            <w:tcW w:w="9401" w:type="dxa"/>
            <w:vAlign w:val="bottom"/>
          </w:tcPr>
          <w:p w:rsidR="00FA2F0E" w:rsidRDefault="00FA2F0E" w:rsidP="00FA2F0E">
            <w:pPr>
              <w:pStyle w:val="DHHSaccessibilitypara"/>
            </w:pPr>
          </w:p>
          <w:p w:rsidR="00FA2F0E" w:rsidRPr="00BD57FA" w:rsidRDefault="00FA2F0E" w:rsidP="00FA2F0E">
            <w:pPr>
              <w:pStyle w:val="DHHSaccessibilitypara"/>
              <w:rPr>
                <w:color w:val="3366FF"/>
                <w:u w:val="dotted"/>
              </w:rPr>
            </w:pPr>
            <w:r w:rsidRPr="00FA2F0E">
              <w:t xml:space="preserve">To receive this publication in an accessible format </w:t>
            </w:r>
            <w:hyperlink r:id="rId9" w:history="1">
              <w:r w:rsidRPr="00FA2F0E">
                <w:rPr>
                  <w:rStyle w:val="Hyperlink"/>
                </w:rPr>
                <w:t xml:space="preserve">email </w:t>
              </w:r>
              <w:r w:rsidR="00BD57FA">
                <w:rPr>
                  <w:rStyle w:val="Hyperlink"/>
                </w:rPr>
                <w:t>Aboriginal Strategy and Oversight</w:t>
              </w:r>
              <w:r w:rsidR="00FD228B">
                <w:rPr>
                  <w:rStyle w:val="Hyperlink"/>
                </w:rPr>
                <w:t xml:space="preserve"> Branch</w:t>
              </w:r>
            </w:hyperlink>
            <w:r w:rsidR="00BD57FA">
              <w:rPr>
                <w:rStyle w:val="Hyperlink"/>
              </w:rPr>
              <w:br/>
            </w:r>
            <w:r w:rsidRPr="00FA2F0E">
              <w:t>&lt;</w:t>
            </w:r>
            <w:r w:rsidR="00BD57FA">
              <w:t xml:space="preserve"> </w:t>
            </w:r>
            <w:r w:rsidR="00BD57FA" w:rsidRPr="008033A1">
              <w:t>aboriginalstrategyandoversight@dhhs.vic.gov.au</w:t>
            </w:r>
            <w:r w:rsidRPr="00BD57FA">
              <w:rPr>
                <w:rStyle w:val="Hyperlink"/>
                <w:color w:val="auto"/>
                <w:u w:val="none"/>
              </w:rPr>
              <w:t>&gt;</w:t>
            </w:r>
            <w:r w:rsidRPr="00BD57FA">
              <w:t xml:space="preserve"> </w:t>
            </w:r>
          </w:p>
          <w:p w:rsidR="00FA2F0E" w:rsidRPr="00605B5B" w:rsidRDefault="00FA2F0E" w:rsidP="00FA2F0E">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FA2F0E" w:rsidRPr="00605B5B" w:rsidRDefault="00FA2F0E" w:rsidP="00FA2F0E">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Pr>
                <w:rFonts w:ascii="Arial" w:eastAsia="Times" w:hAnsi="Arial"/>
              </w:rPr>
              <w:t>,</w:t>
            </w:r>
            <w:r w:rsidR="00457621">
              <w:rPr>
                <w:rFonts w:ascii="Arial" w:eastAsia="Times" w:hAnsi="Arial"/>
              </w:rPr>
              <w:t xml:space="preserve"> </w:t>
            </w:r>
            <w:proofErr w:type="gramStart"/>
            <w:r w:rsidR="00457621">
              <w:rPr>
                <w:rFonts w:ascii="Arial" w:eastAsia="Times" w:hAnsi="Arial"/>
              </w:rPr>
              <w:t>January</w:t>
            </w:r>
            <w:r>
              <w:rPr>
                <w:rFonts w:ascii="Arial" w:eastAsia="Times" w:hAnsi="Arial"/>
              </w:rPr>
              <w:t>,</w:t>
            </w:r>
            <w:proofErr w:type="gramEnd"/>
            <w:r>
              <w:rPr>
                <w:rFonts w:ascii="Arial" w:eastAsia="Times" w:hAnsi="Arial"/>
              </w:rPr>
              <w:t xml:space="preserve"> 20</w:t>
            </w:r>
            <w:r w:rsidR="00457621">
              <w:rPr>
                <w:rFonts w:ascii="Arial" w:eastAsia="Times" w:hAnsi="Arial"/>
              </w:rPr>
              <w:t>20</w:t>
            </w:r>
            <w:r>
              <w:rPr>
                <w:rFonts w:ascii="Arial" w:eastAsia="Times" w:hAnsi="Arial"/>
              </w:rPr>
              <w:t>.</w:t>
            </w:r>
          </w:p>
          <w:p w:rsidR="00FA2F0E" w:rsidRPr="00605B5B" w:rsidRDefault="00FA2F0E" w:rsidP="00FA2F0E">
            <w:pPr>
              <w:spacing w:after="120" w:line="270" w:lineRule="atLeast"/>
              <w:rPr>
                <w:rFonts w:ascii="Arial" w:eastAsia="Times" w:hAnsi="Arial"/>
              </w:rPr>
            </w:pPr>
            <w:r w:rsidRPr="00596FD6">
              <w:rPr>
                <w:rFonts w:ascii="Arial" w:eastAsia="Times" w:hAnsi="Arial"/>
              </w:rPr>
              <w:t>Where the term ‘Aboriginal’ is used it refers to both Aboriginal and Torres Strait Islander people. Indigenous is retained when it is part of the title of a report, program or quotation.</w:t>
            </w:r>
          </w:p>
          <w:p w:rsidR="00FA2F0E" w:rsidRPr="00605B5B" w:rsidRDefault="005E579C" w:rsidP="00FA2F0E">
            <w:pPr>
              <w:spacing w:after="120" w:line="270" w:lineRule="atLeast"/>
              <w:rPr>
                <w:rFonts w:ascii="Arial" w:eastAsia="Times" w:hAnsi="Arial"/>
              </w:rPr>
            </w:pPr>
            <w:r>
              <w:rPr>
                <w:rFonts w:ascii="Arial" w:hAnsi="Arial" w:cs="Arial"/>
                <w:b/>
                <w:bCs/>
                <w:color w:val="000000"/>
              </w:rPr>
              <w:br/>
              <w:t xml:space="preserve">ISBN </w:t>
            </w:r>
            <w:r>
              <w:rPr>
                <w:rFonts w:ascii="Arial" w:hAnsi="Arial" w:cs="Arial"/>
                <w:color w:val="000000"/>
              </w:rPr>
              <w:t>978-1-76069-141-7</w:t>
            </w:r>
            <w:r>
              <w:rPr>
                <w:rFonts w:ascii="Arial" w:hAnsi="Arial" w:cs="Arial"/>
                <w:b/>
                <w:bCs/>
                <w:color w:val="000000"/>
              </w:rPr>
              <w:t xml:space="preserve"> (pdf/online/MS word)</w:t>
            </w:r>
            <w:r>
              <w:rPr>
                <w:rFonts w:ascii="Arial" w:hAnsi="Arial" w:cs="Arial"/>
                <w:b/>
                <w:bCs/>
                <w:color w:val="000000"/>
              </w:rPr>
              <w:br/>
            </w:r>
          </w:p>
          <w:p w:rsidR="00FA2F0E" w:rsidRPr="009869D7" w:rsidRDefault="00FA2F0E" w:rsidP="00FA2F0E">
            <w:pPr>
              <w:pStyle w:val="DHHSbody"/>
              <w:rPr>
                <w:color w:val="D50032"/>
              </w:rPr>
            </w:pPr>
            <w:r w:rsidRPr="00605B5B">
              <w:rPr>
                <w:szCs w:val="19"/>
              </w:rPr>
              <w:t>Available at</w:t>
            </w:r>
            <w:r w:rsidR="005E579C">
              <w:rPr>
                <w:szCs w:val="19"/>
              </w:rPr>
              <w:t xml:space="preserve">: </w:t>
            </w:r>
            <w:r w:rsidR="005E579C">
              <w:rPr>
                <w:szCs w:val="19"/>
              </w:rPr>
              <w:br/>
            </w:r>
            <w:hyperlink r:id="rId10" w:history="1">
              <w:r w:rsidR="009869D7" w:rsidRPr="00B36FEC">
                <w:rPr>
                  <w:rStyle w:val="Hyperlink"/>
                </w:rPr>
                <w:t>https://www2.health.vic.gov.au/about/health-strategies/aboriginal-health</w:t>
              </w:r>
            </w:hyperlink>
            <w:r w:rsidR="00E97352">
              <w:rPr>
                <w:color w:val="D50032"/>
              </w:rPr>
              <w:t xml:space="preserve"> </w:t>
            </w:r>
            <w:r w:rsidR="009869D7">
              <w:rPr>
                <w:color w:val="D50032"/>
              </w:rPr>
              <w:br/>
            </w:r>
            <w:hyperlink r:id="rId11" w:history="1">
              <w:r w:rsidR="009869D7" w:rsidRPr="00B36FEC">
                <w:rPr>
                  <w:rStyle w:val="Hyperlink"/>
                </w:rPr>
                <w:t>https://providers.dhhs.vic.gov.au/funded-agencies/cultural-safety</w:t>
              </w:r>
            </w:hyperlink>
            <w:r w:rsidR="00EB5634">
              <w:t xml:space="preserve"> </w:t>
            </w:r>
          </w:p>
        </w:tc>
      </w:tr>
      <w:tr w:rsidR="00FA2F0E" w:rsidRPr="003072C6" w:rsidTr="004C45A6">
        <w:tc>
          <w:tcPr>
            <w:tcW w:w="9401" w:type="dxa"/>
            <w:vAlign w:val="bottom"/>
          </w:tcPr>
          <w:p w:rsidR="00FA2F0E" w:rsidRPr="003072C6" w:rsidRDefault="00FA2F0E" w:rsidP="004C45A6">
            <w:pPr>
              <w:pStyle w:val="DHHSbody"/>
            </w:pPr>
          </w:p>
        </w:tc>
      </w:tr>
    </w:tbl>
    <w:p w:rsidR="00FA2F0E" w:rsidRPr="003072C6" w:rsidRDefault="00FA2F0E" w:rsidP="00FA2F0E">
      <w:pPr>
        <w:pStyle w:val="DHHSbody"/>
      </w:pPr>
    </w:p>
    <w:p w:rsidR="00FC5B77" w:rsidRDefault="009208F5" w:rsidP="00FC5B77">
      <w:pPr>
        <w:pStyle w:val="DHHSaccessibilitypara"/>
      </w:pPr>
      <w:r w:rsidRPr="003072C6">
        <w:lastRenderedPageBreak/>
        <w:br w:type="page"/>
      </w:r>
    </w:p>
    <w:p w:rsidR="00AC0C3B" w:rsidRPr="00204874" w:rsidRDefault="00AC0C3B" w:rsidP="00711B0C">
      <w:pPr>
        <w:pStyle w:val="DHHSTOCheadingreport"/>
      </w:pPr>
      <w:r w:rsidRPr="00204874">
        <w:lastRenderedPageBreak/>
        <w:t>Contents</w:t>
      </w:r>
    </w:p>
    <w:p w:rsidR="008033A1"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31284623" w:history="1">
        <w:r w:rsidR="008033A1" w:rsidRPr="00E6780A">
          <w:rPr>
            <w:rStyle w:val="Hyperlink"/>
          </w:rPr>
          <w:t>Who does this framework apply to?</w:t>
        </w:r>
        <w:r w:rsidR="008033A1">
          <w:rPr>
            <w:webHidden/>
          </w:rPr>
          <w:tab/>
        </w:r>
        <w:r w:rsidR="008033A1">
          <w:rPr>
            <w:webHidden/>
          </w:rPr>
          <w:fldChar w:fldCharType="begin"/>
        </w:r>
        <w:r w:rsidR="008033A1">
          <w:rPr>
            <w:webHidden/>
          </w:rPr>
          <w:instrText xml:space="preserve"> PAGEREF _Toc31284623 \h </w:instrText>
        </w:r>
        <w:r w:rsidR="008033A1">
          <w:rPr>
            <w:webHidden/>
          </w:rPr>
        </w:r>
        <w:r w:rsidR="008033A1">
          <w:rPr>
            <w:webHidden/>
          </w:rPr>
          <w:fldChar w:fldCharType="separate"/>
        </w:r>
        <w:r w:rsidR="008033A1">
          <w:rPr>
            <w:webHidden/>
          </w:rPr>
          <w:t>5</w:t>
        </w:r>
        <w:r w:rsidR="008033A1">
          <w:rPr>
            <w:webHidden/>
          </w:rPr>
          <w:fldChar w:fldCharType="end"/>
        </w:r>
      </w:hyperlink>
    </w:p>
    <w:p w:rsidR="008033A1" w:rsidRDefault="008033A1">
      <w:pPr>
        <w:pStyle w:val="TOC2"/>
        <w:rPr>
          <w:rFonts w:asciiTheme="minorHAnsi" w:eastAsiaTheme="minorEastAsia" w:hAnsiTheme="minorHAnsi" w:cstheme="minorBidi"/>
          <w:sz w:val="22"/>
          <w:szCs w:val="22"/>
          <w:lang w:eastAsia="en-AU"/>
        </w:rPr>
      </w:pPr>
      <w:hyperlink w:anchor="_Toc31284624" w:history="1">
        <w:r w:rsidRPr="00E6780A">
          <w:rPr>
            <w:rStyle w:val="Hyperlink"/>
          </w:rPr>
          <w:t>Knowledge and respect for self</w:t>
        </w:r>
        <w:r>
          <w:rPr>
            <w:webHidden/>
          </w:rPr>
          <w:tab/>
        </w:r>
        <w:r>
          <w:rPr>
            <w:webHidden/>
          </w:rPr>
          <w:fldChar w:fldCharType="begin"/>
        </w:r>
        <w:r>
          <w:rPr>
            <w:webHidden/>
          </w:rPr>
          <w:instrText xml:space="preserve"> PAGEREF _Toc31284624 \h </w:instrText>
        </w:r>
        <w:r>
          <w:rPr>
            <w:webHidden/>
          </w:rPr>
        </w:r>
        <w:r>
          <w:rPr>
            <w:webHidden/>
          </w:rPr>
          <w:fldChar w:fldCharType="separate"/>
        </w:r>
        <w:r>
          <w:rPr>
            <w:webHidden/>
          </w:rPr>
          <w:t>5</w:t>
        </w:r>
        <w:r>
          <w:rPr>
            <w:webHidden/>
          </w:rPr>
          <w:fldChar w:fldCharType="end"/>
        </w:r>
      </w:hyperlink>
    </w:p>
    <w:p w:rsidR="008033A1" w:rsidRDefault="008033A1">
      <w:pPr>
        <w:pStyle w:val="TOC2"/>
        <w:rPr>
          <w:rFonts w:asciiTheme="minorHAnsi" w:eastAsiaTheme="minorEastAsia" w:hAnsiTheme="minorHAnsi" w:cstheme="minorBidi"/>
          <w:sz w:val="22"/>
          <w:szCs w:val="22"/>
          <w:lang w:eastAsia="en-AU"/>
        </w:rPr>
      </w:pPr>
      <w:hyperlink w:anchor="_Toc31284625" w:history="1">
        <w:r w:rsidRPr="00E6780A">
          <w:rPr>
            <w:rStyle w:val="Hyperlink"/>
          </w:rPr>
          <w:t>Knowledge of and respect for Aboriginal people</w:t>
        </w:r>
        <w:r>
          <w:rPr>
            <w:webHidden/>
          </w:rPr>
          <w:tab/>
        </w:r>
        <w:r>
          <w:rPr>
            <w:webHidden/>
          </w:rPr>
          <w:fldChar w:fldCharType="begin"/>
        </w:r>
        <w:r>
          <w:rPr>
            <w:webHidden/>
          </w:rPr>
          <w:instrText xml:space="preserve"> PAGEREF _Toc31284625 \h </w:instrText>
        </w:r>
        <w:r>
          <w:rPr>
            <w:webHidden/>
          </w:rPr>
        </w:r>
        <w:r>
          <w:rPr>
            <w:webHidden/>
          </w:rPr>
          <w:fldChar w:fldCharType="separate"/>
        </w:r>
        <w:r>
          <w:rPr>
            <w:webHidden/>
          </w:rPr>
          <w:t>5</w:t>
        </w:r>
        <w:r>
          <w:rPr>
            <w:webHidden/>
          </w:rPr>
          <w:fldChar w:fldCharType="end"/>
        </w:r>
      </w:hyperlink>
    </w:p>
    <w:p w:rsidR="008033A1" w:rsidRDefault="008033A1">
      <w:pPr>
        <w:pStyle w:val="TOC2"/>
        <w:rPr>
          <w:rFonts w:asciiTheme="minorHAnsi" w:eastAsiaTheme="minorEastAsia" w:hAnsiTheme="minorHAnsi" w:cstheme="minorBidi"/>
          <w:sz w:val="22"/>
          <w:szCs w:val="22"/>
          <w:lang w:eastAsia="en-AU"/>
        </w:rPr>
      </w:pPr>
      <w:hyperlink w:anchor="_Toc31284626" w:history="1">
        <w:r w:rsidRPr="00E6780A">
          <w:rPr>
            <w:rStyle w:val="Hyperlink"/>
          </w:rPr>
          <w:t>A commitment to redesigning organisations and systems to reduce racism and discrimination</w:t>
        </w:r>
        <w:r>
          <w:rPr>
            <w:webHidden/>
          </w:rPr>
          <w:tab/>
        </w:r>
        <w:r>
          <w:rPr>
            <w:webHidden/>
          </w:rPr>
          <w:fldChar w:fldCharType="begin"/>
        </w:r>
        <w:r>
          <w:rPr>
            <w:webHidden/>
          </w:rPr>
          <w:instrText xml:space="preserve"> PAGEREF _Toc31284626 \h </w:instrText>
        </w:r>
        <w:r>
          <w:rPr>
            <w:webHidden/>
          </w:rPr>
        </w:r>
        <w:r>
          <w:rPr>
            <w:webHidden/>
          </w:rPr>
          <w:fldChar w:fldCharType="separate"/>
        </w:r>
        <w:r>
          <w:rPr>
            <w:webHidden/>
          </w:rPr>
          <w:t>5</w:t>
        </w:r>
        <w:r>
          <w:rPr>
            <w:webHidden/>
          </w:rPr>
          <w:fldChar w:fldCharType="end"/>
        </w:r>
      </w:hyperlink>
    </w:p>
    <w:p w:rsidR="008033A1" w:rsidRDefault="008033A1">
      <w:pPr>
        <w:pStyle w:val="TOC2"/>
        <w:rPr>
          <w:rFonts w:asciiTheme="minorHAnsi" w:eastAsiaTheme="minorEastAsia" w:hAnsiTheme="minorHAnsi" w:cstheme="minorBidi"/>
          <w:sz w:val="22"/>
          <w:szCs w:val="22"/>
          <w:lang w:eastAsia="en-AU"/>
        </w:rPr>
      </w:pPr>
      <w:hyperlink w:anchor="_Toc31284627" w:history="1">
        <w:r w:rsidRPr="00E6780A">
          <w:rPr>
            <w:rStyle w:val="Hyperlink"/>
          </w:rPr>
          <w:t>Cultural safety is an ongoing learning journey</w:t>
        </w:r>
        <w:r>
          <w:rPr>
            <w:webHidden/>
          </w:rPr>
          <w:tab/>
        </w:r>
        <w:r>
          <w:rPr>
            <w:webHidden/>
          </w:rPr>
          <w:fldChar w:fldCharType="begin"/>
        </w:r>
        <w:r>
          <w:rPr>
            <w:webHidden/>
          </w:rPr>
          <w:instrText xml:space="preserve"> PAGEREF _Toc31284627 \h </w:instrText>
        </w:r>
        <w:r>
          <w:rPr>
            <w:webHidden/>
          </w:rPr>
        </w:r>
        <w:r>
          <w:rPr>
            <w:webHidden/>
          </w:rPr>
          <w:fldChar w:fldCharType="separate"/>
        </w:r>
        <w:r>
          <w:rPr>
            <w:webHidden/>
          </w:rPr>
          <w:t>5</w:t>
        </w:r>
        <w:r>
          <w:rPr>
            <w:webHidden/>
          </w:rPr>
          <w:fldChar w:fldCharType="end"/>
        </w:r>
      </w:hyperlink>
    </w:p>
    <w:p w:rsidR="003E2E12" w:rsidRPr="003072C6" w:rsidRDefault="00E15DA9" w:rsidP="00213772">
      <w:pPr>
        <w:pStyle w:val="TOC2"/>
        <w:rPr>
          <w:noProof w:val="0"/>
        </w:rPr>
      </w:pPr>
      <w:r w:rsidRPr="003072C6">
        <w:rPr>
          <w:noProof w:val="0"/>
        </w:rPr>
        <w:fldChar w:fldCharType="end"/>
      </w:r>
      <w:bookmarkStart w:id="0" w:name="_GoBack"/>
      <w:bookmarkEnd w:id="0"/>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E30414" w:rsidRPr="0095521D" w:rsidRDefault="0095521D" w:rsidP="0095521D">
      <w:pPr>
        <w:pStyle w:val="Heading1"/>
      </w:pPr>
      <w:bookmarkStart w:id="1" w:name="_Toc31284623"/>
      <w:r w:rsidRPr="0095521D">
        <w:lastRenderedPageBreak/>
        <w:t xml:space="preserve">Who does this </w:t>
      </w:r>
      <w:r w:rsidR="003B5F7F">
        <w:t>framework</w:t>
      </w:r>
      <w:r w:rsidRPr="0095521D">
        <w:t xml:space="preserve"> apply to?</w:t>
      </w:r>
      <w:bookmarkEnd w:id="1"/>
    </w:p>
    <w:p w:rsidR="003B5F7F" w:rsidRPr="00196138" w:rsidRDefault="003B5F7F" w:rsidP="003B5F7F">
      <w:pPr>
        <w:pStyle w:val="DHHSbody"/>
        <w:rPr>
          <w:shd w:val="clear" w:color="auto" w:fill="FFFFFF"/>
        </w:rPr>
      </w:pPr>
      <w:r w:rsidRPr="00196138">
        <w:rPr>
          <w:shd w:val="clear" w:color="auto" w:fill="FFFFFF"/>
        </w:rPr>
        <w:t xml:space="preserve">The Aboriginal and Torres Strait Islander cultural safety framework (the framework) has been developed to help the department and mainstream Victorian health, human and community services to create culturally safe environments, services and workplaces for Aboriginal staff, clients, families and communities.  </w:t>
      </w:r>
      <w:hyperlink r:id="rId12" w:history="1">
        <w:r w:rsidRPr="00196138">
          <w:rPr>
            <w:rStyle w:val="Hyperlink"/>
            <w:rFonts w:cs="Arial"/>
            <w:shd w:val="clear" w:color="auto" w:fill="FFFFFF"/>
          </w:rPr>
          <w:t>https://www.dhhs.vic.gov.au/publications/aboriginal-and-torres-strait-islander-cultural-safety-framework</w:t>
        </w:r>
      </w:hyperlink>
    </w:p>
    <w:p w:rsidR="003B5F7F" w:rsidRPr="00196138" w:rsidRDefault="003B5F7F" w:rsidP="008033A1">
      <w:pPr>
        <w:pStyle w:val="DHHSbody"/>
        <w:rPr>
          <w:shd w:val="clear" w:color="auto" w:fill="FFFFFF"/>
        </w:rPr>
      </w:pPr>
      <w:r w:rsidRPr="00196138">
        <w:rPr>
          <w:shd w:val="clear" w:color="auto" w:fill="FFFFFF"/>
        </w:rPr>
        <w:t xml:space="preserve">The Aboriginal and Torres Strait Islander cultural safety framework supports </w:t>
      </w:r>
      <w:proofErr w:type="spellStart"/>
      <w:r w:rsidRPr="00196138">
        <w:rPr>
          <w:i/>
          <w:shd w:val="clear" w:color="auto" w:fill="FFFFFF"/>
        </w:rPr>
        <w:t>Korin</w:t>
      </w:r>
      <w:proofErr w:type="spellEnd"/>
      <w:r w:rsidRPr="00196138">
        <w:rPr>
          <w:i/>
          <w:shd w:val="clear" w:color="auto" w:fill="FFFFFF"/>
        </w:rPr>
        <w:t xml:space="preserve"> </w:t>
      </w:r>
      <w:proofErr w:type="spellStart"/>
      <w:r w:rsidRPr="00196138">
        <w:rPr>
          <w:i/>
          <w:shd w:val="clear" w:color="auto" w:fill="FFFFFF"/>
        </w:rPr>
        <w:t>Korin</w:t>
      </w:r>
      <w:proofErr w:type="spellEnd"/>
      <w:r w:rsidRPr="00196138">
        <w:rPr>
          <w:i/>
          <w:shd w:val="clear" w:color="auto" w:fill="FFFFFF"/>
        </w:rPr>
        <w:t xml:space="preserve"> </w:t>
      </w:r>
      <w:proofErr w:type="spellStart"/>
      <w:r w:rsidRPr="00196138">
        <w:rPr>
          <w:i/>
          <w:shd w:val="clear" w:color="auto" w:fill="FFFFFF"/>
        </w:rPr>
        <w:t>Balit-Djak</w:t>
      </w:r>
      <w:proofErr w:type="spellEnd"/>
      <w:r w:rsidRPr="00196138">
        <w:rPr>
          <w:i/>
          <w:shd w:val="clear" w:color="auto" w:fill="FFFFFF"/>
        </w:rPr>
        <w:t>: Aboriginal health, wellbeing and safety strategic plan 2017 – 2027</w:t>
      </w:r>
      <w:r w:rsidRPr="00196138">
        <w:rPr>
          <w:shd w:val="clear" w:color="auto" w:fill="FFFFFF"/>
        </w:rPr>
        <w:t xml:space="preserve"> to achieve 'self-determining, healthy and safe Aboriginal communities'.</w:t>
      </w:r>
    </w:p>
    <w:p w:rsidR="003B5F7F" w:rsidRPr="00196138" w:rsidRDefault="003B5F7F" w:rsidP="008033A1">
      <w:pPr>
        <w:pStyle w:val="DHHSbody"/>
        <w:rPr>
          <w:rFonts w:eastAsia="Times New Roman"/>
          <w:lang w:eastAsia="en-AU"/>
        </w:rPr>
      </w:pPr>
      <w:r w:rsidRPr="00196138">
        <w:rPr>
          <w:rFonts w:eastAsia="Times New Roman"/>
          <w:lang w:eastAsia="en-AU"/>
        </w:rPr>
        <w:t>The framework aims to help the department and mainstream health and community services to strengthen their cultural safety by participating in a process of continuous learning and practice improvement.</w:t>
      </w:r>
    </w:p>
    <w:p w:rsidR="003B5F7F" w:rsidRPr="00196138" w:rsidRDefault="003B5F7F" w:rsidP="008033A1">
      <w:pPr>
        <w:pStyle w:val="DHHSbody"/>
        <w:rPr>
          <w:rStyle w:val="eop"/>
          <w:rFonts w:cs="Arial"/>
          <w:lang w:val="en-US"/>
        </w:rPr>
      </w:pPr>
      <w:r w:rsidRPr="00196138">
        <w:t xml:space="preserve">It is expected that all department funded service providers </w:t>
      </w:r>
      <w:r w:rsidRPr="00196138">
        <w:rPr>
          <w:rStyle w:val="normaltextrun1"/>
          <w:rFonts w:cs="Arial"/>
          <w:color w:val="000000"/>
        </w:rPr>
        <w:t>establish culturally safe practices across all parts of the organisation to recognise and respect Aboriginal cultur</w:t>
      </w:r>
      <w:r w:rsidRPr="00196138">
        <w:rPr>
          <w:rStyle w:val="normaltextrun1"/>
          <w:rFonts w:cs="Arial"/>
        </w:rPr>
        <w:t xml:space="preserve">e </w:t>
      </w:r>
      <w:r w:rsidRPr="00196138">
        <w:rPr>
          <w:rStyle w:val="normaltextrun1"/>
          <w:rFonts w:cs="Arial"/>
          <w:color w:val="000000"/>
        </w:rPr>
        <w:t>and</w:t>
      </w:r>
      <w:r w:rsidRPr="00196138">
        <w:rPr>
          <w:rStyle w:val="normaltextrun1"/>
          <w:rFonts w:cs="Arial"/>
        </w:rPr>
        <w:t xml:space="preserve"> deliver services that</w:t>
      </w:r>
      <w:r w:rsidRPr="00196138">
        <w:rPr>
          <w:rStyle w:val="normaltextrun1"/>
          <w:rFonts w:cs="Arial"/>
          <w:color w:val="000000"/>
        </w:rPr>
        <w:t xml:space="preserve"> meet the needs, expectations and rights of Aboriginal patients, their families, and Aboriginal staff.</w:t>
      </w:r>
      <w:r w:rsidRPr="00196138">
        <w:rPr>
          <w:rStyle w:val="eop"/>
          <w:rFonts w:cs="Arial"/>
          <w:lang w:val="en-US"/>
        </w:rPr>
        <w:t> </w:t>
      </w:r>
    </w:p>
    <w:p w:rsidR="003B5F7F" w:rsidRDefault="003B5F7F" w:rsidP="008033A1">
      <w:pPr>
        <w:pStyle w:val="DHHSbody"/>
        <w:rPr>
          <w:rFonts w:eastAsia="Times New Roman"/>
          <w:lang w:eastAsia="en-AU"/>
        </w:rPr>
      </w:pPr>
      <w:r w:rsidRPr="00196138">
        <w:rPr>
          <w:rStyle w:val="eop"/>
          <w:rFonts w:cs="Arial"/>
          <w:lang w:val="en-US"/>
        </w:rPr>
        <w:t xml:space="preserve">In addition to ensuring service delivery </w:t>
      </w:r>
      <w:r>
        <w:rPr>
          <w:rStyle w:val="eop"/>
          <w:rFonts w:cs="Arial"/>
          <w:lang w:val="en-US"/>
        </w:rPr>
        <w:t xml:space="preserve">is </w:t>
      </w:r>
      <w:r w:rsidRPr="00196138">
        <w:rPr>
          <w:rStyle w:val="eop"/>
          <w:rFonts w:cs="Arial"/>
          <w:lang w:val="en-US"/>
        </w:rPr>
        <w:t xml:space="preserve">safe, service providers are </w:t>
      </w:r>
      <w:r w:rsidRPr="00196138">
        <w:rPr>
          <w:rFonts w:eastAsia="Times New Roman"/>
          <w:lang w:eastAsia="en-AU"/>
        </w:rPr>
        <w:t xml:space="preserve">encouraged to undertake </w:t>
      </w:r>
      <w:r w:rsidRPr="00196138">
        <w:t>an</w:t>
      </w:r>
      <w:r w:rsidRPr="00196138">
        <w:rPr>
          <w:rFonts w:eastAsia="Times New Roman"/>
          <w:lang w:eastAsia="en-AU"/>
        </w:rPr>
        <w:t xml:space="preserve"> iterative quality improvement process to map, plan and act and review actions for improving Aboriginal cultural safety.</w:t>
      </w:r>
    </w:p>
    <w:p w:rsidR="003B5F7F" w:rsidRPr="00196138" w:rsidRDefault="003B5F7F" w:rsidP="008033A1">
      <w:pPr>
        <w:pStyle w:val="DHHSbody"/>
        <w:rPr>
          <w:rFonts w:cs="Arial"/>
          <w:color w:val="222222"/>
          <w:shd w:val="clear" w:color="auto" w:fill="FFFFFF"/>
        </w:rPr>
      </w:pPr>
      <w:r w:rsidRPr="00196138">
        <w:rPr>
          <w:rFonts w:cs="Arial"/>
          <w:color w:val="222222"/>
          <w:shd w:val="clear" w:color="auto" w:fill="FFFFFF"/>
        </w:rPr>
        <w:t xml:space="preserve">Key elements of culturally safe workplaces and services include: </w:t>
      </w:r>
    </w:p>
    <w:p w:rsidR="003B5F7F" w:rsidRDefault="003B5F7F" w:rsidP="003B5F7F">
      <w:pPr>
        <w:pStyle w:val="Heading2"/>
      </w:pPr>
      <w:bookmarkStart w:id="2" w:name="_Toc31284624"/>
      <w:r w:rsidRPr="00196138">
        <w:t>Knowledge and respect for self</w:t>
      </w:r>
      <w:bookmarkEnd w:id="2"/>
    </w:p>
    <w:p w:rsidR="003B5F7F" w:rsidRDefault="003B5F7F" w:rsidP="003B5F7F">
      <w:pPr>
        <w:pStyle w:val="DHHSbody"/>
        <w:rPr>
          <w:rFonts w:cs="Arial"/>
        </w:rPr>
      </w:pPr>
      <w:r w:rsidRPr="00196138">
        <w:rPr>
          <w:rFonts w:cs="Arial"/>
        </w:rPr>
        <w:t>Awareness of how one's own cultural values, knowledge, skills and attitudes are formed and affect others, including a responsibility to address their unconscious bias, racism and discrimination</w:t>
      </w:r>
    </w:p>
    <w:p w:rsidR="003B5F7F" w:rsidRDefault="003B5F7F" w:rsidP="003B5F7F">
      <w:pPr>
        <w:pStyle w:val="Heading2"/>
      </w:pPr>
      <w:bookmarkStart w:id="3" w:name="_Toc31284625"/>
      <w:r w:rsidRPr="00196138">
        <w:t>Knowledge of and respect for Aboriginal people</w:t>
      </w:r>
      <w:bookmarkEnd w:id="3"/>
    </w:p>
    <w:p w:rsidR="003B5F7F" w:rsidRDefault="003B5F7F" w:rsidP="003B5F7F">
      <w:pPr>
        <w:pStyle w:val="DHHSbody"/>
        <w:rPr>
          <w:rFonts w:cs="Arial"/>
        </w:rPr>
      </w:pPr>
      <w:r w:rsidRPr="00196138">
        <w:rPr>
          <w:rFonts w:cs="Arial"/>
        </w:rPr>
        <w:t>Knowledge of the diversity of Aboriginal peoples, communities and cultures, and the skills and attitudes to work effectively with them</w:t>
      </w:r>
    </w:p>
    <w:p w:rsidR="003B5F7F" w:rsidRPr="00196138" w:rsidRDefault="003B5F7F" w:rsidP="003B5F7F">
      <w:pPr>
        <w:pStyle w:val="Heading2"/>
      </w:pPr>
      <w:bookmarkStart w:id="4" w:name="_Toc31284626"/>
      <w:r w:rsidRPr="00196138">
        <w:t>A commitment to redesigning organisations and systems to reduce racism and discrimination</w:t>
      </w:r>
      <w:bookmarkEnd w:id="4"/>
    </w:p>
    <w:p w:rsidR="003B5F7F" w:rsidRDefault="003B5F7F" w:rsidP="003B5F7F">
      <w:pPr>
        <w:pStyle w:val="DHHSbody"/>
        <w:rPr>
          <w:rFonts w:cs="Arial"/>
        </w:rPr>
      </w:pPr>
      <w:r w:rsidRPr="00196138">
        <w:rPr>
          <w:rFonts w:cs="Arial"/>
        </w:rPr>
        <w:t>Strategic and institutional reform to remove barriers to optimal health, wellbeing and safety outcomes for Aboriginal people</w:t>
      </w:r>
    </w:p>
    <w:p w:rsidR="003B5F7F" w:rsidRDefault="003B5F7F" w:rsidP="003B5F7F">
      <w:pPr>
        <w:pStyle w:val="Heading2"/>
      </w:pPr>
      <w:bookmarkStart w:id="5" w:name="_Toc31284627"/>
      <w:r w:rsidRPr="00196138">
        <w:t>Cultural safety is an ongoing learning journey</w:t>
      </w:r>
      <w:bookmarkEnd w:id="5"/>
    </w:p>
    <w:p w:rsidR="008033A1" w:rsidRDefault="003B5F7F" w:rsidP="00E10346">
      <w:pPr>
        <w:pStyle w:val="DHHSbody"/>
        <w:rPr>
          <w:rFonts w:cs="Arial"/>
        </w:rPr>
      </w:pPr>
      <w:r w:rsidRPr="00196138">
        <w:rPr>
          <w:rFonts w:cs="Arial"/>
        </w:rPr>
        <w:t xml:space="preserve">An ongoing and responsive learning framework that includes the need to unlearn unconscious bias and racism and relearn Aboriginal cultural values. </w:t>
      </w:r>
    </w:p>
    <w:p w:rsidR="00E10346" w:rsidRPr="00E10346" w:rsidRDefault="008033A1" w:rsidP="00E10346">
      <w:pPr>
        <w:pStyle w:val="DHHSbody"/>
        <w:rPr>
          <w:rFonts w:eastAsia="Times New Roman"/>
          <w:b/>
          <w:i/>
          <w:color w:val="222222"/>
          <w:lang w:eastAsia="en-AU"/>
        </w:rPr>
      </w:pPr>
      <w:r>
        <w:rPr>
          <w:rFonts w:eastAsia="Times New Roman"/>
          <w:color w:val="222222"/>
          <w:lang w:eastAsia="en-AU"/>
        </w:rPr>
        <w:t>T</w:t>
      </w:r>
      <w:r w:rsidR="00E10346" w:rsidRPr="00E10346">
        <w:rPr>
          <w:rFonts w:eastAsia="Times New Roman"/>
          <w:color w:val="222222"/>
          <w:lang w:eastAsia="en-AU"/>
        </w:rPr>
        <w:t xml:space="preserve">he </w:t>
      </w:r>
      <w:hyperlink r:id="rId13" w:history="1">
        <w:r w:rsidR="00E10346" w:rsidRPr="008033A1">
          <w:rPr>
            <w:rStyle w:val="Hyperlink"/>
            <w:rFonts w:eastAsia="Times New Roman"/>
            <w:lang w:eastAsia="en-AU"/>
          </w:rPr>
          <w:t>Aboriginal and Torres Strait Islander cultural safety framework</w:t>
        </w:r>
      </w:hyperlink>
      <w:r>
        <w:rPr>
          <w:rFonts w:eastAsia="Times New Roman"/>
          <w:color w:val="222222"/>
          <w:lang w:eastAsia="en-AU"/>
        </w:rPr>
        <w:t xml:space="preserve"> &lt;</w:t>
      </w:r>
      <w:r w:rsidRPr="008033A1">
        <w:rPr>
          <w:rFonts w:cs="Arial"/>
          <w:i/>
          <w:shd w:val="clear" w:color="auto" w:fill="FFFFFF"/>
        </w:rPr>
        <w:t>https://www.dhhs.vic.gov.au/publications/aboriginal-and-torres-strait-islander-cultural-safety-framework</w:t>
      </w:r>
      <w:r>
        <w:rPr>
          <w:rFonts w:eastAsia="Times New Roman"/>
          <w:color w:val="222222"/>
          <w:lang w:eastAsia="en-AU"/>
        </w:rPr>
        <w:t>&gt;</w:t>
      </w:r>
      <w:r w:rsidR="00E10346" w:rsidRPr="00E10346">
        <w:rPr>
          <w:rFonts w:eastAsia="Times New Roman"/>
          <w:color w:val="222222"/>
          <w:lang w:eastAsia="en-AU"/>
        </w:rPr>
        <w:t xml:space="preserve"> is available </w:t>
      </w:r>
      <w:r w:rsidR="00E10346" w:rsidRPr="008033A1">
        <w:t xml:space="preserve">on </w:t>
      </w:r>
      <w:hyperlink r:id="rId14" w:history="1">
        <w:r w:rsidRPr="008033A1">
          <w:t>the</w:t>
        </w:r>
      </w:hyperlink>
      <w:r w:rsidRPr="008033A1">
        <w:t xml:space="preserve"> Department of Health and Human Services website</w:t>
      </w:r>
    </w:p>
    <w:p w:rsidR="00E10346" w:rsidRDefault="008033A1" w:rsidP="00E10346">
      <w:pPr>
        <w:pStyle w:val="DHHSbodyBold"/>
        <w:rPr>
          <w:lang w:eastAsia="en-AU"/>
        </w:rPr>
      </w:pPr>
      <w:r>
        <w:rPr>
          <w:i/>
        </w:rPr>
        <w:br w:type="column"/>
      </w:r>
      <w:r w:rsidR="00E10346">
        <w:rPr>
          <w:lang w:eastAsia="en-AU"/>
        </w:rPr>
        <w:lastRenderedPageBreak/>
        <w:t>Service type, Capital Development Guideline and fire safety certificates</w:t>
      </w:r>
    </w:p>
    <w:tbl>
      <w:tblPr>
        <w:tblW w:w="8661" w:type="dxa"/>
        <w:tblInd w:w="262"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3686"/>
        <w:gridCol w:w="4975"/>
      </w:tblGrid>
      <w:tr w:rsidR="00E10346" w:rsidRPr="00276391" w:rsidTr="00E10346">
        <w:trPr>
          <w:tblHeader/>
        </w:trPr>
        <w:tc>
          <w:tcPr>
            <w:tcW w:w="3686" w:type="dxa"/>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hideMark/>
          </w:tcPr>
          <w:p w:rsidR="00E10346" w:rsidRPr="00E10346" w:rsidRDefault="00E10346" w:rsidP="00E10346">
            <w:pPr>
              <w:pStyle w:val="DHHStablecolhead"/>
              <w:rPr>
                <w:color w:val="201547"/>
              </w:rPr>
            </w:pPr>
            <w:r w:rsidRPr="00E10346">
              <w:rPr>
                <w:color w:val="201547"/>
              </w:rPr>
              <w:t>Expectations</w:t>
            </w:r>
          </w:p>
        </w:tc>
        <w:tc>
          <w:tcPr>
            <w:tcW w:w="4975" w:type="dxa"/>
            <w:tcBorders>
              <w:top w:val="single" w:sz="6" w:space="0" w:color="auto"/>
              <w:left w:val="single" w:sz="6" w:space="0" w:color="auto"/>
              <w:bottom w:val="single" w:sz="6" w:space="0" w:color="auto"/>
              <w:right w:val="single" w:sz="6" w:space="0" w:color="auto"/>
            </w:tcBorders>
            <w:shd w:val="clear" w:color="auto" w:fill="auto"/>
            <w:tcMar>
              <w:top w:w="72" w:type="dxa"/>
              <w:left w:w="120" w:type="dxa"/>
              <w:bottom w:w="72" w:type="dxa"/>
              <w:right w:w="120" w:type="dxa"/>
            </w:tcMar>
            <w:hideMark/>
          </w:tcPr>
          <w:p w:rsidR="00E10346" w:rsidRPr="00E10346" w:rsidRDefault="00E10346" w:rsidP="00E10346">
            <w:pPr>
              <w:pStyle w:val="DHHStablecolhead"/>
              <w:rPr>
                <w:color w:val="201547"/>
              </w:rPr>
            </w:pPr>
            <w:r w:rsidRPr="00E10346">
              <w:rPr>
                <w:rFonts w:eastAsia="Times"/>
                <w:color w:val="201547"/>
              </w:rPr>
              <w:t>Suggested examples</w:t>
            </w:r>
          </w:p>
        </w:tc>
      </w:tr>
      <w:tr w:rsidR="00E10346" w:rsidRPr="00276391" w:rsidTr="00E10346">
        <w:tc>
          <w:tcPr>
            <w:tcW w:w="3686" w:type="dxa"/>
            <w:tcBorders>
              <w:top w:val="single" w:sz="6" w:space="0" w:color="auto"/>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10346" w:rsidRPr="003555E9" w:rsidRDefault="00E10346" w:rsidP="00E10346">
            <w:pPr>
              <w:pStyle w:val="DHHSbody"/>
              <w:rPr>
                <w:lang w:eastAsia="en-AU"/>
              </w:rPr>
            </w:pPr>
            <w:r w:rsidRPr="006F6E23">
              <w:rPr>
                <w:lang w:eastAsia="en-AU"/>
              </w:rPr>
              <w:t xml:space="preserve">Organisation’s foundational documents (vision, values, strategic plan) include statements of </w:t>
            </w:r>
            <w:r w:rsidRPr="00E10346">
              <w:rPr>
                <w:b/>
                <w:lang w:eastAsia="en-AU"/>
              </w:rPr>
              <w:t>commitment to Aboriginal self-determination, culturally competent practice and cultural safety.</w:t>
            </w:r>
          </w:p>
        </w:tc>
        <w:tc>
          <w:tcPr>
            <w:tcW w:w="4975" w:type="dxa"/>
            <w:tcBorders>
              <w:top w:val="single" w:sz="6" w:space="0" w:color="auto"/>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10346" w:rsidRPr="006F6E23" w:rsidRDefault="00E10346" w:rsidP="00E10346">
            <w:pPr>
              <w:pStyle w:val="DHHSbulletindent"/>
              <w:rPr>
                <w:lang w:eastAsia="en-AU"/>
              </w:rPr>
            </w:pPr>
            <w:r w:rsidRPr="006F6E23">
              <w:rPr>
                <w:lang w:eastAsia="en-AU"/>
              </w:rPr>
              <w:t xml:space="preserve">Organisational foundational documents such as strategic plans, operational plans and program manuals include strong statements of commitment to self-determination and to meeting social obligations to address inequity, racism and promote cultural safety. </w:t>
            </w:r>
          </w:p>
          <w:p w:rsidR="00E10346" w:rsidRPr="006F6E23" w:rsidRDefault="00E10346" w:rsidP="00E10346">
            <w:pPr>
              <w:pStyle w:val="DHHSbulletindent"/>
              <w:rPr>
                <w:lang w:eastAsia="en-AU"/>
              </w:rPr>
            </w:pPr>
            <w:r w:rsidRPr="006F6E23">
              <w:rPr>
                <w:lang w:eastAsia="en-AU"/>
              </w:rPr>
              <w:t xml:space="preserve">Organisational documents define a set of values and principles and demonstrate anticipated behaviours, attitudes, policies and structures that will enable the organisation to work effectively cross-culturally with a commitment to the cultural safety of Aboriginal people. </w:t>
            </w:r>
          </w:p>
          <w:p w:rsidR="00E10346" w:rsidRDefault="00E10346" w:rsidP="00E10346">
            <w:pPr>
              <w:pStyle w:val="DHHSbulletindent"/>
              <w:rPr>
                <w:lang w:eastAsia="en-AU"/>
              </w:rPr>
            </w:pPr>
            <w:r w:rsidRPr="006F6E23">
              <w:rPr>
                <w:lang w:eastAsia="en-AU"/>
              </w:rPr>
              <w:t xml:space="preserve">Policies and procedures promote Aboriginal peoples’ right to culture and their right to participate in cultural activities within their chosen communities. </w:t>
            </w:r>
          </w:p>
          <w:p w:rsidR="00E10346" w:rsidRPr="00E10346" w:rsidRDefault="00E10346" w:rsidP="00E10346">
            <w:pPr>
              <w:pStyle w:val="DHHSbulletindent"/>
              <w:rPr>
                <w:lang w:eastAsia="en-AU"/>
              </w:rPr>
            </w:pPr>
            <w:r w:rsidRPr="00E10346">
              <w:rPr>
                <w:lang w:eastAsia="en-AU"/>
              </w:rPr>
              <w:t>A documented and continuous organisational quality improvement plan is in place for improving the experience of Aboriginal people using services within the organisation</w:t>
            </w:r>
          </w:p>
        </w:tc>
      </w:tr>
      <w:tr w:rsidR="00E10346" w:rsidRPr="00276391" w:rsidTr="00E10346">
        <w:tc>
          <w:tcPr>
            <w:tcW w:w="3686"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10346" w:rsidRDefault="00E10346" w:rsidP="00E10346">
            <w:pPr>
              <w:pStyle w:val="DHHSbody"/>
              <w:rPr>
                <w:lang w:eastAsia="en-AU"/>
              </w:rPr>
            </w:pPr>
            <w:r w:rsidRPr="006F6E23">
              <w:rPr>
                <w:lang w:eastAsia="en-AU"/>
              </w:rPr>
              <w:t xml:space="preserve">Your organisation has </w:t>
            </w:r>
            <w:r w:rsidRPr="00E10346">
              <w:rPr>
                <w:b/>
                <w:lang w:eastAsia="en-AU"/>
              </w:rPr>
              <w:t>systems in place to recognise and ensure cultural safety for Aboriginal workforce and people accessing services.</w:t>
            </w:r>
          </w:p>
          <w:p w:rsidR="00E10346" w:rsidRPr="002F6DC5" w:rsidRDefault="00E10346" w:rsidP="00B45CDA">
            <w:pPr>
              <w:pStyle w:val="DHHStabletext"/>
              <w:rPr>
                <w:strike/>
                <w:lang w:eastAsia="en-AU"/>
              </w:rPr>
            </w:pPr>
          </w:p>
        </w:tc>
        <w:tc>
          <w:tcPr>
            <w:tcW w:w="4975"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10346" w:rsidRPr="006F6E23" w:rsidRDefault="00E10346" w:rsidP="00E10346">
            <w:pPr>
              <w:pStyle w:val="DHHSbulletindent"/>
              <w:rPr>
                <w:lang w:eastAsia="en-AU"/>
              </w:rPr>
            </w:pPr>
            <w:r w:rsidRPr="006F6E23">
              <w:rPr>
                <w:lang w:eastAsia="en-AU"/>
              </w:rPr>
              <w:t xml:space="preserve">Documented reception processes encourage users to identify if they or their children are Aboriginal or Torres Strait islander and for intake staff to ask clients if they or their children identify as Aboriginal and Torres Strait Islander. </w:t>
            </w:r>
          </w:p>
          <w:p w:rsidR="00E10346" w:rsidRPr="006F6E23" w:rsidRDefault="00E10346" w:rsidP="00E10346">
            <w:pPr>
              <w:pStyle w:val="DHHSbulletindent"/>
              <w:rPr>
                <w:lang w:eastAsia="en-AU"/>
              </w:rPr>
            </w:pPr>
            <w:r w:rsidRPr="006F6E23">
              <w:rPr>
                <w:lang w:eastAsia="en-AU"/>
              </w:rPr>
              <w:t>Documented policies and procedures, such as inclusion and diversity policies</w:t>
            </w:r>
            <w:r>
              <w:rPr>
                <w:lang w:eastAsia="en-AU"/>
              </w:rPr>
              <w:t xml:space="preserve"> and reconciliation action plans, that</w:t>
            </w:r>
            <w:r w:rsidRPr="006F6E23">
              <w:rPr>
                <w:lang w:eastAsia="en-AU"/>
              </w:rPr>
              <w:t xml:space="preserve"> tackle racism and address potential discrimination against Aboriginal service users and Aboriginal workforce. </w:t>
            </w:r>
          </w:p>
          <w:p w:rsidR="00E10346" w:rsidRPr="006F6E23" w:rsidRDefault="00E10346" w:rsidP="00E10346">
            <w:pPr>
              <w:pStyle w:val="DHHSbulletindent"/>
              <w:rPr>
                <w:lang w:eastAsia="en-AU"/>
              </w:rPr>
            </w:pPr>
            <w:r w:rsidRPr="006F6E23">
              <w:rPr>
                <w:lang w:eastAsia="en-AU"/>
              </w:rPr>
              <w:t>There are documented policies and procedures in place</w:t>
            </w:r>
            <w:r>
              <w:t xml:space="preserve"> </w:t>
            </w:r>
            <w:r w:rsidRPr="00136587">
              <w:rPr>
                <w:lang w:eastAsia="en-AU"/>
              </w:rPr>
              <w:t>to improve outcomes</w:t>
            </w:r>
            <w:r w:rsidRPr="006F6E23">
              <w:rPr>
                <w:lang w:eastAsia="en-AU"/>
              </w:rPr>
              <w:t xml:space="preserve"> for Aboriginal clients from diverse backgrounds including those </w:t>
            </w:r>
            <w:r>
              <w:rPr>
                <w:lang w:eastAsia="en-AU"/>
              </w:rPr>
              <w:t>with multiple and complex needs</w:t>
            </w:r>
            <w:r w:rsidRPr="006F6E23">
              <w:rPr>
                <w:lang w:eastAsia="en-AU"/>
              </w:rPr>
              <w:t xml:space="preserve">. </w:t>
            </w:r>
          </w:p>
          <w:p w:rsidR="00E10346" w:rsidRDefault="00E10346" w:rsidP="00E10346">
            <w:pPr>
              <w:pStyle w:val="DHHSbulletindent"/>
              <w:rPr>
                <w:lang w:eastAsia="en-AU"/>
              </w:rPr>
            </w:pPr>
            <w:r w:rsidRPr="006F6E23">
              <w:rPr>
                <w:lang w:eastAsia="en-AU"/>
              </w:rPr>
              <w:t>Documented audits or surveys assess whether Aboriginal people (both staff and clients) have experienced racism or discrimination in their engagement with the agency.</w:t>
            </w:r>
          </w:p>
          <w:p w:rsidR="00E10346" w:rsidRPr="00E10346" w:rsidRDefault="00E10346" w:rsidP="00E10346">
            <w:pPr>
              <w:pStyle w:val="DHHSbulletindent"/>
              <w:rPr>
                <w:lang w:eastAsia="en-AU"/>
              </w:rPr>
            </w:pPr>
            <w:r w:rsidRPr="00EC6035">
              <w:rPr>
                <w:lang w:eastAsia="en-AU"/>
              </w:rPr>
              <w:t>Your organisation acknowledges the Traditional Owners of the land at the beginning of meetings and events.</w:t>
            </w:r>
          </w:p>
        </w:tc>
      </w:tr>
      <w:tr w:rsidR="00E10346" w:rsidRPr="00276391" w:rsidTr="00E10346">
        <w:tc>
          <w:tcPr>
            <w:tcW w:w="3686"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10346" w:rsidRPr="006F6E23" w:rsidRDefault="00E10346" w:rsidP="00E10346">
            <w:pPr>
              <w:pStyle w:val="DHHSbody"/>
              <w:rPr>
                <w:b/>
                <w:lang w:eastAsia="en-AU"/>
              </w:rPr>
            </w:pPr>
            <w:r w:rsidRPr="00EC6035">
              <w:rPr>
                <w:lang w:eastAsia="en-AU"/>
              </w:rPr>
              <w:lastRenderedPageBreak/>
              <w:t xml:space="preserve">Your organisation </w:t>
            </w:r>
            <w:r>
              <w:rPr>
                <w:b/>
                <w:lang w:eastAsia="en-AU"/>
              </w:rPr>
              <w:t>engages</w:t>
            </w:r>
            <w:r w:rsidRPr="00236567">
              <w:rPr>
                <w:b/>
                <w:lang w:eastAsia="en-AU"/>
              </w:rPr>
              <w:t xml:space="preserve"> with Aboriginal people</w:t>
            </w:r>
            <w:r w:rsidRPr="00EC6035">
              <w:rPr>
                <w:lang w:eastAsia="en-AU"/>
              </w:rPr>
              <w:t>, their families and the wider community on how to design, deliver and review services based on priorities and needs they identify.</w:t>
            </w:r>
          </w:p>
        </w:tc>
        <w:tc>
          <w:tcPr>
            <w:tcW w:w="4975"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10346" w:rsidRPr="00EC6035" w:rsidRDefault="00E10346" w:rsidP="00E10346">
            <w:pPr>
              <w:pStyle w:val="DHHSbulletindent"/>
              <w:rPr>
                <w:lang w:eastAsia="en-AU"/>
              </w:rPr>
            </w:pPr>
            <w:r w:rsidRPr="00EC6035">
              <w:rPr>
                <w:lang w:eastAsia="en-AU"/>
              </w:rPr>
              <w:t xml:space="preserve">Documented systems are in place to ensure that Aboriginal people have inputs into service </w:t>
            </w:r>
            <w:r>
              <w:rPr>
                <w:lang w:eastAsia="en-AU"/>
              </w:rPr>
              <w:t xml:space="preserve">design and </w:t>
            </w:r>
            <w:r w:rsidRPr="00EC6035">
              <w:rPr>
                <w:lang w:eastAsia="en-AU"/>
              </w:rPr>
              <w:t>planning. For example, Aboriginal people attend focus groups and quality review meetings to provide feedback</w:t>
            </w:r>
            <w:r>
              <w:rPr>
                <w:lang w:eastAsia="en-AU"/>
              </w:rPr>
              <w:t>, and developing MOUs with Aboriginal Organisations</w:t>
            </w:r>
          </w:p>
          <w:p w:rsidR="00E10346" w:rsidRDefault="00E10346" w:rsidP="00E10346">
            <w:pPr>
              <w:pStyle w:val="DHHSbulletindent"/>
              <w:rPr>
                <w:lang w:eastAsia="en-AU"/>
              </w:rPr>
            </w:pPr>
            <w:r w:rsidRPr="00EC6035">
              <w:rPr>
                <w:lang w:eastAsia="en-AU"/>
              </w:rPr>
              <w:t xml:space="preserve">Feedback is documented and incorporated into revised service responses, governance and policies where appropriate. </w:t>
            </w:r>
          </w:p>
          <w:p w:rsidR="00E10346" w:rsidRDefault="00E10346" w:rsidP="00E10346">
            <w:pPr>
              <w:pStyle w:val="DHHSbulletindent"/>
              <w:rPr>
                <w:lang w:eastAsia="en-AU"/>
              </w:rPr>
            </w:pPr>
            <w:r>
              <w:rPr>
                <w:lang w:eastAsia="en-AU"/>
              </w:rPr>
              <w:t>C</w:t>
            </w:r>
            <w:r w:rsidRPr="00236567">
              <w:rPr>
                <w:lang w:eastAsia="en-AU"/>
              </w:rPr>
              <w:t>ultural safety plans</w:t>
            </w:r>
            <w:r>
              <w:rPr>
                <w:lang w:eastAsia="en-AU"/>
              </w:rPr>
              <w:t xml:space="preserve"> are developed</w:t>
            </w:r>
            <w:r w:rsidRPr="00236567">
              <w:rPr>
                <w:lang w:eastAsia="en-AU"/>
              </w:rPr>
              <w:t xml:space="preserve"> in partnership with Aboriginal community</w:t>
            </w:r>
            <w:r>
              <w:rPr>
                <w:lang w:eastAsia="en-AU"/>
              </w:rPr>
              <w:t>-controlled</w:t>
            </w:r>
            <w:r w:rsidRPr="00236567">
              <w:rPr>
                <w:lang w:eastAsia="en-AU"/>
              </w:rPr>
              <w:t xml:space="preserve"> organisations or community representatives</w:t>
            </w:r>
            <w:r>
              <w:rPr>
                <w:lang w:eastAsia="en-AU"/>
              </w:rPr>
              <w:t>.</w:t>
            </w:r>
          </w:p>
          <w:p w:rsidR="00E10346" w:rsidRPr="00276391" w:rsidRDefault="00E10346" w:rsidP="00E10346">
            <w:pPr>
              <w:pStyle w:val="DHHStabletext"/>
              <w:rPr>
                <w:lang w:eastAsia="en-AU"/>
              </w:rPr>
            </w:pPr>
          </w:p>
        </w:tc>
      </w:tr>
      <w:tr w:rsidR="00E10346" w:rsidRPr="00276391" w:rsidTr="00E10346">
        <w:tc>
          <w:tcPr>
            <w:tcW w:w="3686"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10346" w:rsidRPr="00276391" w:rsidRDefault="00EB4B00" w:rsidP="00EB4B00">
            <w:pPr>
              <w:pStyle w:val="DHHSbody"/>
              <w:rPr>
                <w:lang w:eastAsia="en-AU"/>
              </w:rPr>
            </w:pPr>
            <w:r w:rsidRPr="000F1416">
              <w:rPr>
                <w:lang w:eastAsia="en-AU"/>
              </w:rPr>
              <w:t xml:space="preserve">Your organisation has a </w:t>
            </w:r>
            <w:r w:rsidRPr="00236567">
              <w:rPr>
                <w:b/>
                <w:lang w:eastAsia="en-AU"/>
              </w:rPr>
              <w:t>training strategy</w:t>
            </w:r>
            <w:r w:rsidRPr="000F1416">
              <w:rPr>
                <w:lang w:eastAsia="en-AU"/>
              </w:rPr>
              <w:t xml:space="preserve"> that addresses the need for ongoing training and professional development in cultural awareness, cultural safety and cultural competency.</w:t>
            </w:r>
          </w:p>
        </w:tc>
        <w:tc>
          <w:tcPr>
            <w:tcW w:w="4975"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B4B00" w:rsidRPr="000F1416" w:rsidRDefault="00EB4B00" w:rsidP="00EB4B00">
            <w:pPr>
              <w:pStyle w:val="DHHSbulletindent"/>
              <w:rPr>
                <w:lang w:eastAsia="en-AU"/>
              </w:rPr>
            </w:pPr>
            <w:r w:rsidRPr="000F1416">
              <w:rPr>
                <w:lang w:eastAsia="en-AU"/>
              </w:rPr>
              <w:t xml:space="preserve">A training strategy is developed or adjusted to include cultural awareness, cultural safety and cultural competency training. </w:t>
            </w:r>
          </w:p>
          <w:p w:rsidR="00EB4B00" w:rsidRPr="00F905ED" w:rsidRDefault="00EB4B00" w:rsidP="00EB4B00">
            <w:pPr>
              <w:pStyle w:val="DHHSbulletindent"/>
              <w:rPr>
                <w:lang w:eastAsia="en-AU"/>
              </w:rPr>
            </w:pPr>
            <w:r w:rsidRPr="000F1416">
              <w:rPr>
                <w:lang w:eastAsia="en-AU"/>
              </w:rPr>
              <w:t xml:space="preserve">Compulsory cultural awareness, safety and competency training is provided to all levels of the organisation from Board, Senior Management, and Team Leader to </w:t>
            </w:r>
            <w:r>
              <w:rPr>
                <w:lang w:eastAsia="en-AU"/>
              </w:rPr>
              <w:t>service delivery staff</w:t>
            </w:r>
            <w:r w:rsidRPr="000F1416">
              <w:rPr>
                <w:lang w:eastAsia="en-AU"/>
              </w:rPr>
              <w:t xml:space="preserve">. </w:t>
            </w:r>
          </w:p>
          <w:p w:rsidR="00E10346" w:rsidRPr="002222FE" w:rsidRDefault="00EB4B00" w:rsidP="00EB4B00">
            <w:pPr>
              <w:pStyle w:val="DHHSbulletindent"/>
              <w:rPr>
                <w:lang w:eastAsia="en-AU"/>
              </w:rPr>
            </w:pPr>
            <w:r w:rsidRPr="000F1416">
              <w:rPr>
                <w:lang w:eastAsia="en-AU"/>
              </w:rPr>
              <w:t xml:space="preserve">Agreements with </w:t>
            </w:r>
            <w:r w:rsidRPr="00225E3A">
              <w:rPr>
                <w:lang w:eastAsia="en-AU"/>
              </w:rPr>
              <w:t>Aboriginal community-controlled organisation</w:t>
            </w:r>
            <w:r w:rsidRPr="000F1416">
              <w:rPr>
                <w:lang w:eastAsia="en-AU"/>
              </w:rPr>
              <w:t xml:space="preserve">s are developed for providing training in local Aboriginal protocols, agreements </w:t>
            </w:r>
            <w:r>
              <w:rPr>
                <w:lang w:eastAsia="en-AU"/>
              </w:rPr>
              <w:t xml:space="preserve">and </w:t>
            </w:r>
            <w:r w:rsidRPr="000F1416">
              <w:rPr>
                <w:lang w:eastAsia="en-AU"/>
              </w:rPr>
              <w:t>frameworks to ensure cultural safety</w:t>
            </w:r>
            <w:r>
              <w:rPr>
                <w:lang w:eastAsia="en-AU"/>
              </w:rPr>
              <w:t>.</w:t>
            </w:r>
          </w:p>
        </w:tc>
      </w:tr>
      <w:tr w:rsidR="00E10346" w:rsidRPr="00276391" w:rsidTr="00E10346">
        <w:tc>
          <w:tcPr>
            <w:tcW w:w="3686"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10346" w:rsidRPr="00276391" w:rsidRDefault="00EB4B00" w:rsidP="00EB4B00">
            <w:pPr>
              <w:pStyle w:val="DHHSbody"/>
              <w:rPr>
                <w:lang w:eastAsia="en-AU"/>
              </w:rPr>
            </w:pPr>
            <w:r w:rsidRPr="000F1416">
              <w:rPr>
                <w:lang w:eastAsia="en-AU"/>
              </w:rPr>
              <w:t xml:space="preserve">Your organisation </w:t>
            </w:r>
            <w:r w:rsidRPr="00225E3A">
              <w:rPr>
                <w:b/>
                <w:lang w:eastAsia="en-AU"/>
              </w:rPr>
              <w:t>monitors and evaluates cultural safety</w:t>
            </w:r>
            <w:r w:rsidRPr="000F1416">
              <w:rPr>
                <w:lang w:eastAsia="en-AU"/>
              </w:rPr>
              <w:t xml:space="preserve"> within your organisation</w:t>
            </w:r>
            <w:r>
              <w:rPr>
                <w:lang w:eastAsia="en-AU"/>
              </w:rPr>
              <w:t>.</w:t>
            </w:r>
          </w:p>
        </w:tc>
        <w:tc>
          <w:tcPr>
            <w:tcW w:w="4975"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hideMark/>
          </w:tcPr>
          <w:p w:rsidR="00EB4B00" w:rsidRDefault="00EB4B00" w:rsidP="00EB4B00">
            <w:pPr>
              <w:pStyle w:val="DHHSbulletindent"/>
              <w:rPr>
                <w:lang w:eastAsia="en-AU"/>
              </w:rPr>
            </w:pPr>
            <w:r w:rsidRPr="000F1416">
              <w:rPr>
                <w:lang w:eastAsia="en-AU"/>
              </w:rPr>
              <w:t>There is a Cultural Safety Action Plan and review which shows progress in the organisation that ranges from awareness to capability.</w:t>
            </w:r>
          </w:p>
          <w:p w:rsidR="00EB4B00" w:rsidRDefault="00EB4B00" w:rsidP="00EB4B00">
            <w:pPr>
              <w:pStyle w:val="DHHSbulletindent"/>
              <w:rPr>
                <w:lang w:eastAsia="en-AU"/>
              </w:rPr>
            </w:pPr>
            <w:r w:rsidRPr="00A90DFC">
              <w:rPr>
                <w:lang w:eastAsia="en-AU"/>
              </w:rPr>
              <w:t xml:space="preserve">A documented and continuous quality-improvement process is in place for assessing, monitoring and enhancing the cultural safety of the service environment. This </w:t>
            </w:r>
            <w:r>
              <w:rPr>
                <w:lang w:eastAsia="en-AU"/>
              </w:rPr>
              <w:t xml:space="preserve">may include </w:t>
            </w:r>
            <w:r w:rsidRPr="00A90DFC">
              <w:rPr>
                <w:lang w:eastAsia="en-AU"/>
              </w:rPr>
              <w:t>existing performance measures</w:t>
            </w:r>
            <w:r>
              <w:rPr>
                <w:lang w:eastAsia="en-AU"/>
              </w:rPr>
              <w:t>.</w:t>
            </w:r>
          </w:p>
          <w:p w:rsidR="00E10346" w:rsidRPr="002222FE" w:rsidRDefault="00EB4B00" w:rsidP="00837100">
            <w:pPr>
              <w:pStyle w:val="DHHSbulletindent"/>
              <w:rPr>
                <w:lang w:eastAsia="en-AU"/>
              </w:rPr>
            </w:pPr>
            <w:r>
              <w:t>Organisation works with Aboriginal organisations to ensure that cultural safety commitments and cultural competency requirements are assessed by Aboriginal people and organisations.</w:t>
            </w:r>
          </w:p>
        </w:tc>
      </w:tr>
      <w:tr w:rsidR="00E10346" w:rsidRPr="00276391" w:rsidTr="00E10346">
        <w:tc>
          <w:tcPr>
            <w:tcW w:w="3686"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E10346" w:rsidRPr="00276391" w:rsidRDefault="0008191D" w:rsidP="00E10346">
            <w:pPr>
              <w:pStyle w:val="DHHStabletext"/>
              <w:rPr>
                <w:lang w:eastAsia="en-AU"/>
              </w:rPr>
            </w:pPr>
            <w:r w:rsidRPr="000F1416">
              <w:rPr>
                <w:rFonts w:cs="Arial"/>
                <w:color w:val="222222"/>
                <w:lang w:eastAsia="en-AU"/>
              </w:rPr>
              <w:t xml:space="preserve">The service provides a culturally safe and </w:t>
            </w:r>
            <w:r w:rsidRPr="00225E3A">
              <w:rPr>
                <w:rFonts w:cs="Arial"/>
                <w:b/>
                <w:color w:val="222222"/>
                <w:lang w:eastAsia="en-AU"/>
              </w:rPr>
              <w:t>welcoming physical environmen</w:t>
            </w:r>
            <w:r w:rsidRPr="000F1416">
              <w:rPr>
                <w:rFonts w:cs="Arial"/>
                <w:color w:val="222222"/>
                <w:lang w:eastAsia="en-AU"/>
              </w:rPr>
              <w:t>t for Aboriginal people.</w:t>
            </w:r>
          </w:p>
        </w:tc>
        <w:tc>
          <w:tcPr>
            <w:tcW w:w="4975"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hideMark/>
          </w:tcPr>
          <w:p w:rsidR="00837100" w:rsidRDefault="00837100" w:rsidP="00837100">
            <w:pPr>
              <w:pStyle w:val="DHHSbulletindent"/>
              <w:rPr>
                <w:lang w:eastAsia="en-AU"/>
              </w:rPr>
            </w:pPr>
            <w:r w:rsidRPr="000F1416">
              <w:rPr>
                <w:lang w:eastAsia="en-AU"/>
              </w:rPr>
              <w:t xml:space="preserve">Internal and outside spaces </w:t>
            </w:r>
            <w:r>
              <w:rPr>
                <w:lang w:eastAsia="en-AU"/>
              </w:rPr>
              <w:t xml:space="preserve">are welcoming, </w:t>
            </w:r>
            <w:r w:rsidRPr="000F1416">
              <w:rPr>
                <w:lang w:eastAsia="en-AU"/>
              </w:rPr>
              <w:t>contain formal acknowledgement</w:t>
            </w:r>
            <w:r>
              <w:rPr>
                <w:lang w:eastAsia="en-AU"/>
              </w:rPr>
              <w:t xml:space="preserve"> and </w:t>
            </w:r>
            <w:r w:rsidRPr="000F1416">
              <w:rPr>
                <w:lang w:eastAsia="en-AU"/>
              </w:rPr>
              <w:t>culturally appropriate pamphlets and health information.</w:t>
            </w:r>
          </w:p>
          <w:p w:rsidR="00837100" w:rsidRPr="00626F2E" w:rsidRDefault="00837100" w:rsidP="00837100">
            <w:pPr>
              <w:pStyle w:val="DHHSbulletindent"/>
              <w:rPr>
                <w:lang w:eastAsia="en-AU"/>
              </w:rPr>
            </w:pPr>
            <w:r>
              <w:rPr>
                <w:lang w:eastAsia="en-AU"/>
              </w:rPr>
              <w:lastRenderedPageBreak/>
              <w:t xml:space="preserve">Receptionists are provided with training that highlights the unique and important role they play in welcoming Aboriginal children and families to the organisation and the importance of respectful face-to-face and over-the-phone contact and use of respectful </w:t>
            </w:r>
            <w:r w:rsidRPr="00626F2E">
              <w:rPr>
                <w:lang w:eastAsia="en-AU"/>
              </w:rPr>
              <w:t xml:space="preserve">language. </w:t>
            </w:r>
          </w:p>
          <w:p w:rsidR="00E10346" w:rsidRPr="00276391" w:rsidRDefault="00E10346" w:rsidP="00E10346">
            <w:pPr>
              <w:pStyle w:val="DHHStabletext"/>
              <w:rPr>
                <w:lang w:eastAsia="en-AU"/>
              </w:rPr>
            </w:pPr>
          </w:p>
        </w:tc>
      </w:tr>
      <w:tr w:rsidR="00EB4B00" w:rsidRPr="00276391" w:rsidTr="00E10346">
        <w:tc>
          <w:tcPr>
            <w:tcW w:w="3686"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tcPr>
          <w:p w:rsidR="00EB4B00" w:rsidRDefault="00837100" w:rsidP="00837100">
            <w:pPr>
              <w:pStyle w:val="DHHSbody"/>
              <w:rPr>
                <w:color w:val="000000"/>
                <w:szCs w:val="19"/>
                <w:lang w:eastAsia="en-AU"/>
              </w:rPr>
            </w:pPr>
            <w:r>
              <w:rPr>
                <w:lang w:eastAsia="en-AU"/>
              </w:rPr>
              <w:lastRenderedPageBreak/>
              <w:t xml:space="preserve">Your organisation </w:t>
            </w:r>
            <w:r w:rsidRPr="006757A3">
              <w:rPr>
                <w:b/>
                <w:lang w:eastAsia="en-AU"/>
              </w:rPr>
              <w:t>partners with Aboriginal organisations and communities</w:t>
            </w:r>
            <w:r w:rsidRPr="006757A3">
              <w:rPr>
                <w:lang w:eastAsia="en-AU"/>
              </w:rPr>
              <w:t xml:space="preserve"> in your service area and the programs and activities they provide</w:t>
            </w:r>
            <w:r w:rsidRPr="00B572B1">
              <w:rPr>
                <w:lang w:eastAsia="en-AU"/>
              </w:rPr>
              <w:t>.</w:t>
            </w:r>
          </w:p>
        </w:tc>
        <w:tc>
          <w:tcPr>
            <w:tcW w:w="4975"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vAlign w:val="center"/>
          </w:tcPr>
          <w:p w:rsidR="00837100" w:rsidRPr="00837100" w:rsidRDefault="00837100" w:rsidP="00837100">
            <w:pPr>
              <w:pStyle w:val="DHHSbulletindent"/>
            </w:pPr>
            <w:r w:rsidRPr="00837100">
              <w:t xml:space="preserve">Organisational documents reflect knowledge and understanding of local Aboriginal community organisations, people, their culture, practices, protocols and historical connections. </w:t>
            </w:r>
          </w:p>
          <w:p w:rsidR="00837100" w:rsidRPr="00837100" w:rsidRDefault="00837100" w:rsidP="00837100">
            <w:pPr>
              <w:pStyle w:val="DHHSbulletindent"/>
            </w:pPr>
            <w:r w:rsidRPr="00837100">
              <w:t xml:space="preserve">Referrals to Aboriginal organisational program areas are always encouraged and discussed with clients. </w:t>
            </w:r>
          </w:p>
          <w:p w:rsidR="00837100" w:rsidRPr="00837100" w:rsidRDefault="00837100" w:rsidP="00837100">
            <w:pPr>
              <w:pStyle w:val="DHHSbulletindent"/>
            </w:pPr>
            <w:r w:rsidRPr="00837100">
              <w:t>The organisation demonstrates a commitment to celebratory cultural events, and participates in activities such as NAIDOC, Reconciliation Week, Sorry Day, Mabo Day, Aboriginal and Torres Strait Islander Children’s Day.</w:t>
            </w:r>
          </w:p>
          <w:p w:rsidR="00EB4B00" w:rsidRPr="00837100" w:rsidRDefault="00837100" w:rsidP="00E10346">
            <w:pPr>
              <w:pStyle w:val="DHHSbulletindent"/>
            </w:pPr>
            <w:r w:rsidRPr="00837100">
              <w:t>Organisation conduct events and activities in partnership with Aboriginal community members and Aboriginal community</w:t>
            </w:r>
            <w:r>
              <w:t>-</w:t>
            </w:r>
            <w:r w:rsidRPr="00837100">
              <w:t xml:space="preserve"> controlled organisations.</w:t>
            </w:r>
          </w:p>
        </w:tc>
      </w:tr>
      <w:tr w:rsidR="00837100" w:rsidRPr="00276391" w:rsidTr="0038452E">
        <w:tc>
          <w:tcPr>
            <w:tcW w:w="3686"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tcPr>
          <w:p w:rsidR="00837100" w:rsidRDefault="00837100" w:rsidP="00837100">
            <w:pPr>
              <w:pStyle w:val="DHHSbody"/>
              <w:rPr>
                <w:rFonts w:ascii="VIC" w:hAnsi="VIC"/>
                <w:sz w:val="27"/>
                <w:szCs w:val="27"/>
                <w:shd w:val="clear" w:color="auto" w:fill="FFFFFF"/>
              </w:rPr>
            </w:pPr>
            <w:r w:rsidRPr="00B572B1">
              <w:rPr>
                <w:lang w:eastAsia="en-AU"/>
              </w:rPr>
              <w:t xml:space="preserve">Your organisation’s workforce strategy includes </w:t>
            </w:r>
            <w:r w:rsidRPr="00837100">
              <w:rPr>
                <w:b/>
                <w:lang w:eastAsia="en-AU"/>
              </w:rPr>
              <w:t>a commitment to employ Aboriginal people in the organisation</w:t>
            </w:r>
            <w:r w:rsidRPr="00B572B1">
              <w:rPr>
                <w:lang w:eastAsia="en-AU"/>
              </w:rPr>
              <w:t>.</w:t>
            </w:r>
          </w:p>
        </w:tc>
        <w:tc>
          <w:tcPr>
            <w:tcW w:w="4975" w:type="dxa"/>
            <w:tcBorders>
              <w:top w:val="single" w:sz="6" w:space="0" w:color="006699"/>
              <w:left w:val="single" w:sz="6" w:space="0" w:color="006699"/>
              <w:bottom w:val="single" w:sz="6" w:space="0" w:color="006699"/>
              <w:right w:val="single" w:sz="6" w:space="0" w:color="006699"/>
            </w:tcBorders>
            <w:shd w:val="clear" w:color="auto" w:fill="auto"/>
            <w:tcMar>
              <w:top w:w="24" w:type="dxa"/>
              <w:left w:w="120" w:type="dxa"/>
              <w:bottom w:w="24" w:type="dxa"/>
              <w:right w:w="120" w:type="dxa"/>
            </w:tcMar>
          </w:tcPr>
          <w:p w:rsidR="00837100" w:rsidRPr="00837100" w:rsidRDefault="00837100" w:rsidP="00837100">
            <w:pPr>
              <w:pStyle w:val="DHHSbulletindent"/>
            </w:pPr>
            <w:r w:rsidRPr="00837100">
              <w:t>A workforce strategy outlines a target to employing Aboriginal people and that also includes measures for identifying training and developmental pathways and career progression opportunities. Targets should be applicable for not just identified positions but all positions across the organisation.</w:t>
            </w:r>
          </w:p>
          <w:p w:rsidR="00837100" w:rsidRPr="00837100" w:rsidRDefault="00837100" w:rsidP="00966451">
            <w:pPr>
              <w:pStyle w:val="DHHSbulletindent"/>
            </w:pPr>
            <w:r w:rsidRPr="00837100">
              <w:t>The recruitment/HR department has undertaken cultural safety training to ensure the recruitment and interview processes are culturally appropriate and safe for Aboriginal applicants.</w:t>
            </w:r>
          </w:p>
        </w:tc>
      </w:tr>
    </w:tbl>
    <w:p w:rsidR="003B5F7F" w:rsidRPr="00196138" w:rsidRDefault="003B5F7F" w:rsidP="003B5F7F">
      <w:pPr>
        <w:pStyle w:val="DHHSbody"/>
        <w:rPr>
          <w:rFonts w:eastAsia="Times New Roman"/>
          <w:lang w:eastAsia="en-AU"/>
        </w:rPr>
      </w:pPr>
    </w:p>
    <w:sectPr w:rsidR="003B5F7F" w:rsidRPr="00196138" w:rsidSect="00FA2F0E">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35E" w:rsidRDefault="00F8635E">
      <w:r>
        <w:separator/>
      </w:r>
    </w:p>
  </w:endnote>
  <w:endnote w:type="continuationSeparator" w:id="0">
    <w:p w:rsidR="00F8635E" w:rsidRDefault="00F8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35E" w:rsidRDefault="00F8635E">
      <w:r>
        <w:separator/>
      </w:r>
    </w:p>
  </w:footnote>
  <w:footnote w:type="continuationSeparator" w:id="0">
    <w:p w:rsidR="00F8635E" w:rsidRDefault="00F86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774"/>
    <w:multiLevelType w:val="hybridMultilevel"/>
    <w:tmpl w:val="21040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5F5282"/>
    <w:multiLevelType w:val="multilevel"/>
    <w:tmpl w:val="FA9CE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62EA3"/>
    <w:multiLevelType w:val="hybridMultilevel"/>
    <w:tmpl w:val="02C8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0E15A9"/>
    <w:multiLevelType w:val="hybridMultilevel"/>
    <w:tmpl w:val="FBA6A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D51B47"/>
    <w:multiLevelType w:val="multilevel"/>
    <w:tmpl w:val="4B4E7622"/>
    <w:numStyleLink w:val="ZZNumbers"/>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DCB4D0D"/>
    <w:multiLevelType w:val="hybridMultilevel"/>
    <w:tmpl w:val="7EA61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96265B"/>
    <w:multiLevelType w:val="multilevel"/>
    <w:tmpl w:val="33EA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31FEA"/>
    <w:multiLevelType w:val="multilevel"/>
    <w:tmpl w:val="0980E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7097E"/>
    <w:multiLevelType w:val="hybridMultilevel"/>
    <w:tmpl w:val="C69E3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BA1E5A"/>
    <w:multiLevelType w:val="multilevel"/>
    <w:tmpl w:val="985CA1AA"/>
    <w:styleLink w:val="ZZBullets"/>
    <w:lvl w:ilvl="0">
      <w:start w:val="1"/>
      <w:numFmt w:val="decimal"/>
      <w:pStyle w:val="DHHSbullet1"/>
      <w:lvlText w:val="%1."/>
      <w:lvlJc w:val="left"/>
      <w:pPr>
        <w:ind w:left="284" w:hanging="284"/>
      </w:pPr>
      <w:rPr>
        <w:rFonts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9FD7F34"/>
    <w:multiLevelType w:val="hybridMultilevel"/>
    <w:tmpl w:val="9AC06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68045D"/>
    <w:multiLevelType w:val="multilevel"/>
    <w:tmpl w:val="362C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E693E"/>
    <w:multiLevelType w:val="hybridMultilevel"/>
    <w:tmpl w:val="7F183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267691"/>
    <w:multiLevelType w:val="hybridMultilevel"/>
    <w:tmpl w:val="52608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0D5206"/>
    <w:multiLevelType w:val="multilevel"/>
    <w:tmpl w:val="985CA1AA"/>
    <w:numStyleLink w:val="ZZBullets"/>
  </w:abstractNum>
  <w:abstractNum w:abstractNumId="16" w15:restartNumberingAfterBreak="0">
    <w:nsid w:val="6F7D5C38"/>
    <w:multiLevelType w:val="hybridMultilevel"/>
    <w:tmpl w:val="2B48D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004FD0"/>
    <w:multiLevelType w:val="multilevel"/>
    <w:tmpl w:val="561E17FE"/>
    <w:lvl w:ilvl="0">
      <w:start w:val="1"/>
      <w:numFmt w:val="lowerLetter"/>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16A2DD5"/>
    <w:multiLevelType w:val="hybridMultilevel"/>
    <w:tmpl w:val="19CCF6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F5513"/>
    <w:multiLevelType w:val="hybridMultilevel"/>
    <w:tmpl w:val="0B4815F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E1E267C"/>
    <w:multiLevelType w:val="multilevel"/>
    <w:tmpl w:val="5D0C2C40"/>
    <w:lvl w:ilvl="0">
      <w:start w:val="1"/>
      <w:numFmt w:val="lowerLetter"/>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9"/>
  </w:num>
  <w:num w:numId="2">
    <w:abstractNumId w:val="1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2"/>
  </w:num>
  <w:num w:numId="18">
    <w:abstractNumId w:val="10"/>
    <w:lvlOverride w:ilvl="0">
      <w:lvl w:ilvl="0">
        <w:start w:val="1"/>
        <w:numFmt w:val="bullet"/>
        <w:pStyle w:val="DHHSbullet1"/>
        <w:lvlText w:val="•"/>
        <w:lvlJc w:val="left"/>
        <w:pPr>
          <w:ind w:left="284"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9">
    <w:abstractNumId w:val="17"/>
  </w:num>
  <w:num w:numId="20">
    <w:abstractNumId w:val="10"/>
    <w:lvlOverride w:ilvl="0">
      <w:lvl w:ilvl="0">
        <w:start w:val="1"/>
        <w:numFmt w:val="bullet"/>
        <w:pStyle w:val="DHHSbullet1"/>
        <w:lvlText w:val="•"/>
        <w:lvlJc w:val="left"/>
        <w:pPr>
          <w:ind w:left="284" w:hanging="284"/>
        </w:pPr>
        <w:rPr>
          <w:rFonts w:ascii="Calibri" w:hAnsi="Calibri" w:hint="default"/>
        </w:rPr>
      </w:lvl>
    </w:lvlOverride>
  </w:num>
  <w:num w:numId="21">
    <w:abstractNumId w:val="16"/>
  </w:num>
  <w:num w:numId="22">
    <w:abstractNumId w:val="12"/>
  </w:num>
  <w:num w:numId="23">
    <w:abstractNumId w:val="1"/>
  </w:num>
  <w:num w:numId="24">
    <w:abstractNumId w:val="7"/>
  </w:num>
  <w:num w:numId="25">
    <w:abstractNumId w:val="8"/>
  </w:num>
  <w:num w:numId="26">
    <w:abstractNumId w:val="6"/>
  </w:num>
  <w:num w:numId="27">
    <w:abstractNumId w:val="21"/>
  </w:num>
  <w:num w:numId="28">
    <w:abstractNumId w:val="18"/>
  </w:num>
  <w:num w:numId="29">
    <w:abstractNumId w:val="9"/>
  </w:num>
  <w:num w:numId="30">
    <w:abstractNumId w:val="20"/>
  </w:num>
  <w:num w:numId="31">
    <w:abstractNumId w:val="15"/>
  </w:num>
  <w:num w:numId="32">
    <w:abstractNumId w:val="14"/>
  </w:num>
  <w:num w:numId="33">
    <w:abstractNumId w:val="10"/>
    <w:lvlOverride w:ilvl="0">
      <w:lvl w:ilvl="0">
        <w:start w:val="1"/>
        <w:numFmt w:val="decimal"/>
        <w:pStyle w:val="DHHSbullet1"/>
        <w:lvlText w:val="%1."/>
        <w:lvlJc w:val="left"/>
        <w:pPr>
          <w:ind w:left="360" w:hanging="360"/>
        </w:pPr>
      </w:lvl>
    </w:lvlOverride>
    <w:lvlOverride w:ilvl="1">
      <w:lvl w:ilvl="1" w:tentative="1">
        <w:start w:val="1"/>
        <w:numFmt w:val="lowerLetter"/>
        <w:pStyle w:val="DHHSbullet1lastline"/>
        <w:lvlText w:val="%2."/>
        <w:lvlJc w:val="left"/>
        <w:pPr>
          <w:ind w:left="1080" w:hanging="360"/>
        </w:pPr>
      </w:lvl>
    </w:lvlOverride>
    <w:lvlOverride w:ilvl="2">
      <w:lvl w:ilvl="2" w:tentative="1">
        <w:start w:val="1"/>
        <w:numFmt w:val="lowerRoman"/>
        <w:pStyle w:val="DHHSbullet2"/>
        <w:lvlText w:val="%3."/>
        <w:lvlJc w:val="right"/>
        <w:pPr>
          <w:ind w:left="1800" w:hanging="180"/>
        </w:pPr>
      </w:lvl>
    </w:lvlOverride>
    <w:lvlOverride w:ilvl="3">
      <w:lvl w:ilvl="3" w:tentative="1">
        <w:start w:val="1"/>
        <w:numFmt w:val="decimal"/>
        <w:pStyle w:val="DHHSbullet2lastline"/>
        <w:lvlText w:val="%4."/>
        <w:lvlJc w:val="left"/>
        <w:pPr>
          <w:ind w:left="2520" w:hanging="360"/>
        </w:pPr>
      </w:lvl>
    </w:lvlOverride>
    <w:lvlOverride w:ilvl="4">
      <w:lvl w:ilvl="4" w:tentative="1">
        <w:start w:val="1"/>
        <w:numFmt w:val="lowerLetter"/>
        <w:pStyle w:val="DHHSbulletindent"/>
        <w:lvlText w:val="%5."/>
        <w:lvlJc w:val="left"/>
        <w:pPr>
          <w:ind w:left="3240" w:hanging="360"/>
        </w:pPr>
      </w:lvl>
    </w:lvlOverride>
    <w:lvlOverride w:ilvl="5">
      <w:lvl w:ilvl="5" w:tentative="1">
        <w:start w:val="1"/>
        <w:numFmt w:val="lowerRoman"/>
        <w:pStyle w:val="DHHSbulletindentlastline"/>
        <w:lvlText w:val="%6."/>
        <w:lvlJc w:val="right"/>
        <w:pPr>
          <w:ind w:left="3960" w:hanging="180"/>
        </w:pPr>
      </w:lvl>
    </w:lvlOverride>
    <w:lvlOverride w:ilvl="6">
      <w:lvl w:ilvl="6" w:tentative="1">
        <w:start w:val="1"/>
        <w:numFmt w:val="decimal"/>
        <w:pStyle w:val="DHHStablebullet"/>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11"/>
  </w:num>
  <w:num w:numId="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FF"/>
    <w:rsid w:val="00002990"/>
    <w:rsid w:val="000048AC"/>
    <w:rsid w:val="00010223"/>
    <w:rsid w:val="00014FC4"/>
    <w:rsid w:val="00017DEA"/>
    <w:rsid w:val="000200E1"/>
    <w:rsid w:val="00020AAB"/>
    <w:rsid w:val="000223A4"/>
    <w:rsid w:val="00022515"/>
    <w:rsid w:val="00022E60"/>
    <w:rsid w:val="00026C19"/>
    <w:rsid w:val="0003124A"/>
    <w:rsid w:val="00031263"/>
    <w:rsid w:val="00034CD3"/>
    <w:rsid w:val="000353C7"/>
    <w:rsid w:val="00037998"/>
    <w:rsid w:val="000424BA"/>
    <w:rsid w:val="000425D9"/>
    <w:rsid w:val="000444D6"/>
    <w:rsid w:val="000448C9"/>
    <w:rsid w:val="00044E6D"/>
    <w:rsid w:val="00053811"/>
    <w:rsid w:val="00055C5D"/>
    <w:rsid w:val="00060E93"/>
    <w:rsid w:val="00064936"/>
    <w:rsid w:val="00066568"/>
    <w:rsid w:val="00070CB7"/>
    <w:rsid w:val="000734F8"/>
    <w:rsid w:val="000736B8"/>
    <w:rsid w:val="0007576B"/>
    <w:rsid w:val="000779AD"/>
    <w:rsid w:val="000810DE"/>
    <w:rsid w:val="000817CB"/>
    <w:rsid w:val="0008191D"/>
    <w:rsid w:val="0008397D"/>
    <w:rsid w:val="00086E5D"/>
    <w:rsid w:val="000873EF"/>
    <w:rsid w:val="0009397C"/>
    <w:rsid w:val="000A0288"/>
    <w:rsid w:val="000A0F0B"/>
    <w:rsid w:val="000B14D0"/>
    <w:rsid w:val="000B26F9"/>
    <w:rsid w:val="000B3792"/>
    <w:rsid w:val="000C0445"/>
    <w:rsid w:val="000C59A8"/>
    <w:rsid w:val="000C6242"/>
    <w:rsid w:val="000C68DB"/>
    <w:rsid w:val="000D08AA"/>
    <w:rsid w:val="000D1C20"/>
    <w:rsid w:val="000D2C32"/>
    <w:rsid w:val="000D3A11"/>
    <w:rsid w:val="000D5A80"/>
    <w:rsid w:val="000E6F72"/>
    <w:rsid w:val="000F0478"/>
    <w:rsid w:val="000F0A50"/>
    <w:rsid w:val="000F5042"/>
    <w:rsid w:val="000F545C"/>
    <w:rsid w:val="000F674F"/>
    <w:rsid w:val="00100170"/>
    <w:rsid w:val="001025D5"/>
    <w:rsid w:val="0010337D"/>
    <w:rsid w:val="00103D5E"/>
    <w:rsid w:val="00104B89"/>
    <w:rsid w:val="00104EA7"/>
    <w:rsid w:val="001057AB"/>
    <w:rsid w:val="00105FAD"/>
    <w:rsid w:val="0011155B"/>
    <w:rsid w:val="00111A6A"/>
    <w:rsid w:val="00112191"/>
    <w:rsid w:val="00114CB2"/>
    <w:rsid w:val="00115C8E"/>
    <w:rsid w:val="00117AEC"/>
    <w:rsid w:val="00121BF1"/>
    <w:rsid w:val="00123147"/>
    <w:rsid w:val="00127A8B"/>
    <w:rsid w:val="00134BE5"/>
    <w:rsid w:val="0013503B"/>
    <w:rsid w:val="001412D1"/>
    <w:rsid w:val="001423E3"/>
    <w:rsid w:val="00142725"/>
    <w:rsid w:val="00146A39"/>
    <w:rsid w:val="00147542"/>
    <w:rsid w:val="001475EA"/>
    <w:rsid w:val="001504F5"/>
    <w:rsid w:val="001517BD"/>
    <w:rsid w:val="00156ADF"/>
    <w:rsid w:val="00156E39"/>
    <w:rsid w:val="0017248D"/>
    <w:rsid w:val="00173626"/>
    <w:rsid w:val="00174424"/>
    <w:rsid w:val="0017451C"/>
    <w:rsid w:val="0017614A"/>
    <w:rsid w:val="00180173"/>
    <w:rsid w:val="001817CD"/>
    <w:rsid w:val="0018235E"/>
    <w:rsid w:val="001823AD"/>
    <w:rsid w:val="001830BE"/>
    <w:rsid w:val="00184A4B"/>
    <w:rsid w:val="001859FC"/>
    <w:rsid w:val="0018768C"/>
    <w:rsid w:val="00192BA0"/>
    <w:rsid w:val="00195D88"/>
    <w:rsid w:val="00197303"/>
    <w:rsid w:val="001A17EA"/>
    <w:rsid w:val="001A1D17"/>
    <w:rsid w:val="001A22AA"/>
    <w:rsid w:val="001A7A18"/>
    <w:rsid w:val="001B1565"/>
    <w:rsid w:val="001B166D"/>
    <w:rsid w:val="001B28B5"/>
    <w:rsid w:val="001B2975"/>
    <w:rsid w:val="001B51FC"/>
    <w:rsid w:val="001B53A0"/>
    <w:rsid w:val="001B7863"/>
    <w:rsid w:val="001C122D"/>
    <w:rsid w:val="001C3BEB"/>
    <w:rsid w:val="001D2A82"/>
    <w:rsid w:val="001D31F4"/>
    <w:rsid w:val="001D441A"/>
    <w:rsid w:val="001D569B"/>
    <w:rsid w:val="001E0EA3"/>
    <w:rsid w:val="001E4995"/>
    <w:rsid w:val="001E7A42"/>
    <w:rsid w:val="001F09DC"/>
    <w:rsid w:val="001F2AE9"/>
    <w:rsid w:val="001F31E2"/>
    <w:rsid w:val="001F3A37"/>
    <w:rsid w:val="001F43E6"/>
    <w:rsid w:val="001F5A14"/>
    <w:rsid w:val="001F6252"/>
    <w:rsid w:val="00201BAF"/>
    <w:rsid w:val="00204874"/>
    <w:rsid w:val="00211755"/>
    <w:rsid w:val="00213772"/>
    <w:rsid w:val="00220749"/>
    <w:rsid w:val="0022422C"/>
    <w:rsid w:val="0022724E"/>
    <w:rsid w:val="00230666"/>
    <w:rsid w:val="00231153"/>
    <w:rsid w:val="0023252E"/>
    <w:rsid w:val="00240ABE"/>
    <w:rsid w:val="00241C31"/>
    <w:rsid w:val="002436E4"/>
    <w:rsid w:val="002441F7"/>
    <w:rsid w:val="002472F5"/>
    <w:rsid w:val="002527C6"/>
    <w:rsid w:val="0026055B"/>
    <w:rsid w:val="0026195B"/>
    <w:rsid w:val="00263BC3"/>
    <w:rsid w:val="002646B2"/>
    <w:rsid w:val="00265557"/>
    <w:rsid w:val="002663E6"/>
    <w:rsid w:val="002679D5"/>
    <w:rsid w:val="002702E0"/>
    <w:rsid w:val="002714FD"/>
    <w:rsid w:val="002729CF"/>
    <w:rsid w:val="00273A4C"/>
    <w:rsid w:val="00275E1F"/>
    <w:rsid w:val="00275F94"/>
    <w:rsid w:val="00276B38"/>
    <w:rsid w:val="0028099A"/>
    <w:rsid w:val="00281B9C"/>
    <w:rsid w:val="00284C9B"/>
    <w:rsid w:val="00285DA6"/>
    <w:rsid w:val="002A141B"/>
    <w:rsid w:val="002A26B6"/>
    <w:rsid w:val="002A490B"/>
    <w:rsid w:val="002A6A4E"/>
    <w:rsid w:val="002A76F8"/>
    <w:rsid w:val="002B0366"/>
    <w:rsid w:val="002B1116"/>
    <w:rsid w:val="002B5A85"/>
    <w:rsid w:val="002B63A7"/>
    <w:rsid w:val="002B6A40"/>
    <w:rsid w:val="002C2C65"/>
    <w:rsid w:val="002C5543"/>
    <w:rsid w:val="002C7C96"/>
    <w:rsid w:val="002D0F7F"/>
    <w:rsid w:val="002D25AE"/>
    <w:rsid w:val="002D6450"/>
    <w:rsid w:val="002E0198"/>
    <w:rsid w:val="002E1D7C"/>
    <w:rsid w:val="002E64B6"/>
    <w:rsid w:val="002F2FD0"/>
    <w:rsid w:val="002F449B"/>
    <w:rsid w:val="002F44A5"/>
    <w:rsid w:val="002F4D86"/>
    <w:rsid w:val="002F5D69"/>
    <w:rsid w:val="002F7C77"/>
    <w:rsid w:val="00300CB3"/>
    <w:rsid w:val="00302143"/>
    <w:rsid w:val="003028CB"/>
    <w:rsid w:val="0030394B"/>
    <w:rsid w:val="00304574"/>
    <w:rsid w:val="00304622"/>
    <w:rsid w:val="00305445"/>
    <w:rsid w:val="003072C6"/>
    <w:rsid w:val="00310CF4"/>
    <w:rsid w:val="00310D8E"/>
    <w:rsid w:val="00313C72"/>
    <w:rsid w:val="00314527"/>
    <w:rsid w:val="00315BBD"/>
    <w:rsid w:val="00316CF1"/>
    <w:rsid w:val="0031753A"/>
    <w:rsid w:val="00320293"/>
    <w:rsid w:val="00322CC2"/>
    <w:rsid w:val="0032397B"/>
    <w:rsid w:val="003271DC"/>
    <w:rsid w:val="00333D59"/>
    <w:rsid w:val="00334B54"/>
    <w:rsid w:val="00336E5F"/>
    <w:rsid w:val="0033739E"/>
    <w:rsid w:val="00340920"/>
    <w:rsid w:val="00343733"/>
    <w:rsid w:val="00343CAA"/>
    <w:rsid w:val="00343E57"/>
    <w:rsid w:val="00345D0E"/>
    <w:rsid w:val="00347D81"/>
    <w:rsid w:val="0035443C"/>
    <w:rsid w:val="00355886"/>
    <w:rsid w:val="00356814"/>
    <w:rsid w:val="00362B10"/>
    <w:rsid w:val="00363640"/>
    <w:rsid w:val="003654ED"/>
    <w:rsid w:val="00366AAD"/>
    <w:rsid w:val="00366B13"/>
    <w:rsid w:val="00373904"/>
    <w:rsid w:val="00373AA9"/>
    <w:rsid w:val="00373D77"/>
    <w:rsid w:val="00376492"/>
    <w:rsid w:val="00377D86"/>
    <w:rsid w:val="0038019F"/>
    <w:rsid w:val="00382071"/>
    <w:rsid w:val="00382FC8"/>
    <w:rsid w:val="00391072"/>
    <w:rsid w:val="00395772"/>
    <w:rsid w:val="0039579E"/>
    <w:rsid w:val="00396696"/>
    <w:rsid w:val="00396BFF"/>
    <w:rsid w:val="0039735D"/>
    <w:rsid w:val="003A2F25"/>
    <w:rsid w:val="003A75FC"/>
    <w:rsid w:val="003B219B"/>
    <w:rsid w:val="003B2807"/>
    <w:rsid w:val="003B3051"/>
    <w:rsid w:val="003B5F7F"/>
    <w:rsid w:val="003B60BD"/>
    <w:rsid w:val="003C68F2"/>
    <w:rsid w:val="003C7C1A"/>
    <w:rsid w:val="003D0E8F"/>
    <w:rsid w:val="003D4CAD"/>
    <w:rsid w:val="003D58B8"/>
    <w:rsid w:val="003D5CFB"/>
    <w:rsid w:val="003E2520"/>
    <w:rsid w:val="003E2636"/>
    <w:rsid w:val="003E2E12"/>
    <w:rsid w:val="003E604E"/>
    <w:rsid w:val="003F3341"/>
    <w:rsid w:val="003F39CE"/>
    <w:rsid w:val="00401108"/>
    <w:rsid w:val="0040186B"/>
    <w:rsid w:val="00402927"/>
    <w:rsid w:val="00404CEE"/>
    <w:rsid w:val="00407993"/>
    <w:rsid w:val="00411833"/>
    <w:rsid w:val="00412F64"/>
    <w:rsid w:val="0041670A"/>
    <w:rsid w:val="004176EA"/>
    <w:rsid w:val="00417BEB"/>
    <w:rsid w:val="00422CF8"/>
    <w:rsid w:val="00423109"/>
    <w:rsid w:val="00426660"/>
    <w:rsid w:val="004324FF"/>
    <w:rsid w:val="00432A55"/>
    <w:rsid w:val="00437D64"/>
    <w:rsid w:val="00437DF3"/>
    <w:rsid w:val="0044260A"/>
    <w:rsid w:val="00444D82"/>
    <w:rsid w:val="004455F5"/>
    <w:rsid w:val="00445AA9"/>
    <w:rsid w:val="00446363"/>
    <w:rsid w:val="004538DD"/>
    <w:rsid w:val="00453CDD"/>
    <w:rsid w:val="0045453E"/>
    <w:rsid w:val="004564C6"/>
    <w:rsid w:val="00456502"/>
    <w:rsid w:val="00457621"/>
    <w:rsid w:val="004610CC"/>
    <w:rsid w:val="0046465E"/>
    <w:rsid w:val="00464967"/>
    <w:rsid w:val="00465464"/>
    <w:rsid w:val="00465E87"/>
    <w:rsid w:val="00467DBA"/>
    <w:rsid w:val="00472220"/>
    <w:rsid w:val="0047614F"/>
    <w:rsid w:val="0047773C"/>
    <w:rsid w:val="0047786A"/>
    <w:rsid w:val="00477A65"/>
    <w:rsid w:val="00481892"/>
    <w:rsid w:val="00482DB3"/>
    <w:rsid w:val="00482F69"/>
    <w:rsid w:val="004863BD"/>
    <w:rsid w:val="00490EE1"/>
    <w:rsid w:val="0049128D"/>
    <w:rsid w:val="0049192E"/>
    <w:rsid w:val="00493FD8"/>
    <w:rsid w:val="00497638"/>
    <w:rsid w:val="004A0236"/>
    <w:rsid w:val="004A1952"/>
    <w:rsid w:val="004A1C08"/>
    <w:rsid w:val="004A251C"/>
    <w:rsid w:val="004A369A"/>
    <w:rsid w:val="004A3B3E"/>
    <w:rsid w:val="004B4152"/>
    <w:rsid w:val="004B60D5"/>
    <w:rsid w:val="004C19AD"/>
    <w:rsid w:val="004C1FFB"/>
    <w:rsid w:val="004C28D0"/>
    <w:rsid w:val="004C35E9"/>
    <w:rsid w:val="004C5777"/>
    <w:rsid w:val="004C57CF"/>
    <w:rsid w:val="004C6F43"/>
    <w:rsid w:val="004D0173"/>
    <w:rsid w:val="004D1056"/>
    <w:rsid w:val="004E1EDE"/>
    <w:rsid w:val="004E21E2"/>
    <w:rsid w:val="004E293F"/>
    <w:rsid w:val="004E3580"/>
    <w:rsid w:val="004E380D"/>
    <w:rsid w:val="004E7922"/>
    <w:rsid w:val="004F0DFC"/>
    <w:rsid w:val="004F3441"/>
    <w:rsid w:val="004F41B2"/>
    <w:rsid w:val="004F4AFC"/>
    <w:rsid w:val="004F52A5"/>
    <w:rsid w:val="00500C8C"/>
    <w:rsid w:val="00501375"/>
    <w:rsid w:val="00501C50"/>
    <w:rsid w:val="00501D3B"/>
    <w:rsid w:val="005022C9"/>
    <w:rsid w:val="005037C0"/>
    <w:rsid w:val="0050687C"/>
    <w:rsid w:val="00506F21"/>
    <w:rsid w:val="0050779D"/>
    <w:rsid w:val="00507EB3"/>
    <w:rsid w:val="00510882"/>
    <w:rsid w:val="00510E0F"/>
    <w:rsid w:val="0051153C"/>
    <w:rsid w:val="00511979"/>
    <w:rsid w:val="005139EA"/>
    <w:rsid w:val="00514DE8"/>
    <w:rsid w:val="00517003"/>
    <w:rsid w:val="00520BBB"/>
    <w:rsid w:val="00525456"/>
    <w:rsid w:val="00526EB2"/>
    <w:rsid w:val="00530769"/>
    <w:rsid w:val="00532236"/>
    <w:rsid w:val="00532FCA"/>
    <w:rsid w:val="0053328C"/>
    <w:rsid w:val="00541DCD"/>
    <w:rsid w:val="00541DFE"/>
    <w:rsid w:val="00543E6C"/>
    <w:rsid w:val="00544184"/>
    <w:rsid w:val="005451D1"/>
    <w:rsid w:val="00552D55"/>
    <w:rsid w:val="00553E75"/>
    <w:rsid w:val="005552FD"/>
    <w:rsid w:val="00555D0F"/>
    <w:rsid w:val="005571C3"/>
    <w:rsid w:val="005600E5"/>
    <w:rsid w:val="00564E8F"/>
    <w:rsid w:val="005669F2"/>
    <w:rsid w:val="005707F7"/>
    <w:rsid w:val="0057238E"/>
    <w:rsid w:val="005728A4"/>
    <w:rsid w:val="00574E70"/>
    <w:rsid w:val="005763FC"/>
    <w:rsid w:val="00576D26"/>
    <w:rsid w:val="00576EB4"/>
    <w:rsid w:val="005773DC"/>
    <w:rsid w:val="00577B30"/>
    <w:rsid w:val="005818D2"/>
    <w:rsid w:val="00582768"/>
    <w:rsid w:val="00583461"/>
    <w:rsid w:val="005856A4"/>
    <w:rsid w:val="00590730"/>
    <w:rsid w:val="005977DE"/>
    <w:rsid w:val="005A07E3"/>
    <w:rsid w:val="005A0A2F"/>
    <w:rsid w:val="005A3051"/>
    <w:rsid w:val="005A53FE"/>
    <w:rsid w:val="005A5608"/>
    <w:rsid w:val="005A5FF6"/>
    <w:rsid w:val="005B2F8B"/>
    <w:rsid w:val="005B5CEF"/>
    <w:rsid w:val="005B7318"/>
    <w:rsid w:val="005B7D22"/>
    <w:rsid w:val="005B7DCC"/>
    <w:rsid w:val="005C029E"/>
    <w:rsid w:val="005C4683"/>
    <w:rsid w:val="005D0A68"/>
    <w:rsid w:val="005D241D"/>
    <w:rsid w:val="005D3AC2"/>
    <w:rsid w:val="005E085D"/>
    <w:rsid w:val="005E0950"/>
    <w:rsid w:val="005E3FA7"/>
    <w:rsid w:val="005E5325"/>
    <w:rsid w:val="005E579C"/>
    <w:rsid w:val="005E7963"/>
    <w:rsid w:val="005E7A07"/>
    <w:rsid w:val="005F0B28"/>
    <w:rsid w:val="005F10B8"/>
    <w:rsid w:val="005F152D"/>
    <w:rsid w:val="005F1E77"/>
    <w:rsid w:val="005F218C"/>
    <w:rsid w:val="005F4523"/>
    <w:rsid w:val="005F5304"/>
    <w:rsid w:val="00601D4D"/>
    <w:rsid w:val="006021B4"/>
    <w:rsid w:val="00603DA6"/>
    <w:rsid w:val="00604937"/>
    <w:rsid w:val="00605B5B"/>
    <w:rsid w:val="006062D8"/>
    <w:rsid w:val="00606827"/>
    <w:rsid w:val="00620262"/>
    <w:rsid w:val="00621B4C"/>
    <w:rsid w:val="00624E80"/>
    <w:rsid w:val="006253A2"/>
    <w:rsid w:val="00627C52"/>
    <w:rsid w:val="00630937"/>
    <w:rsid w:val="00633094"/>
    <w:rsid w:val="0063659D"/>
    <w:rsid w:val="006370D1"/>
    <w:rsid w:val="0064400D"/>
    <w:rsid w:val="006461D5"/>
    <w:rsid w:val="00647342"/>
    <w:rsid w:val="00651B1A"/>
    <w:rsid w:val="00651F36"/>
    <w:rsid w:val="00653B84"/>
    <w:rsid w:val="00653E0D"/>
    <w:rsid w:val="00656503"/>
    <w:rsid w:val="00662D1D"/>
    <w:rsid w:val="00666FD1"/>
    <w:rsid w:val="00670DC2"/>
    <w:rsid w:val="00672765"/>
    <w:rsid w:val="00675F39"/>
    <w:rsid w:val="0068022E"/>
    <w:rsid w:val="006803F3"/>
    <w:rsid w:val="006865C8"/>
    <w:rsid w:val="00686B48"/>
    <w:rsid w:val="00687038"/>
    <w:rsid w:val="0068714E"/>
    <w:rsid w:val="00691F22"/>
    <w:rsid w:val="006929F7"/>
    <w:rsid w:val="0069374A"/>
    <w:rsid w:val="006938B2"/>
    <w:rsid w:val="00694AB8"/>
    <w:rsid w:val="00695EF7"/>
    <w:rsid w:val="0069699D"/>
    <w:rsid w:val="006A7FEF"/>
    <w:rsid w:val="006B2C51"/>
    <w:rsid w:val="006B3437"/>
    <w:rsid w:val="006B3B7E"/>
    <w:rsid w:val="006B6361"/>
    <w:rsid w:val="006C01D4"/>
    <w:rsid w:val="006C5763"/>
    <w:rsid w:val="006D2774"/>
    <w:rsid w:val="006D360C"/>
    <w:rsid w:val="006D43C1"/>
    <w:rsid w:val="006D5AC9"/>
    <w:rsid w:val="006D66ED"/>
    <w:rsid w:val="006E3056"/>
    <w:rsid w:val="006E3E16"/>
    <w:rsid w:val="006E786B"/>
    <w:rsid w:val="006F3A0C"/>
    <w:rsid w:val="006F6084"/>
    <w:rsid w:val="006F7584"/>
    <w:rsid w:val="007002B1"/>
    <w:rsid w:val="00704957"/>
    <w:rsid w:val="00704D28"/>
    <w:rsid w:val="00704EB7"/>
    <w:rsid w:val="00705742"/>
    <w:rsid w:val="007104FE"/>
    <w:rsid w:val="00710E2B"/>
    <w:rsid w:val="0071124B"/>
    <w:rsid w:val="00711B0C"/>
    <w:rsid w:val="007121A2"/>
    <w:rsid w:val="00713981"/>
    <w:rsid w:val="00714DC3"/>
    <w:rsid w:val="007176D6"/>
    <w:rsid w:val="00727D54"/>
    <w:rsid w:val="00731EF2"/>
    <w:rsid w:val="007330E1"/>
    <w:rsid w:val="00733AB3"/>
    <w:rsid w:val="00733EFB"/>
    <w:rsid w:val="007344C5"/>
    <w:rsid w:val="00734647"/>
    <w:rsid w:val="00734959"/>
    <w:rsid w:val="00735137"/>
    <w:rsid w:val="0073520D"/>
    <w:rsid w:val="00735FB3"/>
    <w:rsid w:val="00737111"/>
    <w:rsid w:val="007451A1"/>
    <w:rsid w:val="00747532"/>
    <w:rsid w:val="007475E0"/>
    <w:rsid w:val="00747D08"/>
    <w:rsid w:val="0075065A"/>
    <w:rsid w:val="00751F80"/>
    <w:rsid w:val="0075249D"/>
    <w:rsid w:val="007534A7"/>
    <w:rsid w:val="00757DE8"/>
    <w:rsid w:val="00757FB0"/>
    <w:rsid w:val="00762B68"/>
    <w:rsid w:val="00763F36"/>
    <w:rsid w:val="00764028"/>
    <w:rsid w:val="0076595B"/>
    <w:rsid w:val="007727DC"/>
    <w:rsid w:val="00776CDC"/>
    <w:rsid w:val="00780226"/>
    <w:rsid w:val="00781AB4"/>
    <w:rsid w:val="00787261"/>
    <w:rsid w:val="0078795B"/>
    <w:rsid w:val="00791E7C"/>
    <w:rsid w:val="007923B7"/>
    <w:rsid w:val="00792616"/>
    <w:rsid w:val="007926BB"/>
    <w:rsid w:val="0079344C"/>
    <w:rsid w:val="007968AE"/>
    <w:rsid w:val="007A0283"/>
    <w:rsid w:val="007A0E7C"/>
    <w:rsid w:val="007A314F"/>
    <w:rsid w:val="007A6884"/>
    <w:rsid w:val="007A7BCF"/>
    <w:rsid w:val="007B003E"/>
    <w:rsid w:val="007B403E"/>
    <w:rsid w:val="007B6C43"/>
    <w:rsid w:val="007B727F"/>
    <w:rsid w:val="007C02C7"/>
    <w:rsid w:val="007C09EB"/>
    <w:rsid w:val="007C0F99"/>
    <w:rsid w:val="007C21EE"/>
    <w:rsid w:val="007C38A9"/>
    <w:rsid w:val="007C49ED"/>
    <w:rsid w:val="007D0076"/>
    <w:rsid w:val="007D2F5C"/>
    <w:rsid w:val="007D3A2E"/>
    <w:rsid w:val="007D3F2F"/>
    <w:rsid w:val="007D4AE9"/>
    <w:rsid w:val="007D4CC5"/>
    <w:rsid w:val="007D5687"/>
    <w:rsid w:val="007D65A2"/>
    <w:rsid w:val="007D6652"/>
    <w:rsid w:val="007E0C47"/>
    <w:rsid w:val="007E343D"/>
    <w:rsid w:val="007E47AB"/>
    <w:rsid w:val="007E7E14"/>
    <w:rsid w:val="007F0A32"/>
    <w:rsid w:val="007F24D9"/>
    <w:rsid w:val="007F3C6D"/>
    <w:rsid w:val="007F4383"/>
    <w:rsid w:val="007F4B4B"/>
    <w:rsid w:val="00800282"/>
    <w:rsid w:val="00801601"/>
    <w:rsid w:val="00801C73"/>
    <w:rsid w:val="008033A1"/>
    <w:rsid w:val="008064F9"/>
    <w:rsid w:val="00810991"/>
    <w:rsid w:val="00813980"/>
    <w:rsid w:val="00814A9B"/>
    <w:rsid w:val="00814F66"/>
    <w:rsid w:val="00816254"/>
    <w:rsid w:val="00816B20"/>
    <w:rsid w:val="00817C9E"/>
    <w:rsid w:val="008205AF"/>
    <w:rsid w:val="00820A60"/>
    <w:rsid w:val="008225E5"/>
    <w:rsid w:val="008228DC"/>
    <w:rsid w:val="00831053"/>
    <w:rsid w:val="008314D2"/>
    <w:rsid w:val="0083254D"/>
    <w:rsid w:val="0083477D"/>
    <w:rsid w:val="00836249"/>
    <w:rsid w:val="00836950"/>
    <w:rsid w:val="00836F00"/>
    <w:rsid w:val="00837100"/>
    <w:rsid w:val="00837A1A"/>
    <w:rsid w:val="00843595"/>
    <w:rsid w:val="00844C2F"/>
    <w:rsid w:val="00846192"/>
    <w:rsid w:val="00847EF7"/>
    <w:rsid w:val="00850107"/>
    <w:rsid w:val="00850699"/>
    <w:rsid w:val="00850806"/>
    <w:rsid w:val="0085091B"/>
    <w:rsid w:val="00856A1B"/>
    <w:rsid w:val="008621C3"/>
    <w:rsid w:val="0086337C"/>
    <w:rsid w:val="008640DF"/>
    <w:rsid w:val="00865486"/>
    <w:rsid w:val="00876275"/>
    <w:rsid w:val="00882B99"/>
    <w:rsid w:val="00886121"/>
    <w:rsid w:val="008868D6"/>
    <w:rsid w:val="008901A6"/>
    <w:rsid w:val="008904D1"/>
    <w:rsid w:val="00892502"/>
    <w:rsid w:val="008966B0"/>
    <w:rsid w:val="008A295B"/>
    <w:rsid w:val="008A54B6"/>
    <w:rsid w:val="008A59C2"/>
    <w:rsid w:val="008A6604"/>
    <w:rsid w:val="008A7322"/>
    <w:rsid w:val="008A73BF"/>
    <w:rsid w:val="008B1C73"/>
    <w:rsid w:val="008B2626"/>
    <w:rsid w:val="008B5482"/>
    <w:rsid w:val="008B58D9"/>
    <w:rsid w:val="008C11F4"/>
    <w:rsid w:val="008C20DC"/>
    <w:rsid w:val="008C2BEC"/>
    <w:rsid w:val="008C6523"/>
    <w:rsid w:val="008C6D0E"/>
    <w:rsid w:val="008D09D2"/>
    <w:rsid w:val="008D2C9D"/>
    <w:rsid w:val="008D39C5"/>
    <w:rsid w:val="008D4B06"/>
    <w:rsid w:val="008D53B3"/>
    <w:rsid w:val="008D6C35"/>
    <w:rsid w:val="008E005C"/>
    <w:rsid w:val="008E1D89"/>
    <w:rsid w:val="008E3417"/>
    <w:rsid w:val="008E3E3E"/>
    <w:rsid w:val="008E63B5"/>
    <w:rsid w:val="008E6902"/>
    <w:rsid w:val="008E74E4"/>
    <w:rsid w:val="008F0CBE"/>
    <w:rsid w:val="008F5CC6"/>
    <w:rsid w:val="008F5F87"/>
    <w:rsid w:val="008F7F49"/>
    <w:rsid w:val="00900A34"/>
    <w:rsid w:val="00901ADE"/>
    <w:rsid w:val="00903349"/>
    <w:rsid w:val="009048EB"/>
    <w:rsid w:val="00905307"/>
    <w:rsid w:val="00907073"/>
    <w:rsid w:val="00907193"/>
    <w:rsid w:val="009077E5"/>
    <w:rsid w:val="00914D98"/>
    <w:rsid w:val="00915561"/>
    <w:rsid w:val="009208F5"/>
    <w:rsid w:val="00921B8B"/>
    <w:rsid w:val="00923080"/>
    <w:rsid w:val="00927D51"/>
    <w:rsid w:val="00932272"/>
    <w:rsid w:val="00932862"/>
    <w:rsid w:val="00933740"/>
    <w:rsid w:val="00934338"/>
    <w:rsid w:val="00935D60"/>
    <w:rsid w:val="00940228"/>
    <w:rsid w:val="00940615"/>
    <w:rsid w:val="00943CB5"/>
    <w:rsid w:val="00943F01"/>
    <w:rsid w:val="009447BB"/>
    <w:rsid w:val="00944C48"/>
    <w:rsid w:val="00946335"/>
    <w:rsid w:val="009507BB"/>
    <w:rsid w:val="009513C4"/>
    <w:rsid w:val="0095521D"/>
    <w:rsid w:val="00955E55"/>
    <w:rsid w:val="009569AD"/>
    <w:rsid w:val="00962200"/>
    <w:rsid w:val="00962675"/>
    <w:rsid w:val="00963888"/>
    <w:rsid w:val="00966451"/>
    <w:rsid w:val="00966F54"/>
    <w:rsid w:val="009670C9"/>
    <w:rsid w:val="00971A8B"/>
    <w:rsid w:val="00975E61"/>
    <w:rsid w:val="00976E31"/>
    <w:rsid w:val="00977C63"/>
    <w:rsid w:val="00980087"/>
    <w:rsid w:val="00980544"/>
    <w:rsid w:val="00980C0B"/>
    <w:rsid w:val="0098214E"/>
    <w:rsid w:val="00982E6C"/>
    <w:rsid w:val="00984C46"/>
    <w:rsid w:val="0098524F"/>
    <w:rsid w:val="009856C2"/>
    <w:rsid w:val="009869D7"/>
    <w:rsid w:val="00987ABE"/>
    <w:rsid w:val="009906C7"/>
    <w:rsid w:val="00990B51"/>
    <w:rsid w:val="00991A62"/>
    <w:rsid w:val="009963CD"/>
    <w:rsid w:val="009A1C4A"/>
    <w:rsid w:val="009A642C"/>
    <w:rsid w:val="009B07D4"/>
    <w:rsid w:val="009B266D"/>
    <w:rsid w:val="009B2A47"/>
    <w:rsid w:val="009B3A77"/>
    <w:rsid w:val="009B5CBF"/>
    <w:rsid w:val="009C184A"/>
    <w:rsid w:val="009C2CA5"/>
    <w:rsid w:val="009C4F3E"/>
    <w:rsid w:val="009C501E"/>
    <w:rsid w:val="009D3D8F"/>
    <w:rsid w:val="009D3E45"/>
    <w:rsid w:val="009E6613"/>
    <w:rsid w:val="009F0B77"/>
    <w:rsid w:val="009F2BD6"/>
    <w:rsid w:val="009F351F"/>
    <w:rsid w:val="009F3591"/>
    <w:rsid w:val="009F3CB6"/>
    <w:rsid w:val="009F3F89"/>
    <w:rsid w:val="009F480E"/>
    <w:rsid w:val="00A022A2"/>
    <w:rsid w:val="00A02A8C"/>
    <w:rsid w:val="00A02D15"/>
    <w:rsid w:val="00A054C5"/>
    <w:rsid w:val="00A06415"/>
    <w:rsid w:val="00A10C2F"/>
    <w:rsid w:val="00A11403"/>
    <w:rsid w:val="00A145B2"/>
    <w:rsid w:val="00A14D9E"/>
    <w:rsid w:val="00A16A72"/>
    <w:rsid w:val="00A16CE7"/>
    <w:rsid w:val="00A21499"/>
    <w:rsid w:val="00A25BA2"/>
    <w:rsid w:val="00A26B0D"/>
    <w:rsid w:val="00A3735A"/>
    <w:rsid w:val="00A42F1B"/>
    <w:rsid w:val="00A47045"/>
    <w:rsid w:val="00A47C09"/>
    <w:rsid w:val="00A546BC"/>
    <w:rsid w:val="00A55989"/>
    <w:rsid w:val="00A56743"/>
    <w:rsid w:val="00A5690B"/>
    <w:rsid w:val="00A5694A"/>
    <w:rsid w:val="00A56A8F"/>
    <w:rsid w:val="00A63DA4"/>
    <w:rsid w:val="00A67674"/>
    <w:rsid w:val="00A741EE"/>
    <w:rsid w:val="00A7533F"/>
    <w:rsid w:val="00A75CD5"/>
    <w:rsid w:val="00A76E39"/>
    <w:rsid w:val="00A80822"/>
    <w:rsid w:val="00A80D4B"/>
    <w:rsid w:val="00A83DF3"/>
    <w:rsid w:val="00A85915"/>
    <w:rsid w:val="00A90148"/>
    <w:rsid w:val="00A94677"/>
    <w:rsid w:val="00A952AB"/>
    <w:rsid w:val="00A9783D"/>
    <w:rsid w:val="00AA45E6"/>
    <w:rsid w:val="00AA4BE1"/>
    <w:rsid w:val="00AA4D7A"/>
    <w:rsid w:val="00AA5A37"/>
    <w:rsid w:val="00AA5D0A"/>
    <w:rsid w:val="00AA6AA6"/>
    <w:rsid w:val="00AB0455"/>
    <w:rsid w:val="00AB0767"/>
    <w:rsid w:val="00AB489C"/>
    <w:rsid w:val="00AB50C1"/>
    <w:rsid w:val="00AB6936"/>
    <w:rsid w:val="00AC0C3B"/>
    <w:rsid w:val="00AC2D63"/>
    <w:rsid w:val="00AD03D8"/>
    <w:rsid w:val="00AD0711"/>
    <w:rsid w:val="00AD3D3E"/>
    <w:rsid w:val="00AD46E8"/>
    <w:rsid w:val="00AD57C8"/>
    <w:rsid w:val="00AD5B23"/>
    <w:rsid w:val="00AD704E"/>
    <w:rsid w:val="00AD74FF"/>
    <w:rsid w:val="00AE14E8"/>
    <w:rsid w:val="00AE48BB"/>
    <w:rsid w:val="00AE5FE0"/>
    <w:rsid w:val="00AE60B7"/>
    <w:rsid w:val="00AE6ACA"/>
    <w:rsid w:val="00AE6BD9"/>
    <w:rsid w:val="00AF2AB7"/>
    <w:rsid w:val="00AF2B1C"/>
    <w:rsid w:val="00AF4654"/>
    <w:rsid w:val="00AF4D3F"/>
    <w:rsid w:val="00B009A2"/>
    <w:rsid w:val="00B00D43"/>
    <w:rsid w:val="00B0136E"/>
    <w:rsid w:val="00B0300B"/>
    <w:rsid w:val="00B05456"/>
    <w:rsid w:val="00B05457"/>
    <w:rsid w:val="00B057F5"/>
    <w:rsid w:val="00B11455"/>
    <w:rsid w:val="00B128A0"/>
    <w:rsid w:val="00B16F3D"/>
    <w:rsid w:val="00B20240"/>
    <w:rsid w:val="00B21F5F"/>
    <w:rsid w:val="00B227E7"/>
    <w:rsid w:val="00B23281"/>
    <w:rsid w:val="00B26ACE"/>
    <w:rsid w:val="00B26F8B"/>
    <w:rsid w:val="00B27571"/>
    <w:rsid w:val="00B30D98"/>
    <w:rsid w:val="00B366FD"/>
    <w:rsid w:val="00B4098B"/>
    <w:rsid w:val="00B40CA3"/>
    <w:rsid w:val="00B4164B"/>
    <w:rsid w:val="00B43B1B"/>
    <w:rsid w:val="00B47E34"/>
    <w:rsid w:val="00B5405E"/>
    <w:rsid w:val="00B5409A"/>
    <w:rsid w:val="00B55574"/>
    <w:rsid w:val="00B56280"/>
    <w:rsid w:val="00B63A1A"/>
    <w:rsid w:val="00B6525D"/>
    <w:rsid w:val="00B65ABA"/>
    <w:rsid w:val="00B67407"/>
    <w:rsid w:val="00B6790F"/>
    <w:rsid w:val="00B70D20"/>
    <w:rsid w:val="00B71B3B"/>
    <w:rsid w:val="00B72D7B"/>
    <w:rsid w:val="00B7693B"/>
    <w:rsid w:val="00B81C1F"/>
    <w:rsid w:val="00B853DB"/>
    <w:rsid w:val="00B86A21"/>
    <w:rsid w:val="00B87D61"/>
    <w:rsid w:val="00B93948"/>
    <w:rsid w:val="00B94C57"/>
    <w:rsid w:val="00BA02C1"/>
    <w:rsid w:val="00BA1927"/>
    <w:rsid w:val="00BA2165"/>
    <w:rsid w:val="00BA333F"/>
    <w:rsid w:val="00BA4765"/>
    <w:rsid w:val="00BA4BC7"/>
    <w:rsid w:val="00BA55B7"/>
    <w:rsid w:val="00BA5E47"/>
    <w:rsid w:val="00BA7650"/>
    <w:rsid w:val="00BA7D57"/>
    <w:rsid w:val="00BB156E"/>
    <w:rsid w:val="00BB2161"/>
    <w:rsid w:val="00BB3330"/>
    <w:rsid w:val="00BB47D7"/>
    <w:rsid w:val="00BB4A62"/>
    <w:rsid w:val="00BB5156"/>
    <w:rsid w:val="00BB7556"/>
    <w:rsid w:val="00BC01C1"/>
    <w:rsid w:val="00BC0ED7"/>
    <w:rsid w:val="00BC45A1"/>
    <w:rsid w:val="00BC5A34"/>
    <w:rsid w:val="00BD1351"/>
    <w:rsid w:val="00BD17F5"/>
    <w:rsid w:val="00BD57FA"/>
    <w:rsid w:val="00BD59A2"/>
    <w:rsid w:val="00BD6E05"/>
    <w:rsid w:val="00BD7E8D"/>
    <w:rsid w:val="00BE204A"/>
    <w:rsid w:val="00BE30F5"/>
    <w:rsid w:val="00BE54D0"/>
    <w:rsid w:val="00BE55EC"/>
    <w:rsid w:val="00BE7454"/>
    <w:rsid w:val="00BF45AE"/>
    <w:rsid w:val="00BF6B6C"/>
    <w:rsid w:val="00BF7251"/>
    <w:rsid w:val="00BF7F28"/>
    <w:rsid w:val="00C01909"/>
    <w:rsid w:val="00C05787"/>
    <w:rsid w:val="00C0645D"/>
    <w:rsid w:val="00C1042E"/>
    <w:rsid w:val="00C10F3B"/>
    <w:rsid w:val="00C13059"/>
    <w:rsid w:val="00C13989"/>
    <w:rsid w:val="00C156D4"/>
    <w:rsid w:val="00C15D0B"/>
    <w:rsid w:val="00C167A3"/>
    <w:rsid w:val="00C204F7"/>
    <w:rsid w:val="00C2181C"/>
    <w:rsid w:val="00C2657D"/>
    <w:rsid w:val="00C315C6"/>
    <w:rsid w:val="00C332FE"/>
    <w:rsid w:val="00C374FE"/>
    <w:rsid w:val="00C416E1"/>
    <w:rsid w:val="00C44AE6"/>
    <w:rsid w:val="00C44C22"/>
    <w:rsid w:val="00C47BF8"/>
    <w:rsid w:val="00C51B1C"/>
    <w:rsid w:val="00C52973"/>
    <w:rsid w:val="00C53DCE"/>
    <w:rsid w:val="00C54917"/>
    <w:rsid w:val="00C60120"/>
    <w:rsid w:val="00C63916"/>
    <w:rsid w:val="00C639A3"/>
    <w:rsid w:val="00C6412B"/>
    <w:rsid w:val="00C655F2"/>
    <w:rsid w:val="00C65B4C"/>
    <w:rsid w:val="00C65B61"/>
    <w:rsid w:val="00C70E53"/>
    <w:rsid w:val="00C72979"/>
    <w:rsid w:val="00C736B0"/>
    <w:rsid w:val="00C75D3C"/>
    <w:rsid w:val="00C80344"/>
    <w:rsid w:val="00C81529"/>
    <w:rsid w:val="00C81BA6"/>
    <w:rsid w:val="00C8377C"/>
    <w:rsid w:val="00C83A94"/>
    <w:rsid w:val="00C8425C"/>
    <w:rsid w:val="00C877CD"/>
    <w:rsid w:val="00C902E9"/>
    <w:rsid w:val="00C908B7"/>
    <w:rsid w:val="00C91A86"/>
    <w:rsid w:val="00C91D81"/>
    <w:rsid w:val="00C92A42"/>
    <w:rsid w:val="00CA18F2"/>
    <w:rsid w:val="00CA4871"/>
    <w:rsid w:val="00CA6722"/>
    <w:rsid w:val="00CA6D4E"/>
    <w:rsid w:val="00CA7B4B"/>
    <w:rsid w:val="00CB36A8"/>
    <w:rsid w:val="00CB3F82"/>
    <w:rsid w:val="00CC139A"/>
    <w:rsid w:val="00CC1E7A"/>
    <w:rsid w:val="00CC1EB2"/>
    <w:rsid w:val="00CC484C"/>
    <w:rsid w:val="00CC4F64"/>
    <w:rsid w:val="00CD058C"/>
    <w:rsid w:val="00CD2161"/>
    <w:rsid w:val="00CD3B98"/>
    <w:rsid w:val="00CD3F43"/>
    <w:rsid w:val="00CD4216"/>
    <w:rsid w:val="00CD518C"/>
    <w:rsid w:val="00CD733F"/>
    <w:rsid w:val="00CE0942"/>
    <w:rsid w:val="00CE177A"/>
    <w:rsid w:val="00CE7CA5"/>
    <w:rsid w:val="00CF1D81"/>
    <w:rsid w:val="00CF2DC9"/>
    <w:rsid w:val="00CF7CB6"/>
    <w:rsid w:val="00D018F1"/>
    <w:rsid w:val="00D036C6"/>
    <w:rsid w:val="00D04C25"/>
    <w:rsid w:val="00D0545F"/>
    <w:rsid w:val="00D1729F"/>
    <w:rsid w:val="00D21944"/>
    <w:rsid w:val="00D21C62"/>
    <w:rsid w:val="00D30092"/>
    <w:rsid w:val="00D311AB"/>
    <w:rsid w:val="00D325A8"/>
    <w:rsid w:val="00D32C16"/>
    <w:rsid w:val="00D442AD"/>
    <w:rsid w:val="00D469D0"/>
    <w:rsid w:val="00D50DEB"/>
    <w:rsid w:val="00D5388F"/>
    <w:rsid w:val="00D55AE3"/>
    <w:rsid w:val="00D5618A"/>
    <w:rsid w:val="00D5784B"/>
    <w:rsid w:val="00D57EE5"/>
    <w:rsid w:val="00D63EFB"/>
    <w:rsid w:val="00D658AF"/>
    <w:rsid w:val="00D83DE9"/>
    <w:rsid w:val="00D8450D"/>
    <w:rsid w:val="00D90E5E"/>
    <w:rsid w:val="00D91A3D"/>
    <w:rsid w:val="00D935D9"/>
    <w:rsid w:val="00D95AF9"/>
    <w:rsid w:val="00DA09C9"/>
    <w:rsid w:val="00DA1696"/>
    <w:rsid w:val="00DA1822"/>
    <w:rsid w:val="00DA60B4"/>
    <w:rsid w:val="00DB5E1F"/>
    <w:rsid w:val="00DC0132"/>
    <w:rsid w:val="00DC03E8"/>
    <w:rsid w:val="00DC0FF1"/>
    <w:rsid w:val="00DC153A"/>
    <w:rsid w:val="00DC19D8"/>
    <w:rsid w:val="00DC2613"/>
    <w:rsid w:val="00DC4512"/>
    <w:rsid w:val="00DC673C"/>
    <w:rsid w:val="00DD1707"/>
    <w:rsid w:val="00DD3080"/>
    <w:rsid w:val="00DD3691"/>
    <w:rsid w:val="00DD4241"/>
    <w:rsid w:val="00DD4B55"/>
    <w:rsid w:val="00DE1E90"/>
    <w:rsid w:val="00DE24E6"/>
    <w:rsid w:val="00DE57D5"/>
    <w:rsid w:val="00DE6A94"/>
    <w:rsid w:val="00DF07AD"/>
    <w:rsid w:val="00DF3364"/>
    <w:rsid w:val="00DF4927"/>
    <w:rsid w:val="00DF7F1C"/>
    <w:rsid w:val="00E00DEE"/>
    <w:rsid w:val="00E048A6"/>
    <w:rsid w:val="00E055BB"/>
    <w:rsid w:val="00E05BCE"/>
    <w:rsid w:val="00E07C72"/>
    <w:rsid w:val="00E10346"/>
    <w:rsid w:val="00E11988"/>
    <w:rsid w:val="00E15DA9"/>
    <w:rsid w:val="00E179D7"/>
    <w:rsid w:val="00E2095D"/>
    <w:rsid w:val="00E24734"/>
    <w:rsid w:val="00E2772A"/>
    <w:rsid w:val="00E302F0"/>
    <w:rsid w:val="00E30414"/>
    <w:rsid w:val="00E33BF5"/>
    <w:rsid w:val="00E34316"/>
    <w:rsid w:val="00E40769"/>
    <w:rsid w:val="00E42E8B"/>
    <w:rsid w:val="00E46FB0"/>
    <w:rsid w:val="00E4735E"/>
    <w:rsid w:val="00E5274C"/>
    <w:rsid w:val="00E54622"/>
    <w:rsid w:val="00E5523F"/>
    <w:rsid w:val="00E55C59"/>
    <w:rsid w:val="00E57BF6"/>
    <w:rsid w:val="00E60F12"/>
    <w:rsid w:val="00E6157B"/>
    <w:rsid w:val="00E625B5"/>
    <w:rsid w:val="00E63898"/>
    <w:rsid w:val="00E652FB"/>
    <w:rsid w:val="00E66142"/>
    <w:rsid w:val="00E66C20"/>
    <w:rsid w:val="00E70C78"/>
    <w:rsid w:val="00E70C79"/>
    <w:rsid w:val="00E71998"/>
    <w:rsid w:val="00E71C46"/>
    <w:rsid w:val="00E74C47"/>
    <w:rsid w:val="00E75ED2"/>
    <w:rsid w:val="00E76B3A"/>
    <w:rsid w:val="00E7702B"/>
    <w:rsid w:val="00E8280C"/>
    <w:rsid w:val="00E830F2"/>
    <w:rsid w:val="00E83CDC"/>
    <w:rsid w:val="00E83E4C"/>
    <w:rsid w:val="00E85442"/>
    <w:rsid w:val="00E856F1"/>
    <w:rsid w:val="00E91933"/>
    <w:rsid w:val="00E91F15"/>
    <w:rsid w:val="00E92A81"/>
    <w:rsid w:val="00E95873"/>
    <w:rsid w:val="00E969B1"/>
    <w:rsid w:val="00E97352"/>
    <w:rsid w:val="00EA0DC5"/>
    <w:rsid w:val="00EA1624"/>
    <w:rsid w:val="00EA3850"/>
    <w:rsid w:val="00EA3973"/>
    <w:rsid w:val="00EB4B00"/>
    <w:rsid w:val="00EB5634"/>
    <w:rsid w:val="00EB6552"/>
    <w:rsid w:val="00EC0280"/>
    <w:rsid w:val="00EC0E5A"/>
    <w:rsid w:val="00EC18E6"/>
    <w:rsid w:val="00EC1984"/>
    <w:rsid w:val="00EC234C"/>
    <w:rsid w:val="00EC3E65"/>
    <w:rsid w:val="00ED03D3"/>
    <w:rsid w:val="00ED2B6D"/>
    <w:rsid w:val="00ED3529"/>
    <w:rsid w:val="00ED4BD5"/>
    <w:rsid w:val="00ED4D17"/>
    <w:rsid w:val="00ED5EBB"/>
    <w:rsid w:val="00ED7A76"/>
    <w:rsid w:val="00ED7E4F"/>
    <w:rsid w:val="00EE1953"/>
    <w:rsid w:val="00EE283B"/>
    <w:rsid w:val="00EE46CA"/>
    <w:rsid w:val="00EE6CD3"/>
    <w:rsid w:val="00EE6FA9"/>
    <w:rsid w:val="00EF20D7"/>
    <w:rsid w:val="00EF3419"/>
    <w:rsid w:val="00EF3CEC"/>
    <w:rsid w:val="00EF76C3"/>
    <w:rsid w:val="00EF7E97"/>
    <w:rsid w:val="00F0119C"/>
    <w:rsid w:val="00F02BDB"/>
    <w:rsid w:val="00F0441B"/>
    <w:rsid w:val="00F07623"/>
    <w:rsid w:val="00F13563"/>
    <w:rsid w:val="00F1740F"/>
    <w:rsid w:val="00F23642"/>
    <w:rsid w:val="00F266D9"/>
    <w:rsid w:val="00F3136B"/>
    <w:rsid w:val="00F314F1"/>
    <w:rsid w:val="00F327EA"/>
    <w:rsid w:val="00F33641"/>
    <w:rsid w:val="00F35CE4"/>
    <w:rsid w:val="00F42842"/>
    <w:rsid w:val="00F43EE0"/>
    <w:rsid w:val="00F46E40"/>
    <w:rsid w:val="00F4760A"/>
    <w:rsid w:val="00F47D38"/>
    <w:rsid w:val="00F50AAA"/>
    <w:rsid w:val="00F52B8E"/>
    <w:rsid w:val="00F53425"/>
    <w:rsid w:val="00F53CFD"/>
    <w:rsid w:val="00F54AF5"/>
    <w:rsid w:val="00F557E3"/>
    <w:rsid w:val="00F565C8"/>
    <w:rsid w:val="00F567A4"/>
    <w:rsid w:val="00F56BDE"/>
    <w:rsid w:val="00F61E78"/>
    <w:rsid w:val="00F635C5"/>
    <w:rsid w:val="00F661D0"/>
    <w:rsid w:val="00F73127"/>
    <w:rsid w:val="00F736E3"/>
    <w:rsid w:val="00F73D9C"/>
    <w:rsid w:val="00F75A99"/>
    <w:rsid w:val="00F767E8"/>
    <w:rsid w:val="00F8004C"/>
    <w:rsid w:val="00F81274"/>
    <w:rsid w:val="00F8635E"/>
    <w:rsid w:val="00F86A3F"/>
    <w:rsid w:val="00F874DF"/>
    <w:rsid w:val="00F8782F"/>
    <w:rsid w:val="00F87E60"/>
    <w:rsid w:val="00F91297"/>
    <w:rsid w:val="00F9133B"/>
    <w:rsid w:val="00F92932"/>
    <w:rsid w:val="00F95567"/>
    <w:rsid w:val="00F97730"/>
    <w:rsid w:val="00F97C6B"/>
    <w:rsid w:val="00FA02F1"/>
    <w:rsid w:val="00FA2F0E"/>
    <w:rsid w:val="00FA48F2"/>
    <w:rsid w:val="00FA5B5F"/>
    <w:rsid w:val="00FB2A8A"/>
    <w:rsid w:val="00FB2B94"/>
    <w:rsid w:val="00FB32A4"/>
    <w:rsid w:val="00FB575E"/>
    <w:rsid w:val="00FB594D"/>
    <w:rsid w:val="00FC0320"/>
    <w:rsid w:val="00FC49BB"/>
    <w:rsid w:val="00FC5B77"/>
    <w:rsid w:val="00FC5CDF"/>
    <w:rsid w:val="00FD102E"/>
    <w:rsid w:val="00FD19EA"/>
    <w:rsid w:val="00FD228B"/>
    <w:rsid w:val="00FD4F9A"/>
    <w:rsid w:val="00FD616B"/>
    <w:rsid w:val="00FE367F"/>
    <w:rsid w:val="00FE3B94"/>
    <w:rsid w:val="00FE7D4A"/>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BE6A41C"/>
  <w15:chartTrackingRefBased/>
  <w15:docId w15:val="{83C67CCA-FC40-4DD8-A146-A5F4DABA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204874"/>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204874"/>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04874"/>
    <w:rPr>
      <w:rFonts w:ascii="Arial" w:hAnsi="Arial"/>
      <w:bCs/>
      <w:color w:val="201547"/>
      <w:sz w:val="44"/>
      <w:szCs w:val="44"/>
      <w:lang w:eastAsia="en-US"/>
    </w:rPr>
  </w:style>
  <w:style w:type="character" w:customStyle="1" w:styleId="Heading2Char">
    <w:name w:val="Heading 2 Char"/>
    <w:link w:val="Heading2"/>
    <w:uiPriority w:val="1"/>
    <w:rsid w:val="00204874"/>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31"/>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3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31"/>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31"/>
      </w:numPr>
      <w:spacing w:after="40"/>
    </w:pPr>
  </w:style>
  <w:style w:type="paragraph" w:customStyle="1" w:styleId="DHHSbulletindentlastline">
    <w:name w:val="DHHS bullet indent last line"/>
    <w:basedOn w:val="DHHSbody"/>
    <w:uiPriority w:val="4"/>
    <w:rsid w:val="00CF7CB6"/>
    <w:pPr>
      <w:numPr>
        <w:ilvl w:val="5"/>
        <w:numId w:val="31"/>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984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46"/>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24734"/>
    <w:rPr>
      <w:color w:val="605E5C"/>
      <w:shd w:val="clear" w:color="auto" w:fill="E1DFDD"/>
    </w:rPr>
  </w:style>
  <w:style w:type="character" w:customStyle="1" w:styleId="DHHSbodyChar">
    <w:name w:val="DHHS body Char"/>
    <w:basedOn w:val="DefaultParagraphFont"/>
    <w:link w:val="DHHSbody"/>
    <w:rsid w:val="00A16A72"/>
    <w:rPr>
      <w:rFonts w:ascii="Arial" w:eastAsia="Times" w:hAnsi="Arial"/>
      <w:lang w:eastAsia="en-US"/>
    </w:rPr>
  </w:style>
  <w:style w:type="paragraph" w:styleId="ListParagraph">
    <w:name w:val="List Paragraph"/>
    <w:basedOn w:val="Normal"/>
    <w:uiPriority w:val="34"/>
    <w:qFormat/>
    <w:rsid w:val="00DF4927"/>
    <w:pPr>
      <w:ind w:left="720"/>
      <w:contextualSpacing/>
    </w:pPr>
  </w:style>
  <w:style w:type="character" w:styleId="CommentReference">
    <w:name w:val="annotation reference"/>
    <w:basedOn w:val="DefaultParagraphFont"/>
    <w:uiPriority w:val="99"/>
    <w:semiHidden/>
    <w:unhideWhenUsed/>
    <w:rsid w:val="00DF4927"/>
    <w:rPr>
      <w:sz w:val="18"/>
      <w:szCs w:val="18"/>
    </w:rPr>
  </w:style>
  <w:style w:type="paragraph" w:styleId="CommentText">
    <w:name w:val="annotation text"/>
    <w:basedOn w:val="Normal"/>
    <w:link w:val="CommentTextChar"/>
    <w:uiPriority w:val="99"/>
    <w:semiHidden/>
    <w:unhideWhenUsed/>
    <w:rsid w:val="00DF4927"/>
    <w:rPr>
      <w:sz w:val="24"/>
      <w:szCs w:val="24"/>
    </w:rPr>
  </w:style>
  <w:style w:type="character" w:customStyle="1" w:styleId="CommentTextChar">
    <w:name w:val="Comment Text Char"/>
    <w:basedOn w:val="DefaultParagraphFont"/>
    <w:link w:val="CommentText"/>
    <w:uiPriority w:val="99"/>
    <w:semiHidden/>
    <w:rsid w:val="00DF4927"/>
    <w:rPr>
      <w:rFonts w:ascii="Cambria" w:hAnsi="Cambria"/>
      <w:sz w:val="24"/>
      <w:szCs w:val="24"/>
      <w:lang w:eastAsia="en-US"/>
    </w:rPr>
  </w:style>
  <w:style w:type="paragraph" w:styleId="NormalWeb">
    <w:name w:val="Normal (Web)"/>
    <w:basedOn w:val="Normal"/>
    <w:uiPriority w:val="99"/>
    <w:semiHidden/>
    <w:unhideWhenUsed/>
    <w:rsid w:val="00DF4927"/>
    <w:pPr>
      <w:spacing w:before="100" w:beforeAutospacing="1" w:after="100" w:afterAutospacing="1"/>
    </w:pPr>
    <w:rPr>
      <w:rFonts w:ascii="Times New Roman" w:hAnsi="Times New Roman"/>
      <w:sz w:val="24"/>
      <w:szCs w:val="24"/>
      <w:lang w:eastAsia="en-AU"/>
    </w:rPr>
  </w:style>
  <w:style w:type="character" w:styleId="Emphasis">
    <w:name w:val="Emphasis"/>
    <w:uiPriority w:val="20"/>
    <w:qFormat/>
    <w:rsid w:val="00C10F3B"/>
    <w:rPr>
      <w:i/>
      <w:iCs/>
    </w:rPr>
  </w:style>
  <w:style w:type="paragraph" w:customStyle="1" w:styleId="DHHSbodyBold">
    <w:name w:val="DHHS body Bold"/>
    <w:basedOn w:val="DHHSbody"/>
    <w:link w:val="DHHSbodyBoldChar"/>
    <w:qFormat/>
    <w:rsid w:val="005B7DCC"/>
    <w:rPr>
      <w:b/>
    </w:rPr>
  </w:style>
  <w:style w:type="character" w:customStyle="1" w:styleId="DHHSbodyBoldChar">
    <w:name w:val="DHHS body Bold Char"/>
    <w:basedOn w:val="DHHSbodyChar"/>
    <w:link w:val="DHHSbodyBold"/>
    <w:rsid w:val="005B7DCC"/>
    <w:rPr>
      <w:rFonts w:ascii="Arial" w:eastAsia="Times" w:hAnsi="Arial"/>
      <w:b/>
      <w:lang w:eastAsia="en-US"/>
    </w:rPr>
  </w:style>
  <w:style w:type="paragraph" w:customStyle="1" w:styleId="paragraph">
    <w:name w:val="paragraph"/>
    <w:basedOn w:val="Normal"/>
    <w:rsid w:val="003B5F7F"/>
    <w:rPr>
      <w:rFonts w:ascii="Times New Roman" w:hAnsi="Times New Roman"/>
      <w:sz w:val="24"/>
      <w:szCs w:val="24"/>
      <w:lang w:eastAsia="en-AU"/>
    </w:rPr>
  </w:style>
  <w:style w:type="character" w:customStyle="1" w:styleId="normaltextrun1">
    <w:name w:val="normaltextrun1"/>
    <w:basedOn w:val="DefaultParagraphFont"/>
    <w:rsid w:val="003B5F7F"/>
  </w:style>
  <w:style w:type="character" w:customStyle="1" w:styleId="eop">
    <w:name w:val="eop"/>
    <w:basedOn w:val="DefaultParagraphFont"/>
    <w:rsid w:val="003B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hs.vic.gov.au/publications/aboriginal-and-torres-strait-islander-cultural-safety-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hs.vic.gov.au/publications/aboriginal-and-torres-strait-islander-cultural-safety-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iders.dhhs.vic.gov.au/funded-agencies/cultural-safe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health.vic.gov.au/about/health-strategies/aboriginal-health" TargetMode="External"/><Relationship Id="rId4" Type="http://schemas.openxmlformats.org/officeDocument/2006/relationships/settings" Target="settings.xml"/><Relationship Id="rId9" Type="http://schemas.openxmlformats.org/officeDocument/2006/relationships/hyperlink" Target="mailto:aboriginalstrategyandoversight@dhhs.vic.gov.au" TargetMode="External"/><Relationship Id="rId14" Type="http://schemas.openxmlformats.org/officeDocument/2006/relationships/hyperlink" Target="https://www.dhhs.vic.gov.au/publications/aboriginal-and-torres-strait-islander-cultural-safe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F1C0-CF92-497C-BF47-EBDD1AF0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1255</Words>
  <Characters>9397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Fire Risk Management</vt:lpstr>
    </vt:vector>
  </TitlesOfParts>
  <Company>Department of Health and Human Services</Company>
  <LinksUpToDate>false</LinksUpToDate>
  <CharactersWithSpaces>10631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Risk Management</dc:title>
  <dc:subject/>
  <dc:creator>Service Agreement Policy</dc:creator>
  <cp:keywords/>
  <cp:lastModifiedBy>Sarah Luscombe (DHHS)</cp:lastModifiedBy>
  <cp:revision>8</cp:revision>
  <cp:lastPrinted>2019-10-28T05:43:00Z</cp:lastPrinted>
  <dcterms:created xsi:type="dcterms:W3CDTF">2019-12-09T03:49:00Z</dcterms:created>
  <dcterms:modified xsi:type="dcterms:W3CDTF">2020-01-30T02:50:00Z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