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8E8"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AFF156A" wp14:editId="46E5326A">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4532CB1B"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3C85C049" w14:textId="77777777" w:rsidTr="00647B30">
        <w:tc>
          <w:tcPr>
            <w:tcW w:w="11907" w:type="dxa"/>
          </w:tcPr>
          <w:p w14:paraId="1A48BAC6" w14:textId="77777777" w:rsidR="00AD784C" w:rsidRDefault="00561ADF" w:rsidP="00CE12AF">
            <w:pPr>
              <w:pStyle w:val="Documenttitle"/>
            </w:pPr>
            <w:r>
              <w:t>COVID-19</w:t>
            </w:r>
          </w:p>
          <w:p w14:paraId="48A6A7F2" w14:textId="65A81B6F" w:rsidR="00561ADF" w:rsidRPr="00161AA0" w:rsidRDefault="00561ADF" w:rsidP="00CE12AF">
            <w:pPr>
              <w:pStyle w:val="Documenttitle"/>
            </w:pPr>
            <w:r>
              <w:t xml:space="preserve">Maternal and Child Health </w:t>
            </w:r>
          </w:p>
        </w:tc>
      </w:tr>
      <w:tr w:rsidR="00CE12AF" w14:paraId="7FFFEBC3" w14:textId="77777777" w:rsidTr="00647B30">
        <w:tc>
          <w:tcPr>
            <w:tcW w:w="11907" w:type="dxa"/>
          </w:tcPr>
          <w:p w14:paraId="420016CF" w14:textId="77777777" w:rsidR="00CE12AF" w:rsidRDefault="00561ADF" w:rsidP="00CE12AF">
            <w:pPr>
              <w:pStyle w:val="Documentsubtitle"/>
            </w:pPr>
            <w:r>
              <w:t xml:space="preserve">Statewide Victoria </w:t>
            </w:r>
          </w:p>
          <w:p w14:paraId="1877D71F" w14:textId="09B75F7F" w:rsidR="00114440" w:rsidRDefault="00114440" w:rsidP="00114440">
            <w:pPr>
              <w:pStyle w:val="Documentsubtitle"/>
              <w:rPr>
                <w:sz w:val="27"/>
                <w:szCs w:val="27"/>
              </w:rPr>
            </w:pPr>
            <w:r w:rsidRPr="00FF3A42">
              <w:rPr>
                <w:sz w:val="27"/>
                <w:szCs w:val="27"/>
                <w:highlight w:val="yellow"/>
              </w:rPr>
              <w:t xml:space="preserve">From </w:t>
            </w:r>
            <w:r>
              <w:rPr>
                <w:sz w:val="27"/>
                <w:szCs w:val="27"/>
                <w:highlight w:val="yellow"/>
              </w:rPr>
              <w:t xml:space="preserve">11.59PM Wednesday 12 </w:t>
            </w:r>
            <w:r w:rsidR="005C53F6">
              <w:rPr>
                <w:sz w:val="27"/>
                <w:szCs w:val="27"/>
                <w:highlight w:val="yellow"/>
              </w:rPr>
              <w:t xml:space="preserve">October </w:t>
            </w:r>
            <w:r w:rsidRPr="00FF3A42">
              <w:rPr>
                <w:sz w:val="27"/>
                <w:szCs w:val="27"/>
                <w:highlight w:val="yellow"/>
              </w:rPr>
              <w:t>2022</w:t>
            </w:r>
          </w:p>
          <w:p w14:paraId="722E9465" w14:textId="4EE1C6AE" w:rsidR="00114440" w:rsidRPr="00A1389F" w:rsidRDefault="00114440" w:rsidP="00114440">
            <w:pPr>
              <w:pStyle w:val="Documentsubtitle"/>
            </w:pPr>
            <w:r w:rsidRPr="00F366EA">
              <w:rPr>
                <w:i/>
                <w:iCs/>
                <w:sz w:val="27"/>
                <w:szCs w:val="27"/>
                <w:highlight w:val="yellow"/>
              </w:rPr>
              <w:t>V</w:t>
            </w:r>
            <w:r w:rsidR="005C53F6">
              <w:rPr>
                <w:i/>
                <w:iCs/>
                <w:sz w:val="27"/>
                <w:szCs w:val="27"/>
                <w:highlight w:val="yellow"/>
              </w:rPr>
              <w:t>52</w:t>
            </w:r>
            <w:r w:rsidRPr="00F366EA">
              <w:rPr>
                <w:i/>
                <w:iCs/>
                <w:sz w:val="27"/>
                <w:szCs w:val="27"/>
                <w:highlight w:val="yellow"/>
              </w:rPr>
              <w:t xml:space="preserve"> – </w:t>
            </w:r>
            <w:r>
              <w:rPr>
                <w:i/>
                <w:iCs/>
                <w:sz w:val="27"/>
                <w:szCs w:val="27"/>
                <w:highlight w:val="yellow"/>
              </w:rPr>
              <w:t xml:space="preserve">12 </w:t>
            </w:r>
            <w:r w:rsidR="005C53F6">
              <w:rPr>
                <w:i/>
                <w:iCs/>
                <w:sz w:val="27"/>
                <w:szCs w:val="27"/>
                <w:highlight w:val="yellow"/>
              </w:rPr>
              <w:t>October</w:t>
            </w:r>
            <w:r>
              <w:rPr>
                <w:i/>
                <w:iCs/>
                <w:sz w:val="27"/>
                <w:szCs w:val="27"/>
                <w:highlight w:val="yellow"/>
              </w:rPr>
              <w:t xml:space="preserve"> </w:t>
            </w:r>
            <w:r w:rsidRPr="00F366EA">
              <w:rPr>
                <w:i/>
                <w:iCs/>
                <w:sz w:val="27"/>
                <w:szCs w:val="27"/>
                <w:highlight w:val="yellow"/>
              </w:rPr>
              <w:t>2022</w:t>
            </w:r>
          </w:p>
        </w:tc>
      </w:tr>
      <w:tr w:rsidR="00CE12AF" w14:paraId="00F3CAA6" w14:textId="77777777" w:rsidTr="00647B30">
        <w:tc>
          <w:tcPr>
            <w:tcW w:w="11907" w:type="dxa"/>
          </w:tcPr>
          <w:p w14:paraId="18048876" w14:textId="77777777" w:rsidR="00CE12AF" w:rsidRPr="00250DC4" w:rsidRDefault="00EA0E60" w:rsidP="00CE12AF">
            <w:pPr>
              <w:pStyle w:val="Bannermarking"/>
            </w:pPr>
            <w:fldSimple w:instr=" FILLIN  &quot;Type the protective marking&quot; \d OFFICIAL \o  \* MERGEFORMAT ">
              <w:r w:rsidR="00E901F0">
                <w:t>OFFICIAL</w:t>
              </w:r>
            </w:fldSimple>
          </w:p>
        </w:tc>
      </w:tr>
    </w:tbl>
    <w:p w14:paraId="08C466C9" w14:textId="59B3F00F" w:rsidR="007173CA" w:rsidRDefault="007173CA" w:rsidP="00D079AA">
      <w:pPr>
        <w:pStyle w:val="Body"/>
      </w:pPr>
    </w:p>
    <w:p w14:paraId="71A7ECB5" w14:textId="77777777" w:rsidR="00580394" w:rsidRPr="00B519CD" w:rsidRDefault="00580394" w:rsidP="007173CA">
      <w:pPr>
        <w:pStyle w:val="Body"/>
        <w:sectPr w:rsidR="00580394" w:rsidRPr="00B519CD" w:rsidSect="00FD2A22">
          <w:headerReference w:type="even" r:id="rId18"/>
          <w:headerReference w:type="default" r:id="rId19"/>
          <w:headerReference w:type="first" r:id="rId20"/>
          <w:type w:val="continuous"/>
          <w:pgSz w:w="16838" w:h="11906" w:orient="landscape" w:code="9"/>
          <w:pgMar w:top="1418" w:right="851" w:bottom="1418" w:left="851" w:header="680" w:footer="851" w:gutter="0"/>
          <w:cols w:space="340"/>
          <w:titlePg/>
          <w:docGrid w:linePitch="360"/>
        </w:sectPr>
      </w:pPr>
    </w:p>
    <w:p w14:paraId="34DCC801" w14:textId="2346A020" w:rsidR="00260B56" w:rsidRPr="006E4F85" w:rsidRDefault="00260B56" w:rsidP="00260B56">
      <w:pPr>
        <w:pStyle w:val="NormalWeb"/>
        <w:rPr>
          <w:rFonts w:ascii="Arial" w:hAnsi="Arial" w:cs="Arial"/>
          <w:color w:val="000000"/>
          <w:sz w:val="21"/>
          <w:szCs w:val="21"/>
        </w:rPr>
      </w:pPr>
      <w:bookmarkStart w:id="0" w:name="_Toc116637636"/>
      <w:bookmarkStart w:id="1" w:name="_Toc116834929"/>
      <w:bookmarkStart w:id="2" w:name="_Hlk41913885"/>
      <w:r w:rsidRPr="006E4F85">
        <w:rPr>
          <w:rFonts w:ascii="Arial" w:hAnsi="Arial" w:cs="Arial"/>
          <w:color w:val="000000"/>
          <w:sz w:val="21"/>
          <w:szCs w:val="21"/>
        </w:rPr>
        <w:t>As part of the ongoing management of the coronavirus pandemic, Victoria has made changes to COVID-19 requirements to align with decisions agreed to by all states and territories at National Cabinet.</w:t>
      </w:r>
    </w:p>
    <w:p w14:paraId="14F1AF2C" w14:textId="734B8302" w:rsidR="00260B56" w:rsidRPr="006E4F85" w:rsidRDefault="00260B56" w:rsidP="00260B56">
      <w:pPr>
        <w:pStyle w:val="NormalWeb"/>
        <w:rPr>
          <w:rFonts w:ascii="Arial" w:hAnsi="Arial" w:cs="Arial"/>
          <w:color w:val="000000"/>
          <w:sz w:val="21"/>
          <w:szCs w:val="21"/>
        </w:rPr>
      </w:pPr>
      <w:r w:rsidRPr="006E4F85">
        <w:rPr>
          <w:rFonts w:ascii="Arial" w:hAnsi="Arial" w:cs="Arial"/>
          <w:color w:val="000000"/>
          <w:sz w:val="21"/>
          <w:szCs w:val="21"/>
        </w:rPr>
        <w:t xml:space="preserve">From 11.59pm on Wednesday, 12 October, the pandemic declaration ended – and Victorians </w:t>
      </w:r>
      <w:r w:rsidR="006E4F85" w:rsidRPr="006E4F85">
        <w:rPr>
          <w:rFonts w:ascii="Arial" w:hAnsi="Arial" w:cs="Arial"/>
          <w:color w:val="000000"/>
          <w:sz w:val="21"/>
          <w:szCs w:val="21"/>
        </w:rPr>
        <w:t>are</w:t>
      </w:r>
      <w:r w:rsidRPr="006E4F85">
        <w:rPr>
          <w:rFonts w:ascii="Arial" w:hAnsi="Arial" w:cs="Arial"/>
          <w:color w:val="000000"/>
          <w:sz w:val="21"/>
          <w:szCs w:val="21"/>
        </w:rPr>
        <w:t xml:space="preserve"> no longer required to isolate after testing positive to COVID-19, with isolation for positive cases no</w:t>
      </w:r>
      <w:r w:rsidR="00561ADF" w:rsidRPr="006E4F85">
        <w:rPr>
          <w:rFonts w:ascii="Arial" w:hAnsi="Arial" w:cs="Arial"/>
          <w:color w:val="000000"/>
          <w:sz w:val="21"/>
          <w:szCs w:val="21"/>
        </w:rPr>
        <w:t xml:space="preserve">t required but </w:t>
      </w:r>
      <w:r w:rsidRPr="006E4F85">
        <w:rPr>
          <w:rFonts w:ascii="Arial" w:hAnsi="Arial" w:cs="Arial"/>
          <w:color w:val="000000"/>
          <w:sz w:val="21"/>
          <w:szCs w:val="21"/>
        </w:rPr>
        <w:t>strongly recommended.</w:t>
      </w:r>
    </w:p>
    <w:p w14:paraId="16D9F88A" w14:textId="58A826A9" w:rsidR="00260B56" w:rsidRPr="006E4F85" w:rsidRDefault="00260B56" w:rsidP="00260B56">
      <w:pPr>
        <w:pStyle w:val="NormalWeb"/>
        <w:rPr>
          <w:rFonts w:ascii="Arial" w:hAnsi="Arial" w:cs="Arial"/>
          <w:color w:val="000000"/>
          <w:sz w:val="21"/>
          <w:szCs w:val="21"/>
        </w:rPr>
      </w:pPr>
      <w:r w:rsidRPr="006E4F85">
        <w:rPr>
          <w:rFonts w:ascii="Arial" w:hAnsi="Arial" w:cs="Arial"/>
          <w:color w:val="000000"/>
          <w:sz w:val="21"/>
          <w:szCs w:val="21"/>
        </w:rPr>
        <w:t>Requirements for close contacts like continually testing negative on a rapid antigen test is strongly recommended – joining the strong recommendation to wear a mask indoors</w:t>
      </w:r>
      <w:r w:rsidR="00114440">
        <w:rPr>
          <w:rFonts w:ascii="Arial" w:hAnsi="Arial" w:cs="Arial"/>
          <w:color w:val="000000"/>
          <w:sz w:val="21"/>
          <w:szCs w:val="21"/>
        </w:rPr>
        <w:t>.</w:t>
      </w:r>
    </w:p>
    <w:p w14:paraId="27A89B2D" w14:textId="63781BF6" w:rsidR="00561ADF" w:rsidRPr="006E4F85" w:rsidRDefault="00561ADF" w:rsidP="00561ADF">
      <w:pPr>
        <w:pStyle w:val="NormalWeb"/>
        <w:rPr>
          <w:rFonts w:ascii="Arial" w:hAnsi="Arial" w:cs="Arial"/>
          <w:color w:val="000000"/>
          <w:sz w:val="21"/>
          <w:szCs w:val="21"/>
        </w:rPr>
      </w:pPr>
      <w:r w:rsidRPr="006E4F85">
        <w:rPr>
          <w:rFonts w:ascii="Arial" w:hAnsi="Arial" w:cs="Arial"/>
          <w:color w:val="000000"/>
          <w:sz w:val="21"/>
          <w:szCs w:val="21"/>
        </w:rPr>
        <w:t>The Department of Health has put in place Secretary Directions to ensure there is no disruption to vaccination requirements in health service settings. These directions will allow for vaccination requirements in public, denominational and private hospitals, as well as public sector aged care facilities, day procedure centres and throughout ambulance service.</w:t>
      </w:r>
    </w:p>
    <w:p w14:paraId="0A55D701" w14:textId="11D597E4" w:rsidR="00561ADF" w:rsidRPr="006E4F85" w:rsidRDefault="00561ADF" w:rsidP="00561ADF">
      <w:pPr>
        <w:pStyle w:val="NormalWeb"/>
        <w:rPr>
          <w:rFonts w:ascii="Arial" w:hAnsi="Arial" w:cs="Arial"/>
          <w:color w:val="000000"/>
          <w:sz w:val="21"/>
          <w:szCs w:val="21"/>
        </w:rPr>
      </w:pPr>
      <w:r w:rsidRPr="006E4F85">
        <w:rPr>
          <w:rFonts w:ascii="Arial" w:hAnsi="Arial" w:cs="Arial"/>
          <w:color w:val="000000"/>
          <w:sz w:val="21"/>
          <w:szCs w:val="21"/>
        </w:rPr>
        <w:t>Powers also exist under OH&amp;S laws and Departmental Secretary Directions to require vaccinations for people in workplaces, allowing employers to decide which measures are most appropriate to keep their workplaces protected against COVID-19.</w:t>
      </w:r>
    </w:p>
    <w:p w14:paraId="1A260A0C" w14:textId="4479C4D6" w:rsidR="00561ADF" w:rsidRPr="006E4F85" w:rsidRDefault="00561ADF" w:rsidP="00561ADF">
      <w:pPr>
        <w:pStyle w:val="NormalWeb"/>
        <w:rPr>
          <w:rFonts w:ascii="Arial" w:hAnsi="Arial" w:cs="Arial"/>
          <w:color w:val="000000"/>
          <w:sz w:val="21"/>
          <w:szCs w:val="21"/>
        </w:rPr>
      </w:pPr>
      <w:r w:rsidRPr="006E4F85">
        <w:rPr>
          <w:rFonts w:ascii="Arial" w:hAnsi="Arial" w:cs="Arial"/>
          <w:color w:val="000000"/>
          <w:sz w:val="21"/>
          <w:szCs w:val="21"/>
        </w:rPr>
        <w:t>Every Victorian organisation with on-site operations must keep a COVIDSafe Plan at their workplace and workplaces should regularly review and update their COVIDSafe Plan.</w:t>
      </w:r>
    </w:p>
    <w:p w14:paraId="586EF5F5" w14:textId="6BD6A5B6" w:rsidR="00561ADF" w:rsidRDefault="00561ADF" w:rsidP="00260B56">
      <w:pPr>
        <w:pStyle w:val="NormalWeb"/>
        <w:rPr>
          <w:rFonts w:ascii="Arial" w:hAnsi="Arial" w:cs="Arial"/>
          <w:sz w:val="21"/>
          <w:szCs w:val="21"/>
        </w:rPr>
      </w:pPr>
      <w:r w:rsidRPr="006E4F85">
        <w:rPr>
          <w:rFonts w:ascii="Arial" w:hAnsi="Arial" w:cs="Arial"/>
          <w:color w:val="000000"/>
          <w:sz w:val="21"/>
          <w:szCs w:val="21"/>
        </w:rPr>
        <w:t xml:space="preserve">Please go to </w:t>
      </w:r>
      <w:hyperlink r:id="rId21" w:history="1">
        <w:r w:rsidRPr="006E4F85">
          <w:rPr>
            <w:rStyle w:val="Hyperlink"/>
            <w:rFonts w:ascii="Arial" w:eastAsia="MS Gothic" w:hAnsi="Arial" w:cs="Arial"/>
            <w:sz w:val="21"/>
            <w:szCs w:val="21"/>
          </w:rPr>
          <w:t>Coronavirus (COVID-19) Victoria | Coronavirus Victoria</w:t>
        </w:r>
      </w:hyperlink>
      <w:r w:rsidRPr="006E4F85">
        <w:rPr>
          <w:rFonts w:ascii="Arial" w:hAnsi="Arial" w:cs="Arial"/>
          <w:sz w:val="21"/>
          <w:szCs w:val="21"/>
        </w:rPr>
        <w:t xml:space="preserve"> for the latest Department of Health advice.</w:t>
      </w:r>
    </w:p>
    <w:p w14:paraId="24A020D8" w14:textId="77777777" w:rsidR="006E4F85" w:rsidRPr="006E4F85" w:rsidRDefault="006E4F85" w:rsidP="00260B56">
      <w:pPr>
        <w:pStyle w:val="NormalWeb"/>
        <w:rPr>
          <w:rFonts w:ascii="Arial" w:hAnsi="Arial" w:cs="Arial"/>
          <w:color w:val="000000"/>
          <w:sz w:val="21"/>
          <w:szCs w:val="21"/>
        </w:rPr>
      </w:pPr>
    </w:p>
    <w:tbl>
      <w:tblPr>
        <w:tblStyle w:val="TableGrid"/>
        <w:tblW w:w="15021" w:type="dxa"/>
        <w:tblLook w:val="06A0" w:firstRow="1" w:lastRow="0" w:firstColumn="1" w:lastColumn="0" w:noHBand="1" w:noVBand="1"/>
      </w:tblPr>
      <w:tblGrid>
        <w:gridCol w:w="2405"/>
        <w:gridCol w:w="2977"/>
        <w:gridCol w:w="5812"/>
        <w:gridCol w:w="3827"/>
      </w:tblGrid>
      <w:tr w:rsidR="00587309" w14:paraId="1AE0EC44" w14:textId="77777777" w:rsidTr="006E4F85">
        <w:trPr>
          <w:tblHeader/>
        </w:trPr>
        <w:tc>
          <w:tcPr>
            <w:tcW w:w="2405" w:type="dxa"/>
            <w:shd w:val="clear" w:color="auto" w:fill="C6D9F1" w:themeFill="text2" w:themeFillTint="33"/>
          </w:tcPr>
          <w:bookmarkEnd w:id="0"/>
          <w:bookmarkEnd w:id="1"/>
          <w:p w14:paraId="3F11BAB9" w14:textId="62697D3B" w:rsidR="00587309" w:rsidRPr="006E4F85" w:rsidRDefault="00587309" w:rsidP="0083503D">
            <w:pPr>
              <w:pStyle w:val="Tablecolhead"/>
              <w:rPr>
                <w:color w:val="auto"/>
                <w:szCs w:val="21"/>
              </w:rPr>
            </w:pPr>
            <w:r w:rsidRPr="006E4F85">
              <w:rPr>
                <w:color w:val="auto"/>
                <w:szCs w:val="21"/>
              </w:rPr>
              <w:lastRenderedPageBreak/>
              <w:t>Key Information</w:t>
            </w:r>
          </w:p>
        </w:tc>
        <w:tc>
          <w:tcPr>
            <w:tcW w:w="8789" w:type="dxa"/>
            <w:gridSpan w:val="2"/>
            <w:shd w:val="clear" w:color="auto" w:fill="C6D9F1" w:themeFill="text2" w:themeFillTint="33"/>
          </w:tcPr>
          <w:p w14:paraId="5CB9131D" w14:textId="07CFCDC5" w:rsidR="00587309" w:rsidRPr="006E4F85" w:rsidRDefault="00587309" w:rsidP="0083503D">
            <w:pPr>
              <w:pStyle w:val="Tablecolhead"/>
              <w:rPr>
                <w:color w:val="auto"/>
                <w:szCs w:val="21"/>
              </w:rPr>
            </w:pPr>
            <w:r w:rsidRPr="006E4F85">
              <w:rPr>
                <w:color w:val="auto"/>
                <w:szCs w:val="21"/>
              </w:rPr>
              <w:t xml:space="preserve">MCH Guidance – CHO Endorsed Public Health Message </w:t>
            </w:r>
          </w:p>
        </w:tc>
        <w:tc>
          <w:tcPr>
            <w:tcW w:w="3827" w:type="dxa"/>
            <w:shd w:val="clear" w:color="auto" w:fill="C6D9F1" w:themeFill="text2" w:themeFillTint="33"/>
          </w:tcPr>
          <w:p w14:paraId="431F17CD" w14:textId="634ECDE5" w:rsidR="00587309" w:rsidRPr="006E4F85" w:rsidRDefault="00587309" w:rsidP="0083503D">
            <w:pPr>
              <w:pStyle w:val="Tablecolhead"/>
              <w:rPr>
                <w:color w:val="auto"/>
                <w:szCs w:val="21"/>
              </w:rPr>
            </w:pPr>
            <w:r w:rsidRPr="006E4F85">
              <w:rPr>
                <w:color w:val="auto"/>
                <w:szCs w:val="21"/>
              </w:rPr>
              <w:t xml:space="preserve">Supporting Guidance </w:t>
            </w:r>
          </w:p>
        </w:tc>
      </w:tr>
      <w:tr w:rsidR="00026C89" w14:paraId="63448615" w14:textId="77777777" w:rsidTr="006E4F85">
        <w:tc>
          <w:tcPr>
            <w:tcW w:w="2405" w:type="dxa"/>
            <w:vMerge w:val="restart"/>
          </w:tcPr>
          <w:p w14:paraId="16BA2CD0" w14:textId="77777777" w:rsidR="00026C89" w:rsidRPr="006E4F85" w:rsidRDefault="00026C89" w:rsidP="000A3010">
            <w:pPr>
              <w:pStyle w:val="Body"/>
              <w:rPr>
                <w:rFonts w:cs="Arial"/>
                <w:b/>
                <w:bCs/>
                <w:szCs w:val="21"/>
              </w:rPr>
            </w:pPr>
            <w:r w:rsidRPr="006E4F85">
              <w:rPr>
                <w:rFonts w:cs="Arial"/>
                <w:b/>
                <w:bCs/>
                <w:szCs w:val="21"/>
              </w:rPr>
              <w:t>Choose to stay well</w:t>
            </w:r>
          </w:p>
          <w:p w14:paraId="7F55ED04" w14:textId="77777777" w:rsidR="00026C89" w:rsidRPr="006E4F85" w:rsidRDefault="00026C89" w:rsidP="000A3010">
            <w:pPr>
              <w:pStyle w:val="Body"/>
              <w:rPr>
                <w:rFonts w:cs="Arial"/>
                <w:i/>
                <w:iCs/>
                <w:color w:val="132A4A"/>
                <w:szCs w:val="21"/>
              </w:rPr>
            </w:pPr>
            <w:r w:rsidRPr="006E4F85">
              <w:rPr>
                <w:rFonts w:cs="Arial"/>
                <w:i/>
                <w:iCs/>
                <w:color w:val="132A4A"/>
                <w:szCs w:val="21"/>
              </w:rPr>
              <w:t>We can all stay well by choosing to stay ahead of COVID. Choose to stay safe by wearing a mask in indoor settings, getting together in well ventilated spaces and staying up to date with vaccinations.</w:t>
            </w:r>
          </w:p>
          <w:p w14:paraId="1E72C145" w14:textId="77777777" w:rsidR="00026C89" w:rsidRPr="006E4F85" w:rsidRDefault="000F18B3" w:rsidP="000A3010">
            <w:pPr>
              <w:pStyle w:val="Body"/>
              <w:rPr>
                <w:rFonts w:cs="Arial"/>
                <w:color w:val="132A4A"/>
                <w:szCs w:val="21"/>
              </w:rPr>
            </w:pPr>
            <w:hyperlink r:id="rId22" w:history="1">
              <w:r w:rsidR="00026C89" w:rsidRPr="006E4F85">
                <w:rPr>
                  <w:rStyle w:val="Hyperlink"/>
                  <w:szCs w:val="21"/>
                </w:rPr>
                <w:t>Coronavirus (COVID-19) Victoria | Coronavirus Victoria</w:t>
              </w:r>
            </w:hyperlink>
          </w:p>
          <w:p w14:paraId="16792638" w14:textId="7238F8F5" w:rsidR="00026C89" w:rsidRPr="006E4F85" w:rsidRDefault="00026C89" w:rsidP="000A3010">
            <w:pPr>
              <w:pStyle w:val="Tabletext"/>
              <w:rPr>
                <w:szCs w:val="21"/>
              </w:rPr>
            </w:pPr>
          </w:p>
        </w:tc>
        <w:tc>
          <w:tcPr>
            <w:tcW w:w="2977" w:type="dxa"/>
          </w:tcPr>
          <w:p w14:paraId="550C1235" w14:textId="77777777" w:rsidR="00026C89" w:rsidRPr="006E4F85" w:rsidRDefault="00026C89" w:rsidP="000A3010">
            <w:pPr>
              <w:pStyle w:val="Body"/>
              <w:rPr>
                <w:rFonts w:cs="Arial"/>
                <w:szCs w:val="21"/>
              </w:rPr>
            </w:pPr>
            <w:r w:rsidRPr="006E4F85">
              <w:rPr>
                <w:rFonts w:cs="Arial"/>
                <w:b/>
                <w:bCs/>
                <w:szCs w:val="21"/>
              </w:rPr>
              <w:t>Universal MCH</w:t>
            </w:r>
          </w:p>
          <w:p w14:paraId="4B235B3D" w14:textId="77777777" w:rsidR="00026C89" w:rsidRPr="006E4F85" w:rsidRDefault="00026C89" w:rsidP="000A3010">
            <w:pPr>
              <w:pStyle w:val="Tablebullet1"/>
              <w:rPr>
                <w:rFonts w:eastAsia="Times" w:cs="Arial"/>
                <w:szCs w:val="21"/>
              </w:rPr>
            </w:pPr>
            <w:r w:rsidRPr="006E4F85">
              <w:rPr>
                <w:rFonts w:eastAsia="Times" w:cs="Arial"/>
                <w:szCs w:val="21"/>
              </w:rPr>
              <w:t>KAS consultations</w:t>
            </w:r>
          </w:p>
          <w:p w14:paraId="267000CA" w14:textId="77777777" w:rsidR="00026C89" w:rsidRPr="006E4F85" w:rsidRDefault="00026C89" w:rsidP="000A3010">
            <w:pPr>
              <w:pStyle w:val="Tablebullet1"/>
              <w:rPr>
                <w:rFonts w:eastAsia="Times" w:cs="Arial"/>
                <w:szCs w:val="21"/>
              </w:rPr>
            </w:pPr>
            <w:r w:rsidRPr="006E4F85">
              <w:rPr>
                <w:rFonts w:eastAsia="Times" w:cs="Arial"/>
                <w:szCs w:val="21"/>
              </w:rPr>
              <w:t>Additional consultations</w:t>
            </w:r>
          </w:p>
          <w:p w14:paraId="31DAFFC1" w14:textId="77777777" w:rsidR="00026C89" w:rsidRPr="006E4F85" w:rsidRDefault="00026C89" w:rsidP="000A3010">
            <w:pPr>
              <w:pStyle w:val="Tablebullet1"/>
              <w:rPr>
                <w:rFonts w:eastAsia="Times" w:cs="Arial"/>
                <w:szCs w:val="21"/>
              </w:rPr>
            </w:pPr>
            <w:r w:rsidRPr="006E4F85">
              <w:rPr>
                <w:rFonts w:eastAsia="Times" w:cs="Arial"/>
                <w:szCs w:val="21"/>
              </w:rPr>
              <w:t xml:space="preserve">Telephone consultations </w:t>
            </w:r>
          </w:p>
          <w:p w14:paraId="399255B2" w14:textId="77777777" w:rsidR="00026C89" w:rsidRPr="006E4F85" w:rsidRDefault="00026C89" w:rsidP="000A3010">
            <w:pPr>
              <w:pStyle w:val="Tablebullet1"/>
              <w:rPr>
                <w:rFonts w:eastAsia="Times" w:cs="Arial"/>
                <w:szCs w:val="21"/>
              </w:rPr>
            </w:pPr>
            <w:r w:rsidRPr="006E4F85">
              <w:rPr>
                <w:rFonts w:eastAsia="Times" w:cs="Arial"/>
                <w:szCs w:val="21"/>
              </w:rPr>
              <w:t>Community strengthening activities</w:t>
            </w:r>
          </w:p>
          <w:p w14:paraId="06A575D9" w14:textId="72A8E953" w:rsidR="00026C89" w:rsidRPr="006E4F85" w:rsidRDefault="00026C89" w:rsidP="000A3010">
            <w:pPr>
              <w:pStyle w:val="Tabletext"/>
              <w:rPr>
                <w:szCs w:val="21"/>
              </w:rPr>
            </w:pPr>
          </w:p>
        </w:tc>
        <w:tc>
          <w:tcPr>
            <w:tcW w:w="5812" w:type="dxa"/>
          </w:tcPr>
          <w:p w14:paraId="6FE2207E" w14:textId="77777777" w:rsidR="00026C89" w:rsidRPr="006E4F85" w:rsidRDefault="00026C89" w:rsidP="000A3010">
            <w:pPr>
              <w:pStyle w:val="Tablebullet1"/>
              <w:numPr>
                <w:ilvl w:val="0"/>
                <w:numId w:val="0"/>
              </w:numPr>
              <w:rPr>
                <w:rFonts w:eastAsia="Times" w:cs="Arial"/>
                <w:b/>
                <w:bCs/>
                <w:szCs w:val="21"/>
              </w:rPr>
            </w:pPr>
            <w:r w:rsidRPr="006E4F85">
              <w:rPr>
                <w:rFonts w:eastAsia="Times" w:cs="Arial"/>
                <w:b/>
                <w:bCs/>
                <w:szCs w:val="21"/>
              </w:rPr>
              <w:t xml:space="preserve">Essential Universal MCH Services </w:t>
            </w:r>
          </w:p>
          <w:p w14:paraId="510584E6" w14:textId="77777777" w:rsidR="00026C89" w:rsidRPr="006E4F85" w:rsidRDefault="00026C89" w:rsidP="000A3010">
            <w:pPr>
              <w:pStyle w:val="Tablebullet1"/>
              <w:rPr>
                <w:rFonts w:eastAsia="Times"/>
                <w:szCs w:val="21"/>
              </w:rPr>
            </w:pPr>
            <w:r w:rsidRPr="006E4F85">
              <w:rPr>
                <w:rFonts w:eastAsia="Times"/>
                <w:szCs w:val="21"/>
              </w:rPr>
              <w:t>Standard length face-to-face (F2F) appointments for all infants and children.</w:t>
            </w:r>
          </w:p>
          <w:p w14:paraId="2C630DA4" w14:textId="77777777" w:rsidR="00026C89" w:rsidRPr="006E4F85" w:rsidRDefault="00026C89" w:rsidP="000A3010">
            <w:pPr>
              <w:pStyle w:val="Tablebullet1"/>
              <w:rPr>
                <w:rFonts w:eastAsia="Times"/>
                <w:szCs w:val="21"/>
              </w:rPr>
            </w:pPr>
            <w:r w:rsidRPr="006E4F85">
              <w:rPr>
                <w:rFonts w:eastAsia="Times"/>
                <w:szCs w:val="21"/>
              </w:rPr>
              <w:t>All F2F consultations/appointments conducted in alignment with your updated COVIDSafe Plan</w:t>
            </w:r>
          </w:p>
          <w:p w14:paraId="6F0F212B" w14:textId="3F0ED470" w:rsidR="00026C89" w:rsidRPr="006E4F85" w:rsidRDefault="00026C89" w:rsidP="000A3010">
            <w:pPr>
              <w:pStyle w:val="Tablebullet1"/>
              <w:rPr>
                <w:szCs w:val="21"/>
              </w:rPr>
            </w:pPr>
            <w:r w:rsidRPr="006E4F85">
              <w:rPr>
                <w:rFonts w:eastAsia="Times"/>
                <w:szCs w:val="21"/>
              </w:rPr>
              <w:t xml:space="preserve">For families where a household member is positive for COVID-19, has COVID-like symptoms or they are </w:t>
            </w:r>
            <w:r w:rsidRPr="006E4F85">
              <w:rPr>
                <w:rFonts w:cs="Arial"/>
                <w:szCs w:val="21"/>
              </w:rPr>
              <w:t>a contact</w:t>
            </w:r>
            <w:r w:rsidRPr="006E4F85">
              <w:rPr>
                <w:rFonts w:eastAsia="Times"/>
                <w:szCs w:val="21"/>
              </w:rPr>
              <w:t xml:space="preserve">, </w:t>
            </w:r>
            <w:r w:rsidR="006E4F85" w:rsidRPr="005C53F6">
              <w:rPr>
                <w:rFonts w:eastAsia="Times"/>
                <w:b/>
                <w:bCs/>
                <w:szCs w:val="21"/>
              </w:rPr>
              <w:t>it is recommended</w:t>
            </w:r>
            <w:r w:rsidR="006E4F85">
              <w:rPr>
                <w:rFonts w:eastAsia="Times"/>
                <w:szCs w:val="21"/>
              </w:rPr>
              <w:t xml:space="preserve"> to </w:t>
            </w:r>
            <w:r w:rsidRPr="006E4F85">
              <w:rPr>
                <w:rFonts w:eastAsia="Times"/>
                <w:szCs w:val="21"/>
              </w:rPr>
              <w:t xml:space="preserve">utilise tele and web-based modalities to deliver services in the first instance. </w:t>
            </w:r>
          </w:p>
          <w:p w14:paraId="51AAC18A" w14:textId="295E3AB2" w:rsidR="00026C89" w:rsidRPr="006E4F85" w:rsidRDefault="00026C89" w:rsidP="00114440">
            <w:pPr>
              <w:pStyle w:val="Tablebullet2"/>
            </w:pPr>
            <w:r w:rsidRPr="006E4F85">
              <w:rPr>
                <w:rFonts w:eastAsia="Times"/>
              </w:rPr>
              <w:t>For a household with confirmed COVID-19</w:t>
            </w:r>
            <w:r w:rsidR="005C53F6" w:rsidRPr="006E4F85">
              <w:t xml:space="preserve"> or as a contact</w:t>
            </w:r>
            <w:r w:rsidRPr="006E4F85">
              <w:rPr>
                <w:rFonts w:eastAsia="Times"/>
              </w:rPr>
              <w:t xml:space="preserve">, it may be necessary to undertake a short home visit consultation to attend to physical assessment, weight checks and feeding support that cannot be delayed for up to 7 days. This would include infants 0-8 weeks or where there is concern following a tele or web-based consultation. </w:t>
            </w:r>
          </w:p>
          <w:p w14:paraId="6A08B788" w14:textId="47A7D208" w:rsidR="00026C89" w:rsidRPr="006E4F85" w:rsidRDefault="00026C89" w:rsidP="006E4F85">
            <w:pPr>
              <w:pStyle w:val="Tablebullet2"/>
            </w:pPr>
            <w:r w:rsidRPr="006E4F85">
              <w:t xml:space="preserve">If a home visit is required to a household with confirmed COVID-19 or as a contact </w:t>
            </w:r>
            <w:r w:rsidR="00357E83" w:rsidRPr="005C53F6">
              <w:rPr>
                <w:rFonts w:eastAsia="Times"/>
                <w:b/>
                <w:bCs/>
                <w:szCs w:val="21"/>
              </w:rPr>
              <w:t>it is recommended</w:t>
            </w:r>
            <w:r w:rsidRPr="006E4F85">
              <w:t xml:space="preserve"> PPE is used, see the latest advice at: </w:t>
            </w:r>
            <w:hyperlink r:id="rId23" w:history="1">
              <w:r w:rsidRPr="006E4F85">
                <w:rPr>
                  <w:rStyle w:val="Hyperlink"/>
                  <w:rFonts w:eastAsia="MS Gothic"/>
                  <w:szCs w:val="21"/>
                </w:rPr>
                <w:t>Guidance for the conventional use of PPE in primary care and community settings | health.vic.gov.au</w:t>
              </w:r>
            </w:hyperlink>
          </w:p>
          <w:p w14:paraId="5C08B2E5" w14:textId="1888EC99" w:rsidR="00026C89" w:rsidRPr="006E4F85" w:rsidRDefault="00026C89" w:rsidP="00026C89">
            <w:pPr>
              <w:pStyle w:val="Tablebullet1"/>
              <w:rPr>
                <w:szCs w:val="21"/>
              </w:rPr>
            </w:pPr>
            <w:r w:rsidRPr="006E4F85">
              <w:rPr>
                <w:szCs w:val="21"/>
              </w:rPr>
              <w:t>For any confirmed cases of COVID-19 liaise closely with local public health unit for information on COVID-19 pathway program.</w:t>
            </w:r>
          </w:p>
        </w:tc>
        <w:tc>
          <w:tcPr>
            <w:tcW w:w="3827" w:type="dxa"/>
            <w:vMerge w:val="restart"/>
          </w:tcPr>
          <w:p w14:paraId="0E7DFCF5" w14:textId="77777777" w:rsidR="006E4F85" w:rsidRDefault="006E4F85" w:rsidP="006E4F85">
            <w:pPr>
              <w:pStyle w:val="Tablebullet1"/>
              <w:numPr>
                <w:ilvl w:val="0"/>
                <w:numId w:val="0"/>
              </w:numPr>
              <w:ind w:left="31" w:hanging="31"/>
              <w:rPr>
                <w:i/>
                <w:iCs/>
                <w:szCs w:val="21"/>
              </w:rPr>
            </w:pPr>
          </w:p>
          <w:p w14:paraId="4FFD77CB" w14:textId="0FAD82C2" w:rsidR="006E4F85" w:rsidRPr="006E4F85" w:rsidRDefault="006E4F85" w:rsidP="006E4F85">
            <w:pPr>
              <w:pStyle w:val="Tablebullet1"/>
              <w:numPr>
                <w:ilvl w:val="0"/>
                <w:numId w:val="0"/>
              </w:numPr>
              <w:ind w:left="31" w:hanging="31"/>
              <w:rPr>
                <w:i/>
                <w:iCs/>
                <w:szCs w:val="21"/>
              </w:rPr>
            </w:pPr>
            <w:r w:rsidRPr="006E4F85">
              <w:rPr>
                <w:i/>
                <w:iCs/>
                <w:szCs w:val="21"/>
              </w:rPr>
              <w:t>Key public health advice on COVID-19 (post-Pandemic Declaration</w:t>
            </w:r>
            <w:r>
              <w:rPr>
                <w:i/>
                <w:iCs/>
                <w:szCs w:val="21"/>
              </w:rPr>
              <w:t>) 12 October 2022</w:t>
            </w:r>
          </w:p>
          <w:p w14:paraId="36B96985" w14:textId="4DEA8968" w:rsidR="00026C89" w:rsidRDefault="00026C89" w:rsidP="006E4F85">
            <w:pPr>
              <w:pStyle w:val="Tablebullet1"/>
              <w:numPr>
                <w:ilvl w:val="0"/>
                <w:numId w:val="0"/>
              </w:numPr>
              <w:ind w:left="227" w:hanging="227"/>
              <w:rPr>
                <w:szCs w:val="21"/>
              </w:rPr>
            </w:pPr>
          </w:p>
          <w:p w14:paraId="39A6294F" w14:textId="4C9E24B4" w:rsidR="005C53F6" w:rsidRDefault="000F18B3" w:rsidP="005C53F6">
            <w:pPr>
              <w:pStyle w:val="Tablebullet1"/>
              <w:numPr>
                <w:ilvl w:val="0"/>
                <w:numId w:val="0"/>
              </w:numPr>
              <w:ind w:left="31" w:hanging="31"/>
              <w:rPr>
                <w:rStyle w:val="Hyperlink"/>
              </w:rPr>
            </w:pPr>
            <w:hyperlink r:id="rId24" w:history="1">
              <w:r w:rsidR="005C53F6" w:rsidRPr="00ED19BD">
                <w:rPr>
                  <w:rStyle w:val="Hyperlink"/>
                </w:rPr>
                <w:t>COVID-19 co</w:t>
              </w:r>
              <w:r w:rsidR="005C53F6" w:rsidRPr="00ED19BD">
                <w:rPr>
                  <w:rStyle w:val="Hyperlink"/>
                </w:rPr>
                <w:t>n</w:t>
              </w:r>
              <w:r w:rsidR="005C53F6" w:rsidRPr="00ED19BD">
                <w:rPr>
                  <w:rStyle w:val="Hyperlink"/>
                </w:rPr>
                <w:t>ventional use of personal protective equipment (PPE)</w:t>
              </w:r>
            </w:hyperlink>
          </w:p>
          <w:p w14:paraId="69F2EC06" w14:textId="77777777" w:rsidR="005C53F6" w:rsidRDefault="005C53F6" w:rsidP="005C53F6">
            <w:pPr>
              <w:pStyle w:val="Tablebullet1"/>
              <w:numPr>
                <w:ilvl w:val="0"/>
                <w:numId w:val="0"/>
              </w:numPr>
              <w:ind w:left="31" w:hanging="31"/>
              <w:rPr>
                <w:szCs w:val="21"/>
              </w:rPr>
            </w:pPr>
          </w:p>
          <w:p w14:paraId="0211E8BD" w14:textId="77777777" w:rsidR="00114440" w:rsidRPr="006E4F85" w:rsidRDefault="000F18B3" w:rsidP="005C53F6">
            <w:pPr>
              <w:pStyle w:val="Tablebullet2"/>
              <w:numPr>
                <w:ilvl w:val="0"/>
                <w:numId w:val="0"/>
              </w:numPr>
              <w:ind w:left="31"/>
            </w:pPr>
            <w:hyperlink r:id="rId25" w:history="1">
              <w:r w:rsidR="00114440" w:rsidRPr="006E4F85">
                <w:rPr>
                  <w:rStyle w:val="Hyperlink"/>
                  <w:rFonts w:eastAsia="MS Gothic"/>
                  <w:szCs w:val="21"/>
                </w:rPr>
                <w:t>Guidance for the conventional use of PPE in primary care and community settings | health.vic.gov.au</w:t>
              </w:r>
            </w:hyperlink>
          </w:p>
          <w:p w14:paraId="7976F290" w14:textId="044DC634" w:rsidR="00114440" w:rsidRPr="006E4F85" w:rsidRDefault="00114440" w:rsidP="006E4F85">
            <w:pPr>
              <w:pStyle w:val="Tablebullet1"/>
              <w:numPr>
                <w:ilvl w:val="0"/>
                <w:numId w:val="0"/>
              </w:numPr>
              <w:ind w:left="227" w:hanging="227"/>
              <w:rPr>
                <w:szCs w:val="21"/>
              </w:rPr>
            </w:pPr>
          </w:p>
        </w:tc>
      </w:tr>
      <w:tr w:rsidR="00026C89" w14:paraId="1CCCAF68" w14:textId="77777777" w:rsidTr="006E4F85">
        <w:tc>
          <w:tcPr>
            <w:tcW w:w="2405" w:type="dxa"/>
            <w:vMerge/>
          </w:tcPr>
          <w:p w14:paraId="7BF670D1" w14:textId="77777777" w:rsidR="00026C89" w:rsidRPr="00587309" w:rsidRDefault="00026C89" w:rsidP="00587309">
            <w:pPr>
              <w:pStyle w:val="Body"/>
              <w:rPr>
                <w:rFonts w:cs="Arial"/>
                <w:b/>
                <w:bCs/>
                <w:sz w:val="18"/>
                <w:szCs w:val="18"/>
              </w:rPr>
            </w:pPr>
          </w:p>
        </w:tc>
        <w:tc>
          <w:tcPr>
            <w:tcW w:w="2977" w:type="dxa"/>
          </w:tcPr>
          <w:p w14:paraId="3852F0D2" w14:textId="3AB30D75" w:rsidR="00026C89" w:rsidRPr="006E4F85" w:rsidRDefault="00026C89" w:rsidP="00587309">
            <w:pPr>
              <w:pStyle w:val="Body"/>
              <w:rPr>
                <w:rFonts w:cs="Arial"/>
                <w:b/>
                <w:bCs/>
                <w:szCs w:val="21"/>
              </w:rPr>
            </w:pPr>
            <w:r w:rsidRPr="006E4F85">
              <w:rPr>
                <w:rFonts w:cs="Arial"/>
                <w:b/>
                <w:bCs/>
                <w:szCs w:val="21"/>
              </w:rPr>
              <w:t>Groups including new parent groups</w:t>
            </w:r>
          </w:p>
        </w:tc>
        <w:tc>
          <w:tcPr>
            <w:tcW w:w="5812" w:type="dxa"/>
          </w:tcPr>
          <w:p w14:paraId="3BA566A1" w14:textId="77777777" w:rsidR="00026C89" w:rsidRPr="006E4F85" w:rsidRDefault="00026C89" w:rsidP="00587309">
            <w:pPr>
              <w:pStyle w:val="Body"/>
              <w:rPr>
                <w:rStyle w:val="A4"/>
                <w:rFonts w:eastAsia="MS Gothic"/>
                <w:sz w:val="21"/>
                <w:szCs w:val="21"/>
                <w:u w:val="none"/>
              </w:rPr>
            </w:pPr>
            <w:r w:rsidRPr="006E4F85">
              <w:rPr>
                <w:rStyle w:val="A4"/>
                <w:rFonts w:eastAsia="MS Gothic"/>
                <w:b/>
                <w:bCs/>
                <w:sz w:val="21"/>
                <w:szCs w:val="21"/>
                <w:u w:val="none"/>
              </w:rPr>
              <w:t>F2F groups</w:t>
            </w:r>
            <w:r w:rsidRPr="006E4F85">
              <w:rPr>
                <w:rStyle w:val="A4"/>
                <w:rFonts w:eastAsia="MS Gothic"/>
                <w:sz w:val="21"/>
                <w:szCs w:val="21"/>
                <w:u w:val="none"/>
              </w:rPr>
              <w:t xml:space="preserve">. No density quotient. </w:t>
            </w:r>
          </w:p>
          <w:p w14:paraId="60ED7B88" w14:textId="69D56C37" w:rsidR="00026C89" w:rsidRPr="006E4F85" w:rsidRDefault="00026C89" w:rsidP="00587309">
            <w:pPr>
              <w:pStyle w:val="Body"/>
              <w:rPr>
                <w:rFonts w:cs="Arial"/>
                <w:b/>
                <w:bCs/>
                <w:szCs w:val="21"/>
              </w:rPr>
            </w:pPr>
            <w:r w:rsidRPr="006E4F85">
              <w:rPr>
                <w:rStyle w:val="A4"/>
                <w:rFonts w:eastAsia="MS Gothic"/>
                <w:sz w:val="21"/>
                <w:szCs w:val="21"/>
                <w:u w:val="none"/>
              </w:rPr>
              <w:t>Services can continue to offer online support groups.</w:t>
            </w:r>
          </w:p>
        </w:tc>
        <w:tc>
          <w:tcPr>
            <w:tcW w:w="3827" w:type="dxa"/>
            <w:vMerge/>
          </w:tcPr>
          <w:p w14:paraId="11A9090B" w14:textId="77777777" w:rsidR="00026C89" w:rsidRPr="00587309" w:rsidRDefault="00026C89" w:rsidP="00587309">
            <w:pPr>
              <w:pStyle w:val="Tablebullet1"/>
              <w:numPr>
                <w:ilvl w:val="0"/>
                <w:numId w:val="0"/>
              </w:numPr>
              <w:ind w:left="227" w:hanging="227"/>
              <w:rPr>
                <w:sz w:val="18"/>
                <w:szCs w:val="18"/>
              </w:rPr>
            </w:pPr>
          </w:p>
        </w:tc>
      </w:tr>
      <w:tr w:rsidR="00026C89" w14:paraId="4938EBA1" w14:textId="77777777" w:rsidTr="006E4F85">
        <w:tc>
          <w:tcPr>
            <w:tcW w:w="2405" w:type="dxa"/>
            <w:vMerge/>
          </w:tcPr>
          <w:p w14:paraId="12F9E1B8" w14:textId="77777777" w:rsidR="00026C89" w:rsidRPr="00587309" w:rsidRDefault="00026C89" w:rsidP="00587309">
            <w:pPr>
              <w:pStyle w:val="Body"/>
              <w:rPr>
                <w:rFonts w:cs="Arial"/>
                <w:b/>
                <w:bCs/>
                <w:sz w:val="18"/>
                <w:szCs w:val="18"/>
              </w:rPr>
            </w:pPr>
          </w:p>
        </w:tc>
        <w:tc>
          <w:tcPr>
            <w:tcW w:w="2977" w:type="dxa"/>
          </w:tcPr>
          <w:p w14:paraId="17550EF0" w14:textId="394F915B" w:rsidR="00026C89" w:rsidRPr="006E4F85" w:rsidRDefault="00026C89" w:rsidP="00587309">
            <w:pPr>
              <w:pStyle w:val="Body"/>
              <w:rPr>
                <w:rFonts w:cs="Arial"/>
                <w:b/>
                <w:bCs/>
                <w:szCs w:val="21"/>
              </w:rPr>
            </w:pPr>
            <w:r w:rsidRPr="006E4F85">
              <w:rPr>
                <w:rFonts w:cs="Arial"/>
                <w:b/>
                <w:bCs/>
                <w:szCs w:val="21"/>
              </w:rPr>
              <w:t>Enhanced MCH</w:t>
            </w:r>
          </w:p>
        </w:tc>
        <w:tc>
          <w:tcPr>
            <w:tcW w:w="5812" w:type="dxa"/>
          </w:tcPr>
          <w:p w14:paraId="3C88106C" w14:textId="77777777" w:rsidR="00026C89" w:rsidRPr="006E4F85" w:rsidRDefault="00026C89" w:rsidP="00587309">
            <w:pPr>
              <w:pStyle w:val="Body"/>
              <w:rPr>
                <w:rFonts w:cs="Arial"/>
                <w:szCs w:val="21"/>
              </w:rPr>
            </w:pPr>
            <w:r w:rsidRPr="006E4F85">
              <w:rPr>
                <w:rFonts w:cs="Arial"/>
                <w:b/>
                <w:bCs/>
                <w:szCs w:val="21"/>
              </w:rPr>
              <w:t xml:space="preserve">Essential Enhanced MCH Services </w:t>
            </w:r>
          </w:p>
          <w:p w14:paraId="352ABE6B" w14:textId="4AEADA32" w:rsidR="00026C89" w:rsidRPr="006E4F85" w:rsidRDefault="00026C89" w:rsidP="00587309">
            <w:pPr>
              <w:pStyle w:val="Tablebullet1"/>
              <w:numPr>
                <w:ilvl w:val="0"/>
                <w:numId w:val="0"/>
              </w:numPr>
              <w:rPr>
                <w:rFonts w:eastAsia="Times" w:cs="Arial"/>
                <w:b/>
                <w:bCs/>
                <w:szCs w:val="21"/>
              </w:rPr>
            </w:pPr>
            <w:r w:rsidRPr="006E4F85">
              <w:rPr>
                <w:rFonts w:eastAsia="Times" w:cs="Arial"/>
                <w:szCs w:val="21"/>
              </w:rPr>
              <w:t>As per Universal MCH guidance</w:t>
            </w:r>
          </w:p>
        </w:tc>
        <w:tc>
          <w:tcPr>
            <w:tcW w:w="3827" w:type="dxa"/>
            <w:vMerge/>
          </w:tcPr>
          <w:p w14:paraId="43D7CF4F" w14:textId="77777777" w:rsidR="00026C89" w:rsidRPr="00587309" w:rsidRDefault="00026C89" w:rsidP="00587309">
            <w:pPr>
              <w:pStyle w:val="Tablebullet1"/>
              <w:numPr>
                <w:ilvl w:val="0"/>
                <w:numId w:val="0"/>
              </w:numPr>
              <w:ind w:left="227" w:hanging="227"/>
              <w:rPr>
                <w:sz w:val="18"/>
                <w:szCs w:val="18"/>
              </w:rPr>
            </w:pPr>
          </w:p>
        </w:tc>
      </w:tr>
      <w:tr w:rsidR="00026C89" w14:paraId="7F27A279" w14:textId="77777777" w:rsidTr="006E4F85">
        <w:tc>
          <w:tcPr>
            <w:tcW w:w="2405" w:type="dxa"/>
          </w:tcPr>
          <w:p w14:paraId="2B102DA9" w14:textId="77777777" w:rsidR="00026C89" w:rsidRPr="00587309" w:rsidRDefault="00026C89" w:rsidP="00587309">
            <w:pPr>
              <w:pStyle w:val="Body"/>
              <w:rPr>
                <w:rFonts w:cs="Arial"/>
                <w:b/>
                <w:bCs/>
                <w:sz w:val="18"/>
                <w:szCs w:val="18"/>
              </w:rPr>
            </w:pPr>
          </w:p>
        </w:tc>
        <w:tc>
          <w:tcPr>
            <w:tcW w:w="2977" w:type="dxa"/>
          </w:tcPr>
          <w:p w14:paraId="26B47168" w14:textId="2AA27608" w:rsidR="00026C89" w:rsidRPr="006E4F85" w:rsidRDefault="00026C89" w:rsidP="00587309">
            <w:pPr>
              <w:pStyle w:val="Body"/>
              <w:rPr>
                <w:rFonts w:cs="Arial"/>
                <w:b/>
                <w:bCs/>
                <w:szCs w:val="21"/>
              </w:rPr>
            </w:pPr>
            <w:r w:rsidRPr="006E4F85">
              <w:rPr>
                <w:rFonts w:cs="Arial"/>
                <w:b/>
                <w:bCs/>
                <w:szCs w:val="21"/>
              </w:rPr>
              <w:t>MCH line</w:t>
            </w:r>
          </w:p>
        </w:tc>
        <w:tc>
          <w:tcPr>
            <w:tcW w:w="5812" w:type="dxa"/>
          </w:tcPr>
          <w:p w14:paraId="736F616B" w14:textId="3596DD7C" w:rsidR="00026C89" w:rsidRPr="006E4F85" w:rsidRDefault="00026C89" w:rsidP="00587309">
            <w:pPr>
              <w:pStyle w:val="Tablebullet1"/>
              <w:numPr>
                <w:ilvl w:val="0"/>
                <w:numId w:val="0"/>
              </w:numPr>
              <w:rPr>
                <w:rFonts w:eastAsia="Times" w:cs="Arial"/>
                <w:b/>
                <w:bCs/>
                <w:szCs w:val="21"/>
              </w:rPr>
            </w:pPr>
            <w:r w:rsidRPr="006E4F85">
              <w:rPr>
                <w:rFonts w:eastAsia="Times" w:cs="Arial"/>
                <w:szCs w:val="21"/>
              </w:rPr>
              <w:t>No change in service delivery</w:t>
            </w:r>
          </w:p>
        </w:tc>
        <w:tc>
          <w:tcPr>
            <w:tcW w:w="3827" w:type="dxa"/>
            <w:vMerge/>
          </w:tcPr>
          <w:p w14:paraId="12F94062" w14:textId="77777777" w:rsidR="00026C89" w:rsidRPr="00587309" w:rsidRDefault="00026C89" w:rsidP="00587309">
            <w:pPr>
              <w:pStyle w:val="Tablebullet1"/>
              <w:numPr>
                <w:ilvl w:val="0"/>
                <w:numId w:val="0"/>
              </w:numPr>
              <w:ind w:left="227" w:hanging="227"/>
              <w:rPr>
                <w:sz w:val="18"/>
                <w:szCs w:val="18"/>
              </w:rPr>
            </w:pPr>
          </w:p>
        </w:tc>
      </w:tr>
    </w:tbl>
    <w:p w14:paraId="41965398" w14:textId="77777777" w:rsidR="00047219" w:rsidRPr="00047219" w:rsidRDefault="00047219" w:rsidP="00047219">
      <w:pPr>
        <w:pStyle w:val="Body"/>
      </w:pPr>
    </w:p>
    <w:p w14:paraId="4E097435" w14:textId="77777777" w:rsidR="00047219" w:rsidRDefault="00047219" w:rsidP="00047219">
      <w:pPr>
        <w:spacing w:after="0" w:line="240" w:lineRule="auto"/>
        <w:rPr>
          <w:rFonts w:eastAsia="Times"/>
          <w:sz w:val="16"/>
          <w:szCs w:val="16"/>
        </w:rPr>
      </w:pPr>
    </w:p>
    <w:p w14:paraId="5BBC074B" w14:textId="77777777" w:rsidR="00047219" w:rsidRDefault="00047219" w:rsidP="00047219">
      <w:pPr>
        <w:spacing w:after="0" w:line="240" w:lineRule="auto"/>
        <w:rPr>
          <w:rFonts w:eastAsia="Times"/>
          <w:sz w:val="16"/>
          <w:szCs w:val="16"/>
        </w:rPr>
      </w:pPr>
    </w:p>
    <w:p w14:paraId="5770B39E" w14:textId="77777777" w:rsidR="00047219" w:rsidRPr="00463699" w:rsidRDefault="00047219" w:rsidP="00047219">
      <w:pPr>
        <w:spacing w:after="0" w:line="240" w:lineRule="auto"/>
        <w:rPr>
          <w:rFonts w:eastAsia="Times"/>
          <w:sz w:val="16"/>
          <w:szCs w:val="16"/>
        </w:rPr>
      </w:pPr>
    </w:p>
    <w:tbl>
      <w:tblPr>
        <w:tblStyle w:val="TableGrid"/>
        <w:tblW w:w="16019" w:type="dxa"/>
        <w:tblInd w:w="-431" w:type="dxa"/>
        <w:tblCellMar>
          <w:bottom w:w="108" w:type="dxa"/>
        </w:tblCellMar>
        <w:tblLook w:val="0600" w:firstRow="0" w:lastRow="0" w:firstColumn="0" w:lastColumn="0" w:noHBand="1" w:noVBand="1"/>
      </w:tblPr>
      <w:tblGrid>
        <w:gridCol w:w="16019"/>
      </w:tblGrid>
      <w:tr w:rsidR="00047219" w14:paraId="7586534A" w14:textId="77777777" w:rsidTr="0083503D">
        <w:tc>
          <w:tcPr>
            <w:tcW w:w="16019" w:type="dxa"/>
          </w:tcPr>
          <w:p w14:paraId="19A79968" w14:textId="77777777" w:rsidR="00047219" w:rsidRPr="00A20342" w:rsidRDefault="00047219" w:rsidP="0083503D">
            <w:pPr>
              <w:pStyle w:val="Accessibilitypara"/>
              <w:spacing w:before="120" w:after="0"/>
              <w:rPr>
                <w:sz w:val="22"/>
                <w:szCs w:val="22"/>
              </w:rPr>
            </w:pPr>
            <w:r>
              <w:br w:type="page"/>
            </w:r>
            <w:r w:rsidRPr="00A20342">
              <w:rPr>
                <w:sz w:val="22"/>
                <w:szCs w:val="22"/>
              </w:rPr>
              <w:t>To receive this presentation in another format phone 1300 650 172, using the National Relay Service 13 36 77 if required, or email Maternal and Child Health and Parenting &lt;mch@health.vic.gov.au&gt;.</w:t>
            </w:r>
          </w:p>
          <w:p w14:paraId="4DB4D890" w14:textId="77777777" w:rsidR="00047219" w:rsidRPr="00A20342" w:rsidRDefault="00047219" w:rsidP="0083503D">
            <w:pPr>
              <w:pStyle w:val="Accessibilitypara"/>
              <w:spacing w:before="120" w:after="0"/>
              <w:rPr>
                <w:sz w:val="22"/>
                <w:szCs w:val="22"/>
              </w:rPr>
            </w:pPr>
            <w:r w:rsidRPr="00A20342">
              <w:rPr>
                <w:sz w:val="22"/>
                <w:szCs w:val="22"/>
              </w:rPr>
              <w:t>Authorised and published by the Victorian Government, 1 Treasury Place, Melbourne.</w:t>
            </w:r>
          </w:p>
          <w:p w14:paraId="2DE4E57B" w14:textId="59D6FFC1" w:rsidR="00047219" w:rsidRPr="00A20342" w:rsidRDefault="00047219" w:rsidP="0083503D">
            <w:pPr>
              <w:pStyle w:val="Accessibilitypara"/>
              <w:spacing w:before="120" w:after="0"/>
              <w:rPr>
                <w:sz w:val="22"/>
                <w:szCs w:val="22"/>
              </w:rPr>
            </w:pPr>
            <w:r w:rsidRPr="00A20342">
              <w:rPr>
                <w:sz w:val="22"/>
                <w:szCs w:val="22"/>
              </w:rPr>
              <w:t xml:space="preserve">© State of Victoria, Australia, Department of Health, </w:t>
            </w:r>
            <w:r>
              <w:rPr>
                <w:sz w:val="22"/>
                <w:szCs w:val="22"/>
                <w:highlight w:val="yellow"/>
              </w:rPr>
              <w:t xml:space="preserve">12 </w:t>
            </w:r>
            <w:r w:rsidR="00114440">
              <w:rPr>
                <w:sz w:val="22"/>
                <w:szCs w:val="22"/>
                <w:highlight w:val="yellow"/>
              </w:rPr>
              <w:t>October</w:t>
            </w:r>
            <w:r>
              <w:rPr>
                <w:sz w:val="22"/>
                <w:szCs w:val="22"/>
                <w:highlight w:val="yellow"/>
              </w:rPr>
              <w:t xml:space="preserve"> </w:t>
            </w:r>
            <w:r w:rsidRPr="00D52E7F">
              <w:rPr>
                <w:sz w:val="22"/>
                <w:szCs w:val="22"/>
                <w:highlight w:val="yellow"/>
              </w:rPr>
              <w:t>2022.</w:t>
            </w:r>
          </w:p>
          <w:p w14:paraId="41445901" w14:textId="77777777" w:rsidR="00047219" w:rsidRPr="00A20342" w:rsidRDefault="00047219" w:rsidP="0083503D">
            <w:pPr>
              <w:pStyle w:val="Accessibilitypara"/>
              <w:spacing w:before="120" w:after="0"/>
              <w:rPr>
                <w:sz w:val="22"/>
                <w:szCs w:val="22"/>
              </w:rPr>
            </w:pPr>
            <w:r w:rsidRPr="00A20342">
              <w:rPr>
                <w:sz w:val="22"/>
                <w:szCs w:val="22"/>
              </w:rPr>
              <w:t>Except where otherwise indicated, the images in this presentation show models and illustrative settings only, and do not necessarily depict actual services, facilities or recipients of services. This presentation may contain images of deceased Aboriginal and Torres Strait Islander peoples.</w:t>
            </w:r>
          </w:p>
          <w:p w14:paraId="7617537A" w14:textId="77777777" w:rsidR="00047219" w:rsidRPr="00A20342" w:rsidRDefault="00047219" w:rsidP="0083503D">
            <w:pPr>
              <w:pStyle w:val="Accessibilitypara"/>
              <w:spacing w:before="120" w:after="0"/>
              <w:rPr>
                <w:sz w:val="22"/>
                <w:szCs w:val="22"/>
              </w:rPr>
            </w:pPr>
            <w:r w:rsidRPr="00A20342">
              <w:rPr>
                <w:sz w:val="22"/>
                <w:szCs w:val="22"/>
              </w:rPr>
              <w:t>In this presentation, ‘Aboriginal’ refers to both Aboriginal and Torres Strait Islander people. ‘Indigenous’ or ‘Koori/Koorie’ is retained when part of the title of a report, program or quotation.</w:t>
            </w:r>
          </w:p>
          <w:p w14:paraId="77EA6089" w14:textId="77777777" w:rsidR="00047219" w:rsidRDefault="00047219" w:rsidP="0083503D">
            <w:pPr>
              <w:pStyle w:val="Accessibilitypara"/>
              <w:spacing w:before="120" w:after="0"/>
            </w:pPr>
            <w:r w:rsidRPr="00A20342">
              <w:rPr>
                <w:sz w:val="22"/>
                <w:szCs w:val="22"/>
              </w:rPr>
              <w:t>Available at health.vic - Maternal and Child Health Service &lt;</w:t>
            </w:r>
            <w:hyperlink r:id="rId26" w:history="1">
              <w:r w:rsidRPr="00A20342">
                <w:rPr>
                  <w:rStyle w:val="Hyperlink"/>
                  <w:sz w:val="22"/>
                  <w:szCs w:val="22"/>
                </w:rPr>
                <w:t>https://www2.health.vic.gov.au/primary-and-community-health/maternal-child-health</w:t>
              </w:r>
            </w:hyperlink>
            <w:r w:rsidRPr="00F30281">
              <w:t>&gt;</w:t>
            </w:r>
          </w:p>
        </w:tc>
      </w:tr>
      <w:bookmarkEnd w:id="2"/>
    </w:tbl>
    <w:p w14:paraId="3D3630E6" w14:textId="77777777" w:rsidR="00047219" w:rsidRDefault="00047219" w:rsidP="00047219">
      <w:pPr>
        <w:pStyle w:val="Body"/>
      </w:pPr>
    </w:p>
    <w:sectPr w:rsidR="00047219" w:rsidSect="00C3696F">
      <w:headerReference w:type="even" r:id="rId27"/>
      <w:headerReference w:type="default" r:id="rId28"/>
      <w:footerReference w:type="default" r:id="rId29"/>
      <w:headerReference w:type="first" r:id="rId3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6A47" w14:textId="77777777" w:rsidR="000F18B3" w:rsidRDefault="000F18B3">
      <w:r>
        <w:separator/>
      </w:r>
    </w:p>
    <w:p w14:paraId="0777F6DF" w14:textId="77777777" w:rsidR="000F18B3" w:rsidRDefault="000F18B3"/>
  </w:endnote>
  <w:endnote w:type="continuationSeparator" w:id="0">
    <w:p w14:paraId="487677DD" w14:textId="77777777" w:rsidR="000F18B3" w:rsidRDefault="000F18B3">
      <w:r>
        <w:continuationSeparator/>
      </w:r>
    </w:p>
    <w:p w14:paraId="03E1220B" w14:textId="77777777" w:rsidR="000F18B3" w:rsidRDefault="000F1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5EA2" w14:textId="77777777" w:rsidR="00066F6F" w:rsidRDefault="0006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EA5A" w14:textId="77777777"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5AC3A373" wp14:editId="1E62650C">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76160" behindDoc="0" locked="0" layoutInCell="0" allowOverlap="1" wp14:anchorId="3FCB30E9" wp14:editId="71203348">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394DFE"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CB30E9"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12394DFE"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9C44" w14:textId="77777777" w:rsidR="00E261B3" w:rsidRDefault="00925DD5">
    <w:pPr>
      <w:pStyle w:val="Footer"/>
    </w:pPr>
    <w:r>
      <w:rPr>
        <w:noProof/>
      </w:rPr>
      <mc:AlternateContent>
        <mc:Choice Requires="wps">
          <w:drawing>
            <wp:anchor distT="0" distB="0" distL="114300" distR="114300" simplePos="0" relativeHeight="251677184" behindDoc="0" locked="0" layoutInCell="0" allowOverlap="1" wp14:anchorId="7B5C4CC9" wp14:editId="1EFAB023">
              <wp:simplePos x="0" y="0"/>
              <wp:positionH relativeFrom="page">
                <wp:posOffset>0</wp:posOffset>
              </wp:positionH>
              <wp:positionV relativeFrom="page">
                <wp:posOffset>7057866</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CCE79F"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5C4CC9"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5pt;width:841.9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R5u6TeAAAACwEAAA8AAABkcnMvZG93bnJldi54bWxMj81OwzAQhO9IvIO1SNyo&#10;QylRG+JUFYgLEkIU1LMTb36aeB3Fbpu8fTcn2NvOrGa/Sbej7cQZB984UvC4iEAgFc40VCn4/Xl/&#10;WIPwQZPRnSNUMKGHbXZ7k+rEuAt943kfKsEh5BOtoA6hT6T0RY1W+4Xrkdgr3WB14HWopBn0hcNt&#10;J5dRFEurG+IPte7xtcai3Z+sgtXXJi/lsbXHz+ljmpq2PLzlpVL3d+PuBUTAMfwdw4zP6JAxU+5O&#10;ZLzoFHCRwCrPM4jZj9dP3CWftTiKQWap/N8huwIAAP//AwBQSwECLQAUAAYACAAAACEAtoM4kv4A&#10;AADhAQAAEwAAAAAAAAAAAAAAAAAAAAAAW0NvbnRlbnRfVHlwZXNdLnhtbFBLAQItABQABgAIAAAA&#10;IQA4/SH/1gAAAJQBAAALAAAAAAAAAAAAAAAAAC8BAABfcmVscy8ucmVsc1BLAQItABQABgAIAAAA&#10;IQC4iA2KFgIAACwEAAAOAAAAAAAAAAAAAAAAAC4CAABkcnMvZTJvRG9jLnhtbFBLAQItABQABgAI&#10;AAAAIQDUebuk3gAAAAsBAAAPAAAAAAAAAAAAAAAAAHAEAABkcnMvZG93bnJldi54bWxQSwUGAAAA&#10;AAQABADzAAAAewUAAAAA&#10;" o:allowincell="f" filled="f" stroked="f" strokeweight=".5pt">
              <v:textbox inset=",0,,0">
                <w:txbxContent>
                  <w:p w14:paraId="17CCE79F"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5358"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1243DE99" wp14:editId="50BF49AE">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3346F2"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43DE99" id="_x0000_t202" coordsize="21600,21600" o:spt="202" path="m,l,21600r21600,l21600,xe">
              <v:stroke joinstyle="miter"/>
              <v:path gradientshapeok="t" o:connecttype="rect"/>
            </v:shapetype>
            <v:shape id="MSIPCMef4344f6806cbdb61841d0ce"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323346F2"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78FB" w14:textId="77777777" w:rsidR="000F18B3" w:rsidRDefault="000F18B3" w:rsidP="00207717">
      <w:pPr>
        <w:spacing w:before="120"/>
      </w:pPr>
      <w:r>
        <w:separator/>
      </w:r>
    </w:p>
  </w:footnote>
  <w:footnote w:type="continuationSeparator" w:id="0">
    <w:p w14:paraId="6F9D4C03" w14:textId="77777777" w:rsidR="000F18B3" w:rsidRDefault="000F18B3">
      <w:r>
        <w:continuationSeparator/>
      </w:r>
    </w:p>
    <w:p w14:paraId="007A0D93" w14:textId="77777777" w:rsidR="000F18B3" w:rsidRDefault="000F1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3371" w14:textId="77777777" w:rsidR="00066F6F" w:rsidRDefault="0006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98E5" w14:textId="0FB7B416"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50FD" w14:textId="77777777" w:rsidR="00066F6F" w:rsidRDefault="00066F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6944" w14:textId="1147F705" w:rsidR="00114440" w:rsidRDefault="001144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062" w14:textId="10DC43F3" w:rsidR="00E261B3" w:rsidRPr="0051568D" w:rsidRDefault="00114440" w:rsidP="0017674D">
    <w:pPr>
      <w:pStyle w:val="Header"/>
    </w:pPr>
    <w:r>
      <w:t xml:space="preserve">COVID-19 Maternal and Child Health </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EF4D" w14:textId="1584589B" w:rsidR="00114440" w:rsidRDefault="001144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3277" w14:textId="1F54CF2A" w:rsidR="00114440" w:rsidRDefault="001144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30E8" w14:textId="139C45D1" w:rsidR="00114440" w:rsidRDefault="001144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DE41" w14:textId="6D277F8A" w:rsidR="00114440" w:rsidRDefault="00114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B31375"/>
    <w:multiLevelType w:val="hybridMultilevel"/>
    <w:tmpl w:val="98A456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F0"/>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26C89"/>
    <w:rsid w:val="00033D81"/>
    <w:rsid w:val="00037366"/>
    <w:rsid w:val="00041BF0"/>
    <w:rsid w:val="00042C8A"/>
    <w:rsid w:val="0004536B"/>
    <w:rsid w:val="00046B68"/>
    <w:rsid w:val="00047219"/>
    <w:rsid w:val="000527DD"/>
    <w:rsid w:val="000578B2"/>
    <w:rsid w:val="00060959"/>
    <w:rsid w:val="00060C8F"/>
    <w:rsid w:val="0006298A"/>
    <w:rsid w:val="000663CD"/>
    <w:rsid w:val="00066F6F"/>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3010"/>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8B3"/>
    <w:rsid w:val="000F1F1E"/>
    <w:rsid w:val="000F2259"/>
    <w:rsid w:val="000F2DDA"/>
    <w:rsid w:val="000F2EA0"/>
    <w:rsid w:val="000F5213"/>
    <w:rsid w:val="00101001"/>
    <w:rsid w:val="00103276"/>
    <w:rsid w:val="0010392D"/>
    <w:rsid w:val="0010447F"/>
    <w:rsid w:val="00104FE3"/>
    <w:rsid w:val="0010714F"/>
    <w:rsid w:val="001120C5"/>
    <w:rsid w:val="00114440"/>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18F0"/>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0B56"/>
    <w:rsid w:val="002620BC"/>
    <w:rsid w:val="00262802"/>
    <w:rsid w:val="00263A90"/>
    <w:rsid w:val="0026408B"/>
    <w:rsid w:val="00264E11"/>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57E83"/>
    <w:rsid w:val="003716FD"/>
    <w:rsid w:val="0037204B"/>
    <w:rsid w:val="0037447A"/>
    <w:rsid w:val="003744CF"/>
    <w:rsid w:val="00374717"/>
    <w:rsid w:val="0037676C"/>
    <w:rsid w:val="00381043"/>
    <w:rsid w:val="003829E5"/>
    <w:rsid w:val="00386109"/>
    <w:rsid w:val="00386944"/>
    <w:rsid w:val="00391935"/>
    <w:rsid w:val="003956CC"/>
    <w:rsid w:val="00395C9A"/>
    <w:rsid w:val="003A04E1"/>
    <w:rsid w:val="003A0853"/>
    <w:rsid w:val="003A6B67"/>
    <w:rsid w:val="003B13B6"/>
    <w:rsid w:val="003B14C3"/>
    <w:rsid w:val="003B15E6"/>
    <w:rsid w:val="003B1BDC"/>
    <w:rsid w:val="003B408A"/>
    <w:rsid w:val="003C08A2"/>
    <w:rsid w:val="003C2045"/>
    <w:rsid w:val="003C378C"/>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1B53"/>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05F6"/>
    <w:rsid w:val="0055119B"/>
    <w:rsid w:val="00561202"/>
    <w:rsid w:val="00561ADF"/>
    <w:rsid w:val="00571772"/>
    <w:rsid w:val="00572031"/>
    <w:rsid w:val="00572282"/>
    <w:rsid w:val="00573CE3"/>
    <w:rsid w:val="00576E84"/>
    <w:rsid w:val="00580394"/>
    <w:rsid w:val="005809CD"/>
    <w:rsid w:val="00582B8C"/>
    <w:rsid w:val="00587309"/>
    <w:rsid w:val="0058757E"/>
    <w:rsid w:val="00596A4B"/>
    <w:rsid w:val="00597507"/>
    <w:rsid w:val="005A090D"/>
    <w:rsid w:val="005A479D"/>
    <w:rsid w:val="005B1C6D"/>
    <w:rsid w:val="005B21B6"/>
    <w:rsid w:val="005B3A08"/>
    <w:rsid w:val="005B7A63"/>
    <w:rsid w:val="005C0955"/>
    <w:rsid w:val="005C1E56"/>
    <w:rsid w:val="005C49DA"/>
    <w:rsid w:val="005C50F3"/>
    <w:rsid w:val="005C53F6"/>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E4F85"/>
    <w:rsid w:val="006F0330"/>
    <w:rsid w:val="006F1FDC"/>
    <w:rsid w:val="006F6B8C"/>
    <w:rsid w:val="007013EF"/>
    <w:rsid w:val="007055BD"/>
    <w:rsid w:val="00707816"/>
    <w:rsid w:val="00716F48"/>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6C7B"/>
    <w:rsid w:val="008474FE"/>
    <w:rsid w:val="0085232E"/>
    <w:rsid w:val="0085271D"/>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7AA3"/>
    <w:rsid w:val="00A8236D"/>
    <w:rsid w:val="00A82D66"/>
    <w:rsid w:val="00A854EB"/>
    <w:rsid w:val="00A872E5"/>
    <w:rsid w:val="00A91406"/>
    <w:rsid w:val="00A96E65"/>
    <w:rsid w:val="00A96ECE"/>
    <w:rsid w:val="00A9783E"/>
    <w:rsid w:val="00A97C72"/>
    <w:rsid w:val="00AA310B"/>
    <w:rsid w:val="00AA6054"/>
    <w:rsid w:val="00AA63D4"/>
    <w:rsid w:val="00AB06E8"/>
    <w:rsid w:val="00AB1CD3"/>
    <w:rsid w:val="00AB2736"/>
    <w:rsid w:val="00AB352F"/>
    <w:rsid w:val="00AB7E11"/>
    <w:rsid w:val="00AC274B"/>
    <w:rsid w:val="00AC4764"/>
    <w:rsid w:val="00AC6D36"/>
    <w:rsid w:val="00AC7D8A"/>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8069A"/>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523A2"/>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1203"/>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77419"/>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5D9C"/>
    <w:rsid w:val="00E0677A"/>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0D5"/>
    <w:rsid w:val="00E56A01"/>
    <w:rsid w:val="00E629A1"/>
    <w:rsid w:val="00E6794C"/>
    <w:rsid w:val="00E71591"/>
    <w:rsid w:val="00E71CEB"/>
    <w:rsid w:val="00E7474F"/>
    <w:rsid w:val="00E80DE3"/>
    <w:rsid w:val="00E82C55"/>
    <w:rsid w:val="00E8787E"/>
    <w:rsid w:val="00E87AB2"/>
    <w:rsid w:val="00E901F0"/>
    <w:rsid w:val="00E92AC3"/>
    <w:rsid w:val="00E95AD7"/>
    <w:rsid w:val="00EA0E60"/>
    <w:rsid w:val="00EA2F6A"/>
    <w:rsid w:val="00EB00E0"/>
    <w:rsid w:val="00EB05D5"/>
    <w:rsid w:val="00EB1931"/>
    <w:rsid w:val="00EC059F"/>
    <w:rsid w:val="00EC1F24"/>
    <w:rsid w:val="00EC20FF"/>
    <w:rsid w:val="00EC22F6"/>
    <w:rsid w:val="00EC5325"/>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DAA"/>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B1037E"/>
  <w15:docId w15:val="{0E3A011A-B4C3-AE42-A6D6-EC8E424E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character" w:customStyle="1" w:styleId="A4">
    <w:name w:val="A4"/>
    <w:uiPriority w:val="99"/>
    <w:rsid w:val="00047219"/>
    <w:rPr>
      <w:rFonts w:cs="VIC"/>
      <w:color w:val="000000"/>
      <w:sz w:val="18"/>
      <w:szCs w:val="18"/>
      <w:u w:val="single"/>
    </w:rPr>
  </w:style>
  <w:style w:type="character" w:customStyle="1" w:styleId="A2">
    <w:name w:val="A2"/>
    <w:uiPriority w:val="99"/>
    <w:rsid w:val="00047219"/>
    <w:rPr>
      <w:rFonts w:cs="VIC"/>
      <w:color w:val="000000"/>
      <w:sz w:val="18"/>
      <w:szCs w:val="18"/>
    </w:rPr>
  </w:style>
  <w:style w:type="paragraph" w:customStyle="1" w:styleId="DHHSbullet1">
    <w:name w:val="DHHS bullet 1"/>
    <w:basedOn w:val="Normal"/>
    <w:qFormat/>
    <w:rsid w:val="00047219"/>
    <w:pPr>
      <w:spacing w:after="40" w:line="270" w:lineRule="atLeast"/>
      <w:ind w:left="284" w:hanging="284"/>
    </w:pPr>
    <w:rPr>
      <w:rFonts w:eastAsia="Times"/>
      <w:sz w:val="20"/>
    </w:rPr>
  </w:style>
  <w:style w:type="paragraph" w:customStyle="1" w:styleId="xmsonormal">
    <w:name w:val="x_msonormal"/>
    <w:basedOn w:val="Normal"/>
    <w:rsid w:val="00026C89"/>
    <w:pPr>
      <w:spacing w:after="0" w:line="240" w:lineRule="auto"/>
    </w:pPr>
    <w:rPr>
      <w:rFonts w:ascii="Calibri" w:eastAsiaTheme="minorHAnsi" w:hAnsi="Calibri" w:cs="Calibri"/>
      <w:sz w:val="22"/>
      <w:szCs w:val="22"/>
      <w:lang w:eastAsia="en-AU"/>
    </w:rPr>
  </w:style>
  <w:style w:type="paragraph" w:customStyle="1" w:styleId="xmsolistparagraph">
    <w:name w:val="x_msolistparagraph"/>
    <w:basedOn w:val="Normal"/>
    <w:rsid w:val="00026C89"/>
    <w:pPr>
      <w:spacing w:before="100" w:beforeAutospacing="1" w:after="100" w:afterAutospacing="1" w:line="240" w:lineRule="auto"/>
    </w:pPr>
    <w:rPr>
      <w:rFonts w:ascii="Calibri" w:eastAsiaTheme="minorHAnsi" w:hAnsi="Calibri" w:cs="Calibri"/>
      <w:sz w:val="22"/>
      <w:szCs w:val="22"/>
      <w:lang w:eastAsia="en-AU"/>
    </w:rPr>
  </w:style>
  <w:style w:type="paragraph" w:styleId="NormalWeb">
    <w:name w:val="Normal (Web)"/>
    <w:basedOn w:val="Normal"/>
    <w:uiPriority w:val="99"/>
    <w:semiHidden/>
    <w:unhideWhenUsed/>
    <w:rsid w:val="00260B5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2412976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83091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962372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rimary-and-community-health/maternal-child-health" TargetMode="External"/><Relationship Id="rId3" Type="http://schemas.openxmlformats.org/officeDocument/2006/relationships/customXml" Target="../customXml/item3.xml"/><Relationship Id="rId21" Type="http://schemas.openxmlformats.org/officeDocument/2006/relationships/hyperlink" Target="https://www.coronaviru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personal-protective-equipment-ppe-community-service-providers-prevention-covid-19-doc"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hhs.vic.gov.au/infection-prevention-control-resources-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ersonal-protective-equipment-ppe-community-service-providers-prevention-covid-19-doc"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oronavirus.vic.gov.au/" TargetMode="External"/><Relationship Id="rId27" Type="http://schemas.openxmlformats.org/officeDocument/2006/relationships/header" Target="header7.xml"/><Relationship Id="rId30"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https://dhhsvicgovau.sharepoint.com/:w:/s/health/ERnqJinzQ7pItg3VxFfXbBQBDEb0uDn2QsnmGMS1O1XP7w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Factsheet Landscape</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EA18C5E-3EC5-41A9-ADF0-48E49470B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Pages>
  <Words>797</Words>
  <Characters>4548</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5335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Marcia Armstrong (DHHS)</cp:lastModifiedBy>
  <cp:revision>16</cp:revision>
  <cp:lastPrinted>2021-01-29T05:27:00Z</cp:lastPrinted>
  <dcterms:created xsi:type="dcterms:W3CDTF">2022-10-16T06:47:00Z</dcterms:created>
  <dcterms:modified xsi:type="dcterms:W3CDTF">2022-10-18T07:31:00Z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2400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https://dhhsvicgovau.sharepoint.com/:w:/s/health/ERnqJinzQ7pItg3VxFfXbBQBDEb0uDn2QsnmGMS1O1XP7w, https://dhhsvicgovau.sharepoint.com/:w:/s/health/ERnqJinzQ7pItg3VxFfXbBQBDEb0uDn2QsnmGMS1O1XP7w</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17;#Templates|74cf097d-f69e-47d4-ab23-b0e64f517102</vt:lpwstr>
  </property>
  <property fmtid="{D5CDD505-2E9C-101B-9397-08002B2CF9AE}" pid="17" name="MSIP_Label_43e64453-338c-4f93-8a4d-0039a0a41f2a_Enabled">
    <vt:lpwstr>true</vt:lpwstr>
  </property>
  <property fmtid="{D5CDD505-2E9C-101B-9397-08002B2CF9AE}" pid="18" name="MSIP_Label_43e64453-338c-4f93-8a4d-0039a0a41f2a_SetDate">
    <vt:lpwstr>2022-10-18T07:31:27Z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4e13ba35-0884-44ff-b484-9b84ff1377e0</vt:lpwstr>
  </property>
  <property fmtid="{D5CDD505-2E9C-101B-9397-08002B2CF9AE}" pid="23" name="MSIP_Label_43e64453-338c-4f93-8a4d-0039a0a41f2a_ContentBits">
    <vt:lpwstr>2</vt:lpwstr>
  </property>
</Properties>
</file>